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7C6" w:rsidRDefault="00A067C6">
      <w:pPr>
        <w:spacing w:before="600" w:line="773" w:lineRule="exact"/>
        <w:jc w:val="center"/>
        <w:rPr>
          <w:rFonts w:ascii="宋体" w:eastAsia="宋体" w:hAnsi="宋体" w:cs="宋体" w:hint="eastAsia"/>
          <w:b/>
          <w:bCs/>
          <w:sz w:val="36"/>
          <w:szCs w:val="36"/>
        </w:rPr>
      </w:pPr>
    </w:p>
    <w:p w:rsidR="00A067C6" w:rsidRDefault="005C4966">
      <w:pPr>
        <w:spacing w:before="2400" w:line="773" w:lineRule="exact"/>
        <w:jc w:val="center"/>
        <w:rPr>
          <w:rFonts w:ascii="宋体" w:eastAsia="宋体" w:hAnsi="宋体" w:cs="宋体"/>
          <w:b/>
          <w:bCs/>
          <w:sz w:val="36"/>
          <w:szCs w:val="36"/>
        </w:rPr>
      </w:pPr>
      <w:r>
        <w:rPr>
          <w:noProof/>
          <w:kern w:val="0"/>
          <w:sz w:val="24"/>
          <w:szCs w:val="24"/>
        </w:rPr>
        <w:drawing>
          <wp:inline distT="0" distB="0" distL="0" distR="0">
            <wp:extent cx="1409700" cy="3905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409700" cy="390525"/>
                    </a:xfrm>
                    <a:prstGeom prst="rect">
                      <a:avLst/>
                    </a:prstGeom>
                    <a:noFill/>
                    <a:ln>
                      <a:noFill/>
                    </a:ln>
                  </pic:spPr>
                </pic:pic>
              </a:graphicData>
            </a:graphic>
          </wp:inline>
        </w:drawing>
      </w:r>
    </w:p>
    <w:p w:rsidR="00A067C6" w:rsidRDefault="005C4966">
      <w:pPr>
        <w:spacing w:beforeLines="100" w:before="312" w:afterLines="100" w:after="312" w:line="773" w:lineRule="exact"/>
        <w:jc w:val="center"/>
        <w:rPr>
          <w:rFonts w:ascii="宋体" w:eastAsia="宋体" w:hAnsi="宋体" w:cs="宋体"/>
          <w:b/>
          <w:bCs/>
          <w:sz w:val="36"/>
          <w:szCs w:val="36"/>
        </w:rPr>
      </w:pPr>
      <w:r>
        <w:rPr>
          <w:rFonts w:ascii="宋体" w:eastAsia="宋体" w:hAnsi="宋体" w:cs="宋体"/>
          <w:b/>
          <w:bCs/>
          <w:sz w:val="36"/>
          <w:szCs w:val="36"/>
        </w:rPr>
        <w:t>华孚时尚股份有限公司</w:t>
      </w:r>
    </w:p>
    <w:p w:rsidR="00A067C6" w:rsidRDefault="005C4966">
      <w:pPr>
        <w:spacing w:beforeLines="100" w:before="312" w:afterLines="100" w:after="312" w:line="320" w:lineRule="exact"/>
        <w:jc w:val="center"/>
        <w:rPr>
          <w:rFonts w:ascii="宋体" w:eastAsia="宋体" w:hAnsi="宋体" w:cs="宋体"/>
          <w:b/>
          <w:bCs/>
          <w:sz w:val="32"/>
          <w:szCs w:val="32"/>
        </w:rPr>
      </w:pPr>
      <w:r>
        <w:rPr>
          <w:rFonts w:ascii="宋体" w:eastAsia="宋体" w:hAnsi="宋体" w:cs="宋体"/>
          <w:b/>
          <w:bCs/>
          <w:sz w:val="32"/>
          <w:szCs w:val="32"/>
        </w:rPr>
        <w:t>2023</w:t>
      </w:r>
      <w:r>
        <w:rPr>
          <w:rFonts w:ascii="宋体" w:eastAsia="宋体" w:hAnsi="宋体" w:cs="宋体"/>
          <w:b/>
          <w:bCs/>
          <w:sz w:val="32"/>
          <w:szCs w:val="32"/>
        </w:rPr>
        <w:t>年半年度报告</w:t>
      </w:r>
    </w:p>
    <w:p w:rsidR="00A067C6" w:rsidRDefault="00A067C6">
      <w:pPr>
        <w:spacing w:before="1000" w:line="240" w:lineRule="exact"/>
        <w:jc w:val="center"/>
        <w:rPr>
          <w:rFonts w:ascii="宋体" w:eastAsia="宋体" w:hAnsi="宋体" w:cs="宋体"/>
          <w:b/>
          <w:bCs/>
          <w:szCs w:val="21"/>
        </w:rPr>
      </w:pPr>
    </w:p>
    <w:p w:rsidR="00A067C6" w:rsidRDefault="00A067C6">
      <w:pPr>
        <w:spacing w:before="1000" w:after="1000" w:line="0" w:lineRule="atLeast"/>
        <w:jc w:val="center"/>
        <w:rPr>
          <w:rFonts w:ascii="Times New Roman" w:eastAsia="宋体" w:hAnsi="Times New Roman" w:cs="Times New Roman"/>
        </w:rPr>
      </w:pPr>
    </w:p>
    <w:p w:rsidR="00A067C6" w:rsidRDefault="005C4966">
      <w:pPr>
        <w:spacing w:before="400" w:line="320" w:lineRule="exact"/>
        <w:jc w:val="center"/>
        <w:rPr>
          <w:rFonts w:ascii="宋体" w:eastAsia="宋体" w:hAnsi="宋体" w:cs="宋体"/>
          <w:b/>
          <w:bCs/>
          <w:sz w:val="32"/>
          <w:szCs w:val="32"/>
        </w:rPr>
      </w:pPr>
      <w:r>
        <w:rPr>
          <w:rFonts w:ascii="宋体" w:eastAsia="宋体" w:hAnsi="宋体" w:cs="宋体" w:hint="eastAsia"/>
          <w:b/>
          <w:bCs/>
          <w:sz w:val="32"/>
          <w:szCs w:val="32"/>
        </w:rPr>
        <w:t>2023</w:t>
      </w:r>
      <w:r>
        <w:rPr>
          <w:rFonts w:ascii="宋体" w:eastAsia="宋体" w:hAnsi="宋体" w:cs="宋体" w:hint="eastAsia"/>
          <w:b/>
          <w:bCs/>
          <w:sz w:val="32"/>
          <w:szCs w:val="32"/>
        </w:rPr>
        <w:t>年</w:t>
      </w:r>
      <w:r>
        <w:rPr>
          <w:rFonts w:ascii="宋体" w:eastAsia="宋体" w:hAnsi="宋体" w:cs="宋体" w:hint="eastAsia"/>
          <w:b/>
          <w:bCs/>
          <w:sz w:val="32"/>
          <w:szCs w:val="32"/>
        </w:rPr>
        <w:t>8</w:t>
      </w:r>
      <w:r>
        <w:rPr>
          <w:rFonts w:ascii="宋体" w:eastAsia="宋体" w:hAnsi="宋体" w:cs="宋体" w:hint="eastAsia"/>
          <w:b/>
          <w:bCs/>
          <w:sz w:val="32"/>
          <w:szCs w:val="32"/>
        </w:rPr>
        <w:t>月</w:t>
      </w:r>
    </w:p>
    <w:p w:rsidR="00A067C6" w:rsidRDefault="005C4966">
      <w:r>
        <w:br w:type="page"/>
      </w:r>
    </w:p>
    <w:p w:rsidR="00A067C6" w:rsidRDefault="005C4966">
      <w:pPr>
        <w:pStyle w:val="headingh1"/>
        <w:spacing w:before="340" w:after="330" w:line="773" w:lineRule="exact"/>
        <w:jc w:val="center"/>
        <w:rPr>
          <w:rFonts w:ascii="宋体" w:eastAsia="宋体" w:hAnsi="宋体" w:cs="宋体"/>
          <w:b/>
          <w:bCs/>
          <w:sz w:val="32"/>
          <w:szCs w:val="32"/>
        </w:rPr>
      </w:pPr>
      <w:bookmarkStart w:id="0" w:name="_Toc988889"/>
      <w:r>
        <w:rPr>
          <w:rFonts w:ascii="宋体" w:eastAsia="宋体" w:hAnsi="宋体" w:cs="宋体"/>
          <w:b/>
          <w:bCs/>
          <w:sz w:val="32"/>
          <w:szCs w:val="32"/>
        </w:rPr>
        <w:lastRenderedPageBreak/>
        <w:t>第一节</w:t>
      </w:r>
      <w:r>
        <w:rPr>
          <w:rFonts w:ascii="宋体" w:eastAsia="宋体" w:hAnsi="宋体" w:cs="宋体"/>
          <w:b/>
          <w:bCs/>
          <w:sz w:val="32"/>
          <w:szCs w:val="32"/>
        </w:rPr>
        <w:t xml:space="preserve"> </w:t>
      </w:r>
      <w:r>
        <w:rPr>
          <w:rFonts w:ascii="宋体" w:eastAsia="宋体" w:hAnsi="宋体" w:cs="宋体"/>
          <w:b/>
          <w:bCs/>
          <w:sz w:val="32"/>
          <w:szCs w:val="32"/>
        </w:rPr>
        <w:t>重要提示、目录和释义</w:t>
      </w:r>
      <w:bookmarkEnd w:id="0"/>
    </w:p>
    <w:p w:rsidR="00A067C6" w:rsidRDefault="005C4966" w:rsidP="005C4966">
      <w:pPr>
        <w:spacing w:line="560" w:lineRule="exact"/>
        <w:ind w:firstLineChars="200" w:firstLine="562"/>
        <w:rPr>
          <w:rFonts w:ascii="宋体" w:eastAsia="宋体" w:hAnsi="宋体" w:cs="宋体"/>
          <w:b/>
          <w:bCs/>
          <w:sz w:val="28"/>
          <w:szCs w:val="28"/>
        </w:rPr>
      </w:pPr>
      <w:r>
        <w:rPr>
          <w:rFonts w:ascii="宋体" w:eastAsia="宋体" w:hAnsi="宋体" w:cs="宋体"/>
          <w:b/>
          <w:bCs/>
          <w:sz w:val="28"/>
          <w:szCs w:val="28"/>
        </w:rPr>
        <w:t>公司董事会、监事会及董事、监事、高级管理人员保证半年度报告内容的真实、准确、完整，不存在虚假记载、误导性陈述或者重大遗漏，并承担个别和连带的法律责任。</w:t>
      </w:r>
    </w:p>
    <w:p w:rsidR="00A067C6" w:rsidRDefault="005C4966" w:rsidP="005C4966">
      <w:pPr>
        <w:spacing w:line="560" w:lineRule="exact"/>
        <w:ind w:firstLineChars="200" w:firstLine="562"/>
        <w:rPr>
          <w:rFonts w:ascii="宋体" w:eastAsia="宋体" w:hAnsi="宋体" w:cs="宋体"/>
          <w:b/>
          <w:bCs/>
          <w:sz w:val="28"/>
          <w:szCs w:val="28"/>
        </w:rPr>
      </w:pPr>
      <w:r>
        <w:rPr>
          <w:rFonts w:ascii="宋体" w:eastAsia="宋体" w:hAnsi="宋体" w:cs="宋体"/>
          <w:b/>
          <w:bCs/>
          <w:sz w:val="28"/>
          <w:szCs w:val="28"/>
        </w:rPr>
        <w:t>公司负责人孙伟挺、主管会计工作负责人陈玲芬及会计机构负责人</w:t>
      </w:r>
      <w:r>
        <w:rPr>
          <w:rFonts w:ascii="宋体" w:eastAsia="宋体" w:hAnsi="宋体" w:cs="宋体"/>
          <w:b/>
          <w:bCs/>
          <w:sz w:val="28"/>
          <w:szCs w:val="28"/>
        </w:rPr>
        <w:t>(</w:t>
      </w:r>
      <w:r>
        <w:rPr>
          <w:rFonts w:ascii="宋体" w:eastAsia="宋体" w:hAnsi="宋体" w:cs="宋体"/>
          <w:b/>
          <w:bCs/>
          <w:sz w:val="28"/>
          <w:szCs w:val="28"/>
        </w:rPr>
        <w:t>会计主管人员</w:t>
      </w:r>
      <w:r>
        <w:rPr>
          <w:rFonts w:ascii="宋体" w:eastAsia="宋体" w:hAnsi="宋体" w:cs="宋体"/>
          <w:b/>
          <w:bCs/>
          <w:sz w:val="28"/>
          <w:szCs w:val="28"/>
        </w:rPr>
        <w:t>)</w:t>
      </w:r>
      <w:r>
        <w:rPr>
          <w:rFonts w:ascii="宋体" w:eastAsia="宋体" w:hAnsi="宋体" w:cs="宋体"/>
          <w:b/>
          <w:bCs/>
          <w:sz w:val="28"/>
          <w:szCs w:val="28"/>
        </w:rPr>
        <w:t>王国友声明：保证本半年度报告中财务报告的真实、准确、完整。</w:t>
      </w:r>
    </w:p>
    <w:p w:rsidR="00A067C6" w:rsidRDefault="005C4966" w:rsidP="005C4966">
      <w:pPr>
        <w:spacing w:line="560" w:lineRule="exact"/>
        <w:ind w:firstLineChars="200" w:firstLine="562"/>
        <w:rPr>
          <w:rFonts w:ascii="宋体" w:eastAsia="宋体" w:hAnsi="宋体" w:cs="宋体"/>
          <w:b/>
          <w:bCs/>
          <w:sz w:val="28"/>
          <w:szCs w:val="28"/>
        </w:rPr>
      </w:pPr>
      <w:r>
        <w:rPr>
          <w:rFonts w:ascii="宋体" w:eastAsia="宋体" w:hAnsi="宋体" w:cs="宋体"/>
          <w:b/>
          <w:bCs/>
          <w:sz w:val="28"/>
          <w:szCs w:val="28"/>
        </w:rPr>
        <w:t>所有董事均已出席了审议本次半年报的董事会会议。</w:t>
      </w:r>
    </w:p>
    <w:p w:rsidR="00A067C6" w:rsidRDefault="005C4966">
      <w:pPr>
        <w:pStyle w:val="a6"/>
        <w:spacing w:before="0" w:beforeAutospacing="0" w:after="0" w:afterAutospacing="0" w:line="560" w:lineRule="atLeast"/>
        <w:ind w:firstLine="480"/>
        <w:rPr>
          <w:b/>
          <w:bCs/>
          <w:sz w:val="28"/>
          <w:szCs w:val="28"/>
        </w:rPr>
      </w:pPr>
      <w:r>
        <w:rPr>
          <w:rFonts w:hint="eastAsia"/>
          <w:b/>
          <w:bCs/>
          <w:sz w:val="28"/>
          <w:szCs w:val="28"/>
        </w:rPr>
        <w:t>公司已在本报告中详细描述了存在的风险事项，敬请投资者查阅本报告“第三节：管理层讨论与分析”，“十一、公司面临的风险和应对措施”。</w:t>
      </w:r>
    </w:p>
    <w:p w:rsidR="00A067C6" w:rsidRDefault="005C4966" w:rsidP="005C4966">
      <w:pPr>
        <w:spacing w:line="560" w:lineRule="exact"/>
        <w:ind w:firstLineChars="200" w:firstLine="562"/>
        <w:rPr>
          <w:rFonts w:ascii="宋体" w:eastAsia="宋体" w:hAnsi="宋体" w:cs="宋体"/>
          <w:b/>
          <w:bCs/>
          <w:sz w:val="28"/>
          <w:szCs w:val="28"/>
        </w:rPr>
      </w:pPr>
      <w:r>
        <w:rPr>
          <w:rFonts w:ascii="宋体" w:eastAsia="宋体" w:hAnsi="宋体" w:cs="宋体"/>
          <w:b/>
          <w:bCs/>
          <w:sz w:val="28"/>
          <w:szCs w:val="28"/>
        </w:rPr>
        <w:t>公司计划不派发现金红利，不送红股，不以公积金转增股本。</w:t>
      </w:r>
    </w:p>
    <w:p w:rsidR="00A067C6" w:rsidRDefault="005C4966">
      <w:r>
        <w:br w:type="page"/>
      </w:r>
    </w:p>
    <w:p w:rsidR="00A067C6" w:rsidRDefault="005C4966">
      <w:pPr>
        <w:spacing w:line="720" w:lineRule="exact"/>
        <w:jc w:val="center"/>
        <w:rPr>
          <w:rFonts w:ascii="宋体" w:eastAsia="宋体" w:hAnsi="宋体" w:cs="宋体"/>
          <w:b/>
          <w:bCs/>
          <w:sz w:val="36"/>
          <w:szCs w:val="36"/>
        </w:rPr>
      </w:pPr>
      <w:r>
        <w:rPr>
          <w:rFonts w:ascii="宋体" w:eastAsia="宋体" w:hAnsi="宋体" w:cs="宋体"/>
          <w:b/>
          <w:bCs/>
          <w:sz w:val="36"/>
          <w:szCs w:val="36"/>
        </w:rPr>
        <w:t>目录</w:t>
      </w:r>
    </w:p>
    <w:p w:rsidR="00A067C6" w:rsidRDefault="005C4966">
      <w:pPr>
        <w:pStyle w:val="1"/>
        <w:tabs>
          <w:tab w:val="left" w:leader="dot" w:pos="9469"/>
        </w:tabs>
        <w:spacing w:beforeLines="100" w:before="312" w:afterLines="100" w:after="312"/>
      </w:pPr>
      <w:r>
        <w:fldChar w:fldCharType="begin"/>
      </w:r>
      <w:r>
        <w:instrText xml:space="preserve"> </w:instrText>
      </w:r>
      <w:r>
        <w:rPr>
          <w:rFonts w:ascii="宋体" w:eastAsia="宋体" w:hAnsi="宋体" w:hint="eastAsia"/>
        </w:rPr>
        <w:instrText>TOC \o "1-2" \h \z \u</w:instrText>
      </w:r>
      <w:r>
        <w:instrText xml:space="preserve"> </w:instrText>
      </w:r>
      <w:r>
        <w:fldChar w:fldCharType="separate"/>
      </w:r>
      <w:hyperlink w:anchor="_Toc988889" w:history="1">
        <w:r>
          <w:rPr>
            <w:rFonts w:ascii="宋体" w:eastAsia="宋体" w:hAnsi="宋体" w:hint="eastAsia"/>
            <w:bCs/>
            <w:sz w:val="24"/>
          </w:rPr>
          <w:t>第一节</w:t>
        </w:r>
        <w:r>
          <w:rPr>
            <w:rFonts w:ascii="宋体" w:eastAsia="宋体" w:hAnsi="宋体" w:hint="eastAsia"/>
            <w:bCs/>
            <w:sz w:val="24"/>
          </w:rPr>
          <w:t xml:space="preserve"> </w:t>
        </w:r>
        <w:r>
          <w:rPr>
            <w:rFonts w:ascii="宋体" w:eastAsia="宋体" w:hAnsi="宋体" w:hint="eastAsia"/>
            <w:bCs/>
            <w:sz w:val="24"/>
          </w:rPr>
          <w:t>重要提示、目录和释义</w:t>
        </w:r>
        <w:r>
          <w:tab/>
        </w:r>
        <w:r>
          <w:fldChar w:fldCharType="begin"/>
        </w:r>
        <w:r>
          <w:instrText xml:space="preserve"> PAGEREF _Toc988889 \h </w:instrText>
        </w:r>
        <w:r>
          <w:fldChar w:fldCharType="separate"/>
        </w:r>
        <w:r>
          <w:t>2</w:t>
        </w:r>
        <w:r>
          <w:fldChar w:fldCharType="end"/>
        </w:r>
      </w:hyperlink>
    </w:p>
    <w:p w:rsidR="00A067C6" w:rsidRDefault="005C4966">
      <w:pPr>
        <w:pStyle w:val="1"/>
        <w:tabs>
          <w:tab w:val="left" w:leader="dot" w:pos="9469"/>
        </w:tabs>
        <w:spacing w:beforeLines="100" w:before="312" w:afterLines="100" w:after="312"/>
      </w:pPr>
      <w:hyperlink w:anchor="_Toc988890" w:history="1">
        <w:r>
          <w:rPr>
            <w:rFonts w:ascii="宋体" w:eastAsia="宋体" w:hAnsi="宋体" w:hint="eastAsia"/>
            <w:bCs/>
            <w:sz w:val="24"/>
          </w:rPr>
          <w:t>第二节</w:t>
        </w:r>
        <w:r>
          <w:rPr>
            <w:rFonts w:ascii="宋体" w:eastAsia="宋体" w:hAnsi="宋体" w:hint="eastAsia"/>
            <w:bCs/>
            <w:sz w:val="24"/>
          </w:rPr>
          <w:t xml:space="preserve"> </w:t>
        </w:r>
        <w:r>
          <w:rPr>
            <w:rFonts w:ascii="宋体" w:eastAsia="宋体" w:hAnsi="宋体" w:hint="eastAsia"/>
            <w:bCs/>
            <w:sz w:val="24"/>
          </w:rPr>
          <w:t>公司简介和主要财务指标</w:t>
        </w:r>
        <w:r>
          <w:tab/>
        </w:r>
        <w:r>
          <w:fldChar w:fldCharType="begin"/>
        </w:r>
        <w:r>
          <w:instrText xml:space="preserve"> PAGEREF _Toc988890 \h </w:instrText>
        </w:r>
        <w:r>
          <w:fldChar w:fldCharType="separate"/>
        </w:r>
        <w:r>
          <w:t>6</w:t>
        </w:r>
        <w:r>
          <w:fldChar w:fldCharType="end"/>
        </w:r>
      </w:hyperlink>
    </w:p>
    <w:p w:rsidR="00A067C6" w:rsidRDefault="005C4966">
      <w:pPr>
        <w:pStyle w:val="1"/>
        <w:tabs>
          <w:tab w:val="left" w:leader="dot" w:pos="9469"/>
        </w:tabs>
        <w:spacing w:beforeLines="100" w:before="312" w:afterLines="100" w:after="312"/>
      </w:pPr>
      <w:hyperlink w:anchor="_Toc988902" w:history="1">
        <w:r>
          <w:rPr>
            <w:rFonts w:ascii="宋体" w:eastAsia="宋体" w:hAnsi="宋体" w:hint="eastAsia"/>
            <w:bCs/>
            <w:sz w:val="24"/>
          </w:rPr>
          <w:t>第三节</w:t>
        </w:r>
        <w:r>
          <w:rPr>
            <w:rFonts w:ascii="宋体" w:eastAsia="宋体" w:hAnsi="宋体" w:hint="eastAsia"/>
            <w:bCs/>
            <w:sz w:val="24"/>
          </w:rPr>
          <w:t xml:space="preserve"> </w:t>
        </w:r>
        <w:r>
          <w:rPr>
            <w:rFonts w:ascii="宋体" w:eastAsia="宋体" w:hAnsi="宋体" w:hint="eastAsia"/>
            <w:bCs/>
            <w:sz w:val="24"/>
          </w:rPr>
          <w:t>管理层讨论与分析</w:t>
        </w:r>
        <w:r>
          <w:tab/>
        </w:r>
        <w:r>
          <w:fldChar w:fldCharType="begin"/>
        </w:r>
        <w:r>
          <w:instrText xml:space="preserve"> PAGEREF _Toc98</w:instrText>
        </w:r>
        <w:r>
          <w:instrText xml:space="preserve">8902 \h </w:instrText>
        </w:r>
        <w:r>
          <w:fldChar w:fldCharType="separate"/>
        </w:r>
        <w:r>
          <w:t>9</w:t>
        </w:r>
        <w:r>
          <w:fldChar w:fldCharType="end"/>
        </w:r>
      </w:hyperlink>
    </w:p>
    <w:p w:rsidR="00A067C6" w:rsidRDefault="005C4966">
      <w:pPr>
        <w:pStyle w:val="1"/>
        <w:tabs>
          <w:tab w:val="left" w:leader="dot" w:pos="9469"/>
        </w:tabs>
        <w:spacing w:beforeLines="100" w:before="312" w:afterLines="100" w:after="312"/>
      </w:pPr>
      <w:hyperlink w:anchor="_Toc988941" w:history="1">
        <w:r>
          <w:rPr>
            <w:rFonts w:ascii="宋体" w:eastAsia="宋体" w:hAnsi="宋体" w:hint="eastAsia"/>
            <w:bCs/>
            <w:sz w:val="24"/>
          </w:rPr>
          <w:t>第四节</w:t>
        </w:r>
        <w:r>
          <w:rPr>
            <w:rFonts w:ascii="宋体" w:eastAsia="宋体" w:hAnsi="宋体" w:hint="eastAsia"/>
            <w:bCs/>
            <w:sz w:val="24"/>
          </w:rPr>
          <w:t xml:space="preserve"> </w:t>
        </w:r>
        <w:r>
          <w:rPr>
            <w:rFonts w:ascii="宋体" w:eastAsia="宋体" w:hAnsi="宋体" w:hint="eastAsia"/>
            <w:bCs/>
            <w:sz w:val="24"/>
          </w:rPr>
          <w:t>公司治理</w:t>
        </w:r>
        <w:r>
          <w:tab/>
        </w:r>
        <w:r>
          <w:fldChar w:fldCharType="begin"/>
        </w:r>
        <w:r>
          <w:instrText xml:space="preserve"> PAGEREF _Toc988941 \h </w:instrText>
        </w:r>
        <w:r>
          <w:fldChar w:fldCharType="separate"/>
        </w:r>
        <w:r>
          <w:t>25</w:t>
        </w:r>
        <w:r>
          <w:fldChar w:fldCharType="end"/>
        </w:r>
      </w:hyperlink>
    </w:p>
    <w:p w:rsidR="00A067C6" w:rsidRDefault="005C4966">
      <w:pPr>
        <w:pStyle w:val="1"/>
        <w:tabs>
          <w:tab w:val="left" w:leader="dot" w:pos="9469"/>
        </w:tabs>
        <w:spacing w:beforeLines="100" w:before="312" w:afterLines="100" w:after="312"/>
      </w:pPr>
      <w:hyperlink w:anchor="_Toc988951" w:history="1">
        <w:r>
          <w:rPr>
            <w:rFonts w:ascii="宋体" w:eastAsia="宋体" w:hAnsi="宋体" w:hint="eastAsia"/>
            <w:bCs/>
            <w:sz w:val="24"/>
          </w:rPr>
          <w:t>第五节</w:t>
        </w:r>
        <w:r>
          <w:rPr>
            <w:rFonts w:ascii="宋体" w:eastAsia="宋体" w:hAnsi="宋体" w:hint="eastAsia"/>
            <w:bCs/>
            <w:sz w:val="24"/>
          </w:rPr>
          <w:t xml:space="preserve"> </w:t>
        </w:r>
        <w:r>
          <w:rPr>
            <w:rFonts w:ascii="宋体" w:eastAsia="宋体" w:hAnsi="宋体" w:hint="eastAsia"/>
            <w:bCs/>
            <w:sz w:val="24"/>
          </w:rPr>
          <w:t>环境和社会责任</w:t>
        </w:r>
        <w:r>
          <w:tab/>
        </w:r>
        <w:r>
          <w:fldChar w:fldCharType="begin"/>
        </w:r>
        <w:r>
          <w:instrText xml:space="preserve"> PAGEREF _</w:instrText>
        </w:r>
        <w:r>
          <w:instrText xml:space="preserve">Toc988951 \h </w:instrText>
        </w:r>
        <w:r>
          <w:fldChar w:fldCharType="separate"/>
        </w:r>
        <w:r>
          <w:t>27</w:t>
        </w:r>
        <w:r>
          <w:fldChar w:fldCharType="end"/>
        </w:r>
      </w:hyperlink>
    </w:p>
    <w:p w:rsidR="00A067C6" w:rsidRDefault="005C4966">
      <w:pPr>
        <w:pStyle w:val="1"/>
        <w:tabs>
          <w:tab w:val="left" w:leader="dot" w:pos="9469"/>
        </w:tabs>
        <w:spacing w:beforeLines="100" w:before="312" w:afterLines="100" w:after="312"/>
      </w:pPr>
      <w:hyperlink w:anchor="_Toc988954" w:history="1">
        <w:r>
          <w:rPr>
            <w:rFonts w:ascii="宋体" w:eastAsia="宋体" w:hAnsi="宋体" w:hint="eastAsia"/>
            <w:bCs/>
            <w:sz w:val="24"/>
          </w:rPr>
          <w:t>第六节</w:t>
        </w:r>
        <w:r>
          <w:rPr>
            <w:rFonts w:ascii="宋体" w:eastAsia="宋体" w:hAnsi="宋体" w:hint="eastAsia"/>
            <w:bCs/>
            <w:sz w:val="24"/>
          </w:rPr>
          <w:t xml:space="preserve"> </w:t>
        </w:r>
        <w:r>
          <w:rPr>
            <w:rFonts w:ascii="宋体" w:eastAsia="宋体" w:hAnsi="宋体" w:hint="eastAsia"/>
            <w:bCs/>
            <w:sz w:val="24"/>
          </w:rPr>
          <w:t>重要事项</w:t>
        </w:r>
        <w:r>
          <w:tab/>
        </w:r>
        <w:r>
          <w:fldChar w:fldCharType="begin"/>
        </w:r>
        <w:r>
          <w:instrText xml:space="preserve"> PAGEREF _Toc988954 \h </w:instrText>
        </w:r>
        <w:r>
          <w:fldChar w:fldCharType="separate"/>
        </w:r>
        <w:r>
          <w:t>29</w:t>
        </w:r>
        <w:r>
          <w:fldChar w:fldCharType="end"/>
        </w:r>
      </w:hyperlink>
    </w:p>
    <w:p w:rsidR="00A067C6" w:rsidRDefault="005C4966">
      <w:pPr>
        <w:pStyle w:val="1"/>
        <w:tabs>
          <w:tab w:val="left" w:leader="dot" w:pos="9469"/>
        </w:tabs>
        <w:spacing w:beforeLines="100" w:before="312" w:afterLines="100" w:after="312"/>
      </w:pPr>
      <w:hyperlink w:anchor="_Toc988983" w:history="1">
        <w:r>
          <w:rPr>
            <w:rFonts w:ascii="宋体" w:eastAsia="宋体" w:hAnsi="宋体" w:hint="eastAsia"/>
            <w:bCs/>
            <w:sz w:val="24"/>
          </w:rPr>
          <w:t>第七节</w:t>
        </w:r>
        <w:r>
          <w:rPr>
            <w:rFonts w:ascii="宋体" w:eastAsia="宋体" w:hAnsi="宋体" w:hint="eastAsia"/>
            <w:bCs/>
            <w:sz w:val="24"/>
          </w:rPr>
          <w:t xml:space="preserve"> </w:t>
        </w:r>
        <w:r>
          <w:rPr>
            <w:rFonts w:ascii="宋体" w:eastAsia="宋体" w:hAnsi="宋体" w:hint="eastAsia"/>
            <w:bCs/>
            <w:sz w:val="24"/>
          </w:rPr>
          <w:t>股份变动及股东情况</w:t>
        </w:r>
        <w:r>
          <w:tab/>
        </w:r>
        <w:r>
          <w:fldChar w:fldCharType="begin"/>
        </w:r>
        <w:r>
          <w:instrText xml:space="preserve"> P</w:instrText>
        </w:r>
        <w:r>
          <w:instrText xml:space="preserve">AGEREF _Toc988983 \h </w:instrText>
        </w:r>
        <w:r>
          <w:fldChar w:fldCharType="separate"/>
        </w:r>
        <w:r>
          <w:t>36</w:t>
        </w:r>
        <w:r>
          <w:fldChar w:fldCharType="end"/>
        </w:r>
      </w:hyperlink>
    </w:p>
    <w:p w:rsidR="00A067C6" w:rsidRDefault="005C4966">
      <w:pPr>
        <w:pStyle w:val="1"/>
        <w:tabs>
          <w:tab w:val="left" w:leader="dot" w:pos="9469"/>
        </w:tabs>
        <w:spacing w:beforeLines="100" w:before="312" w:afterLines="100" w:after="312"/>
      </w:pPr>
      <w:hyperlink w:anchor="_Toc988991" w:history="1">
        <w:r>
          <w:rPr>
            <w:rFonts w:ascii="宋体" w:eastAsia="宋体" w:hAnsi="宋体" w:hint="eastAsia"/>
            <w:bCs/>
            <w:sz w:val="24"/>
          </w:rPr>
          <w:t>第八节</w:t>
        </w:r>
        <w:r>
          <w:rPr>
            <w:rFonts w:ascii="宋体" w:eastAsia="宋体" w:hAnsi="宋体" w:hint="eastAsia"/>
            <w:bCs/>
            <w:sz w:val="24"/>
          </w:rPr>
          <w:t xml:space="preserve"> </w:t>
        </w:r>
        <w:r>
          <w:rPr>
            <w:rFonts w:ascii="宋体" w:eastAsia="宋体" w:hAnsi="宋体" w:hint="eastAsia"/>
            <w:bCs/>
            <w:sz w:val="24"/>
          </w:rPr>
          <w:t>优先股相关情况</w:t>
        </w:r>
        <w:r>
          <w:tab/>
        </w:r>
        <w:r>
          <w:fldChar w:fldCharType="begin"/>
        </w:r>
        <w:r>
          <w:instrText xml:space="preserve"> PAGEREF _Toc988991 \h </w:instrText>
        </w:r>
        <w:r>
          <w:fldChar w:fldCharType="separate"/>
        </w:r>
        <w:r>
          <w:t>41</w:t>
        </w:r>
        <w:r>
          <w:fldChar w:fldCharType="end"/>
        </w:r>
      </w:hyperlink>
    </w:p>
    <w:p w:rsidR="00A067C6" w:rsidRDefault="005C4966">
      <w:pPr>
        <w:pStyle w:val="1"/>
        <w:tabs>
          <w:tab w:val="left" w:leader="dot" w:pos="9469"/>
        </w:tabs>
        <w:spacing w:beforeLines="100" w:before="312" w:afterLines="100" w:after="312"/>
      </w:pPr>
      <w:hyperlink w:anchor="_Toc988992" w:history="1">
        <w:r>
          <w:rPr>
            <w:rFonts w:ascii="宋体" w:eastAsia="宋体" w:hAnsi="宋体" w:hint="eastAsia"/>
            <w:bCs/>
            <w:sz w:val="24"/>
          </w:rPr>
          <w:t>第九节</w:t>
        </w:r>
        <w:r>
          <w:rPr>
            <w:rFonts w:ascii="宋体" w:eastAsia="宋体" w:hAnsi="宋体" w:hint="eastAsia"/>
            <w:bCs/>
            <w:sz w:val="24"/>
          </w:rPr>
          <w:t xml:space="preserve"> </w:t>
        </w:r>
        <w:r>
          <w:rPr>
            <w:rFonts w:ascii="宋体" w:eastAsia="宋体" w:hAnsi="宋体" w:hint="eastAsia"/>
            <w:bCs/>
            <w:sz w:val="24"/>
          </w:rPr>
          <w:t>债券相关情况</w:t>
        </w:r>
        <w:r>
          <w:tab/>
        </w:r>
        <w:r>
          <w:fldChar w:fldCharType="begin"/>
        </w:r>
        <w:r>
          <w:instrText xml:space="preserve"> PAGEREF _Toc988992 \h </w:instrText>
        </w:r>
        <w:r>
          <w:fldChar w:fldCharType="separate"/>
        </w:r>
        <w:r>
          <w:t>42</w:t>
        </w:r>
        <w:r>
          <w:fldChar w:fldCharType="end"/>
        </w:r>
      </w:hyperlink>
    </w:p>
    <w:p w:rsidR="00A067C6" w:rsidRDefault="005C4966">
      <w:pPr>
        <w:pStyle w:val="1"/>
        <w:tabs>
          <w:tab w:val="left" w:leader="dot" w:pos="9469"/>
        </w:tabs>
        <w:spacing w:beforeLines="100" w:before="312" w:afterLines="100" w:after="312"/>
      </w:pPr>
      <w:hyperlink w:anchor="_Toc988993" w:history="1">
        <w:r>
          <w:rPr>
            <w:rFonts w:ascii="宋体" w:eastAsia="宋体" w:hAnsi="宋体" w:hint="eastAsia"/>
            <w:bCs/>
            <w:sz w:val="24"/>
          </w:rPr>
          <w:t>第十节</w:t>
        </w:r>
        <w:r>
          <w:rPr>
            <w:rFonts w:ascii="宋体" w:eastAsia="宋体" w:hAnsi="宋体" w:hint="eastAsia"/>
            <w:bCs/>
            <w:sz w:val="24"/>
          </w:rPr>
          <w:t xml:space="preserve"> </w:t>
        </w:r>
        <w:r>
          <w:rPr>
            <w:rFonts w:ascii="宋体" w:eastAsia="宋体" w:hAnsi="宋体" w:hint="eastAsia"/>
            <w:bCs/>
            <w:sz w:val="24"/>
          </w:rPr>
          <w:t>财务报告</w:t>
        </w:r>
        <w:r>
          <w:tab/>
        </w:r>
        <w:r>
          <w:fldChar w:fldCharType="begin"/>
        </w:r>
        <w:r>
          <w:instrText xml:space="preserve"> PAGEREF _Toc988993 \h </w:instrText>
        </w:r>
        <w:r>
          <w:fldChar w:fldCharType="separate"/>
        </w:r>
        <w:r>
          <w:t>43</w:t>
        </w:r>
        <w:r>
          <w:fldChar w:fldCharType="end"/>
        </w:r>
      </w:hyperlink>
      <w:r>
        <w:fldChar w:fldCharType="end"/>
      </w:r>
    </w:p>
    <w:p w:rsidR="00A067C6" w:rsidRDefault="005C4966">
      <w:r>
        <w:br w:type="page"/>
      </w:r>
    </w:p>
    <w:p w:rsidR="00A067C6" w:rsidRDefault="005C4966">
      <w:pPr>
        <w:spacing w:line="640" w:lineRule="exact"/>
        <w:jc w:val="center"/>
        <w:rPr>
          <w:rFonts w:ascii="宋体" w:eastAsia="宋体" w:hAnsi="宋体" w:cs="宋体"/>
          <w:b/>
          <w:bCs/>
          <w:sz w:val="32"/>
          <w:szCs w:val="32"/>
        </w:rPr>
      </w:pPr>
      <w:r>
        <w:rPr>
          <w:rFonts w:ascii="宋体" w:eastAsia="宋体" w:hAnsi="宋体" w:cs="宋体"/>
          <w:b/>
          <w:bCs/>
          <w:sz w:val="32"/>
          <w:szCs w:val="32"/>
        </w:rPr>
        <w:t>备查文件目录</w:t>
      </w:r>
    </w:p>
    <w:p w:rsidR="00A067C6" w:rsidRDefault="005C4966">
      <w:pPr>
        <w:pStyle w:val="a6"/>
        <w:spacing w:line="560" w:lineRule="atLeast"/>
        <w:rPr>
          <w:sz w:val="18"/>
          <w:szCs w:val="18"/>
        </w:rPr>
      </w:pPr>
      <w:r>
        <w:rPr>
          <w:rFonts w:hint="eastAsia"/>
          <w:sz w:val="18"/>
          <w:szCs w:val="18"/>
        </w:rPr>
        <w:t>1</w:t>
      </w:r>
      <w:r>
        <w:rPr>
          <w:rFonts w:hint="eastAsia"/>
          <w:sz w:val="18"/>
          <w:szCs w:val="18"/>
        </w:rPr>
        <w:t>、载有法定代表人孙伟挺先生签名的</w:t>
      </w:r>
      <w:r>
        <w:rPr>
          <w:rFonts w:hint="eastAsia"/>
          <w:sz w:val="18"/>
          <w:szCs w:val="18"/>
        </w:rPr>
        <w:t>2023</w:t>
      </w:r>
      <w:r>
        <w:rPr>
          <w:rFonts w:hint="eastAsia"/>
          <w:sz w:val="18"/>
          <w:szCs w:val="18"/>
        </w:rPr>
        <w:t>年半年度报告全文及摘要；</w:t>
      </w:r>
    </w:p>
    <w:p w:rsidR="00A067C6" w:rsidRDefault="005C4966">
      <w:pPr>
        <w:pStyle w:val="a6"/>
        <w:spacing w:line="560" w:lineRule="atLeast"/>
        <w:rPr>
          <w:sz w:val="18"/>
          <w:szCs w:val="18"/>
        </w:rPr>
      </w:pPr>
      <w:r>
        <w:rPr>
          <w:rFonts w:hint="eastAsia"/>
          <w:sz w:val="18"/>
          <w:szCs w:val="18"/>
        </w:rPr>
        <w:t>2</w:t>
      </w:r>
      <w:r>
        <w:rPr>
          <w:rFonts w:hint="eastAsia"/>
          <w:sz w:val="18"/>
          <w:szCs w:val="18"/>
        </w:rPr>
        <w:t>、载有公司负责人、主管会计工作负责人、会计机构负责人（会计主管人员）签名并盖章的财务报表；</w:t>
      </w:r>
    </w:p>
    <w:p w:rsidR="00A067C6" w:rsidRDefault="005C4966">
      <w:pPr>
        <w:pStyle w:val="a6"/>
        <w:spacing w:line="560" w:lineRule="atLeast"/>
        <w:rPr>
          <w:sz w:val="18"/>
          <w:szCs w:val="18"/>
        </w:rPr>
      </w:pPr>
      <w:r>
        <w:rPr>
          <w:rFonts w:hint="eastAsia"/>
          <w:sz w:val="18"/>
          <w:szCs w:val="18"/>
        </w:rPr>
        <w:t>3</w:t>
      </w:r>
      <w:r>
        <w:rPr>
          <w:rFonts w:hint="eastAsia"/>
          <w:sz w:val="18"/>
          <w:szCs w:val="18"/>
        </w:rPr>
        <w:t>、报告期内在《证券时报》和《中国证券报》上公开披露过的所有公司文件的正本及公告的原件；</w:t>
      </w:r>
    </w:p>
    <w:p w:rsidR="00A067C6" w:rsidRDefault="005C4966">
      <w:r>
        <w:br w:type="page"/>
      </w:r>
    </w:p>
    <w:p w:rsidR="00A067C6" w:rsidRDefault="005C4966">
      <w:pPr>
        <w:spacing w:before="40" w:after="40" w:line="640" w:lineRule="exact"/>
        <w:jc w:val="center"/>
        <w:rPr>
          <w:rFonts w:ascii="宋体" w:eastAsia="宋体" w:hAnsi="宋体" w:cs="宋体"/>
          <w:b/>
          <w:bCs/>
          <w:sz w:val="32"/>
          <w:szCs w:val="32"/>
        </w:rPr>
      </w:pPr>
      <w:r>
        <w:rPr>
          <w:rFonts w:ascii="宋体" w:eastAsia="宋体" w:hAnsi="宋体" w:cs="宋体"/>
          <w:b/>
          <w:bCs/>
          <w:sz w:val="32"/>
          <w:szCs w:val="32"/>
        </w:rPr>
        <w:t>释义</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释义项</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释义内容</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公司、本公司</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华孚时尚股份有限公司</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中国证监会、证监会</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中国证券监督管理委员会</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深交所</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深圳证券交易所</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控股股东、华孚控股</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华孚控股有限公司</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元、万元</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人民币元、人民币万元</w:t>
            </w:r>
          </w:p>
        </w:tc>
      </w:tr>
    </w:tbl>
    <w:p w:rsidR="00A067C6" w:rsidRDefault="005C4966">
      <w:r>
        <w:br w:type="page"/>
      </w:r>
    </w:p>
    <w:p w:rsidR="00A067C6" w:rsidRDefault="005C4966">
      <w:pPr>
        <w:pStyle w:val="headingh1"/>
        <w:spacing w:before="340" w:after="330" w:line="773" w:lineRule="exact"/>
        <w:jc w:val="center"/>
        <w:rPr>
          <w:rFonts w:ascii="宋体" w:eastAsia="宋体" w:hAnsi="宋体" w:cs="宋体"/>
          <w:b/>
          <w:bCs/>
          <w:sz w:val="32"/>
          <w:szCs w:val="32"/>
        </w:rPr>
      </w:pPr>
      <w:bookmarkStart w:id="1" w:name="_Toc988890"/>
      <w:r>
        <w:rPr>
          <w:rFonts w:ascii="宋体" w:eastAsia="宋体" w:hAnsi="宋体" w:cs="宋体"/>
          <w:b/>
          <w:bCs/>
          <w:sz w:val="32"/>
          <w:szCs w:val="32"/>
        </w:rPr>
        <w:t>第二节</w:t>
      </w:r>
      <w:r>
        <w:rPr>
          <w:rFonts w:ascii="宋体" w:eastAsia="宋体" w:hAnsi="宋体" w:cs="宋体"/>
          <w:b/>
          <w:bCs/>
          <w:sz w:val="32"/>
          <w:szCs w:val="32"/>
        </w:rPr>
        <w:t xml:space="preserve"> </w:t>
      </w:r>
      <w:r>
        <w:rPr>
          <w:rFonts w:ascii="宋体" w:eastAsia="宋体" w:hAnsi="宋体" w:cs="宋体"/>
          <w:b/>
          <w:bCs/>
          <w:sz w:val="32"/>
          <w:szCs w:val="32"/>
        </w:rPr>
        <w:t>公司简介和主要财务指标</w:t>
      </w:r>
      <w:bookmarkEnd w:id="1"/>
    </w:p>
    <w:p w:rsidR="00A067C6" w:rsidRDefault="005C4966">
      <w:pPr>
        <w:pStyle w:val="2"/>
        <w:spacing w:before="300" w:after="300" w:line="320" w:lineRule="exact"/>
        <w:rPr>
          <w:rFonts w:ascii="宋体" w:eastAsia="宋体" w:hAnsi="宋体" w:cs="宋体"/>
          <w:b/>
          <w:bCs/>
          <w:sz w:val="24"/>
          <w:szCs w:val="24"/>
        </w:rPr>
      </w:pPr>
      <w:bookmarkStart w:id="2" w:name="_Toc988891"/>
      <w:r>
        <w:rPr>
          <w:rFonts w:ascii="宋体" w:eastAsia="宋体" w:hAnsi="宋体" w:cs="宋体"/>
          <w:b/>
          <w:bCs/>
          <w:sz w:val="24"/>
          <w:szCs w:val="24"/>
        </w:rPr>
        <w:t>一、公司简介</w:t>
      </w:r>
      <w:bookmarkEnd w:id="2"/>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660"/>
        <w:gridCol w:w="2326"/>
        <w:gridCol w:w="2326"/>
        <w:gridCol w:w="2327"/>
      </w:tblGrid>
      <w:tr w:rsidR="00A067C6">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股票简称</w:t>
            </w:r>
          </w:p>
        </w:tc>
        <w:tc>
          <w:tcPr>
            <w:tcW w:w="232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华孚时尚</w:t>
            </w:r>
          </w:p>
        </w:tc>
        <w:tc>
          <w:tcPr>
            <w:tcW w:w="232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股票代码</w:t>
            </w:r>
          </w:p>
        </w:tc>
        <w:tc>
          <w:tcPr>
            <w:tcW w:w="232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002042</w:t>
            </w:r>
          </w:p>
        </w:tc>
      </w:tr>
      <w:tr w:rsidR="00A067C6">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变更前的股票简称（如有）</w:t>
            </w:r>
          </w:p>
        </w:tc>
        <w:tc>
          <w:tcPr>
            <w:tcW w:w="6979"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无</w:t>
            </w:r>
          </w:p>
        </w:tc>
      </w:tr>
      <w:tr w:rsidR="00A067C6">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股票上市证券交易所</w:t>
            </w:r>
          </w:p>
        </w:tc>
        <w:tc>
          <w:tcPr>
            <w:tcW w:w="6979"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深圳证券交易所</w:t>
            </w:r>
          </w:p>
        </w:tc>
      </w:tr>
      <w:tr w:rsidR="00A067C6">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公司的中文名称</w:t>
            </w:r>
          </w:p>
        </w:tc>
        <w:tc>
          <w:tcPr>
            <w:tcW w:w="6979"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华孚时尚股份有限公司</w:t>
            </w:r>
          </w:p>
        </w:tc>
      </w:tr>
      <w:tr w:rsidR="00A067C6">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公司的中文简称（如有）</w:t>
            </w:r>
          </w:p>
        </w:tc>
        <w:tc>
          <w:tcPr>
            <w:tcW w:w="6979"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华孚时尚</w:t>
            </w:r>
          </w:p>
        </w:tc>
      </w:tr>
      <w:tr w:rsidR="00A067C6">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公司的外文名称（如有）</w:t>
            </w:r>
          </w:p>
        </w:tc>
        <w:tc>
          <w:tcPr>
            <w:tcW w:w="6979"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HUAFU FASHION CO., LTD.</w:t>
            </w:r>
          </w:p>
        </w:tc>
      </w:tr>
      <w:tr w:rsidR="00A067C6">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公司的外文名称缩写（如有）</w:t>
            </w:r>
          </w:p>
        </w:tc>
        <w:tc>
          <w:tcPr>
            <w:tcW w:w="6979"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HUAFU</w:t>
            </w:r>
          </w:p>
        </w:tc>
      </w:tr>
      <w:tr w:rsidR="00A067C6">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公司的法定代表人</w:t>
            </w:r>
          </w:p>
        </w:tc>
        <w:tc>
          <w:tcPr>
            <w:tcW w:w="6979"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孙伟挺</w:t>
            </w:r>
          </w:p>
        </w:tc>
      </w:tr>
    </w:tbl>
    <w:p w:rsidR="00A067C6" w:rsidRDefault="005C4966">
      <w:pPr>
        <w:pStyle w:val="2"/>
        <w:spacing w:before="300" w:after="300" w:line="320" w:lineRule="exact"/>
        <w:rPr>
          <w:rFonts w:ascii="宋体" w:eastAsia="宋体" w:hAnsi="宋体" w:cs="宋体"/>
          <w:b/>
          <w:bCs/>
          <w:sz w:val="24"/>
          <w:szCs w:val="24"/>
        </w:rPr>
      </w:pPr>
      <w:bookmarkStart w:id="3" w:name="_Toc988892"/>
      <w:r>
        <w:rPr>
          <w:rFonts w:ascii="宋体" w:eastAsia="宋体" w:hAnsi="宋体" w:cs="宋体"/>
          <w:b/>
          <w:bCs/>
          <w:sz w:val="24"/>
          <w:szCs w:val="24"/>
        </w:rPr>
        <w:t>二、联系人和联系方式</w:t>
      </w:r>
      <w:bookmarkEnd w:id="3"/>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59"/>
        <w:gridCol w:w="4394"/>
        <w:gridCol w:w="4286"/>
      </w:tblGrid>
      <w:tr w:rsidR="00A067C6">
        <w:trPr>
          <w:trHeight w:val="240"/>
        </w:trPr>
        <w:tc>
          <w:tcPr>
            <w:tcW w:w="95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439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董事会秘书</w:t>
            </w:r>
          </w:p>
        </w:tc>
        <w:tc>
          <w:tcPr>
            <w:tcW w:w="428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证券事务代表</w:t>
            </w:r>
          </w:p>
        </w:tc>
      </w:tr>
      <w:tr w:rsidR="00A067C6">
        <w:trPr>
          <w:trHeight w:val="240"/>
        </w:trPr>
        <w:tc>
          <w:tcPr>
            <w:tcW w:w="95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姓名</w:t>
            </w:r>
          </w:p>
        </w:tc>
        <w:tc>
          <w:tcPr>
            <w:tcW w:w="439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张正</w:t>
            </w:r>
          </w:p>
        </w:tc>
        <w:tc>
          <w:tcPr>
            <w:tcW w:w="428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孙献</w:t>
            </w:r>
          </w:p>
        </w:tc>
      </w:tr>
      <w:tr w:rsidR="00A067C6">
        <w:trPr>
          <w:trHeight w:val="240"/>
        </w:trPr>
        <w:tc>
          <w:tcPr>
            <w:tcW w:w="95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联系地址</w:t>
            </w:r>
          </w:p>
        </w:tc>
        <w:tc>
          <w:tcPr>
            <w:tcW w:w="439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广东省深圳市福田区市花路</w:t>
            </w:r>
            <w:r>
              <w:rPr>
                <w:rFonts w:ascii="宋体" w:eastAsia="宋体" w:hAnsi="宋体" w:cs="宋体"/>
                <w:sz w:val="18"/>
                <w:szCs w:val="18"/>
              </w:rPr>
              <w:t>5</w:t>
            </w:r>
            <w:r>
              <w:rPr>
                <w:rFonts w:ascii="宋体" w:eastAsia="宋体" w:hAnsi="宋体" w:cs="宋体"/>
                <w:sz w:val="18"/>
                <w:szCs w:val="18"/>
              </w:rPr>
              <w:t>号长富金茂大厦</w:t>
            </w:r>
            <w:r>
              <w:rPr>
                <w:rFonts w:ascii="宋体" w:eastAsia="宋体" w:hAnsi="宋体" w:cs="宋体"/>
                <w:sz w:val="18"/>
                <w:szCs w:val="18"/>
              </w:rPr>
              <w:t>59</w:t>
            </w:r>
            <w:r>
              <w:rPr>
                <w:rFonts w:ascii="宋体" w:eastAsia="宋体" w:hAnsi="宋体" w:cs="宋体"/>
                <w:sz w:val="18"/>
                <w:szCs w:val="18"/>
              </w:rPr>
              <w:t>楼</w:t>
            </w:r>
          </w:p>
        </w:tc>
        <w:tc>
          <w:tcPr>
            <w:tcW w:w="428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广东省深圳市福田区市花路</w:t>
            </w:r>
            <w:r>
              <w:rPr>
                <w:rFonts w:ascii="宋体" w:eastAsia="宋体" w:hAnsi="宋体" w:cs="宋体"/>
                <w:sz w:val="18"/>
                <w:szCs w:val="18"/>
              </w:rPr>
              <w:t>5</w:t>
            </w:r>
            <w:r>
              <w:rPr>
                <w:rFonts w:ascii="宋体" w:eastAsia="宋体" w:hAnsi="宋体" w:cs="宋体"/>
                <w:sz w:val="18"/>
                <w:szCs w:val="18"/>
              </w:rPr>
              <w:t>号长富金茂大厦</w:t>
            </w:r>
            <w:r>
              <w:rPr>
                <w:rFonts w:ascii="宋体" w:eastAsia="宋体" w:hAnsi="宋体" w:cs="宋体"/>
                <w:sz w:val="18"/>
                <w:szCs w:val="18"/>
              </w:rPr>
              <w:t>59</w:t>
            </w:r>
            <w:r>
              <w:rPr>
                <w:rFonts w:ascii="宋体" w:eastAsia="宋体" w:hAnsi="宋体" w:cs="宋体"/>
                <w:sz w:val="18"/>
                <w:szCs w:val="18"/>
              </w:rPr>
              <w:t>楼</w:t>
            </w:r>
          </w:p>
        </w:tc>
      </w:tr>
      <w:tr w:rsidR="00A067C6">
        <w:trPr>
          <w:trHeight w:val="240"/>
        </w:trPr>
        <w:tc>
          <w:tcPr>
            <w:tcW w:w="95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电话</w:t>
            </w:r>
          </w:p>
        </w:tc>
        <w:tc>
          <w:tcPr>
            <w:tcW w:w="439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0755-83735593</w:t>
            </w:r>
          </w:p>
        </w:tc>
        <w:tc>
          <w:tcPr>
            <w:tcW w:w="428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0755-83735433</w:t>
            </w:r>
          </w:p>
        </w:tc>
      </w:tr>
      <w:tr w:rsidR="00A067C6">
        <w:trPr>
          <w:trHeight w:val="240"/>
        </w:trPr>
        <w:tc>
          <w:tcPr>
            <w:tcW w:w="95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传真</w:t>
            </w:r>
          </w:p>
        </w:tc>
        <w:tc>
          <w:tcPr>
            <w:tcW w:w="439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0755-83735566</w:t>
            </w:r>
          </w:p>
        </w:tc>
        <w:tc>
          <w:tcPr>
            <w:tcW w:w="428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0755-83735566</w:t>
            </w:r>
          </w:p>
        </w:tc>
      </w:tr>
      <w:tr w:rsidR="00A067C6">
        <w:trPr>
          <w:trHeight w:val="240"/>
        </w:trPr>
        <w:tc>
          <w:tcPr>
            <w:tcW w:w="95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电子信箱</w:t>
            </w:r>
          </w:p>
        </w:tc>
        <w:tc>
          <w:tcPr>
            <w:tcW w:w="439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dongban@e-huafu.com</w:t>
            </w:r>
          </w:p>
        </w:tc>
        <w:tc>
          <w:tcPr>
            <w:tcW w:w="428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sunx@e-huafu.com</w:t>
            </w:r>
          </w:p>
        </w:tc>
      </w:tr>
    </w:tbl>
    <w:p w:rsidR="00A067C6" w:rsidRDefault="005C4966">
      <w:pPr>
        <w:pStyle w:val="2"/>
        <w:spacing w:before="300" w:after="300" w:line="320" w:lineRule="exact"/>
        <w:rPr>
          <w:rFonts w:ascii="宋体" w:eastAsia="宋体" w:hAnsi="宋体" w:cs="宋体"/>
          <w:b/>
          <w:bCs/>
          <w:sz w:val="24"/>
          <w:szCs w:val="24"/>
        </w:rPr>
      </w:pPr>
      <w:bookmarkStart w:id="4" w:name="_Toc988893"/>
      <w:r>
        <w:rPr>
          <w:rFonts w:ascii="宋体" w:eastAsia="宋体" w:hAnsi="宋体" w:cs="宋体"/>
          <w:b/>
          <w:bCs/>
          <w:sz w:val="24"/>
          <w:szCs w:val="24"/>
        </w:rPr>
        <w:t>三、其他情况</w:t>
      </w:r>
      <w:bookmarkEnd w:id="4"/>
    </w:p>
    <w:p w:rsidR="00A067C6" w:rsidRDefault="005C4966">
      <w:pPr>
        <w:pStyle w:val="3"/>
        <w:spacing w:line="280" w:lineRule="exact"/>
        <w:jc w:val="left"/>
        <w:rPr>
          <w:rFonts w:ascii="宋体" w:hAnsi="宋体" w:cs="宋体"/>
          <w:b/>
          <w:bCs/>
        </w:rPr>
      </w:pPr>
      <w:bookmarkStart w:id="5" w:name="_Toc988894"/>
      <w:r>
        <w:rPr>
          <w:rFonts w:ascii="宋体" w:hAnsi="宋体" w:cs="宋体"/>
          <w:b/>
          <w:bCs/>
        </w:rPr>
        <w:t>1</w:t>
      </w:r>
      <w:r>
        <w:rPr>
          <w:rFonts w:ascii="宋体" w:hAnsi="宋体" w:cs="宋体"/>
          <w:b/>
          <w:bCs/>
        </w:rPr>
        <w:t>、公司联系方式</w:t>
      </w:r>
      <w:bookmarkEnd w:id="5"/>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公司注册地址、公司办公地址及其邮政编码、公司网址、电子信箱等在报告期是否变化</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公司注册地址、公司办公地址及其邮政编码、公司网址、电子信箱等在报告期无变化，具体可参见</w:t>
      </w:r>
      <w:r>
        <w:rPr>
          <w:rFonts w:ascii="宋体" w:eastAsia="宋体" w:hAnsi="宋体" w:cs="宋体"/>
          <w:sz w:val="18"/>
          <w:szCs w:val="18"/>
        </w:rPr>
        <w:t>2022</w:t>
      </w:r>
      <w:r>
        <w:rPr>
          <w:rFonts w:ascii="宋体" w:eastAsia="宋体" w:hAnsi="宋体" w:cs="宋体"/>
          <w:sz w:val="18"/>
          <w:szCs w:val="18"/>
        </w:rPr>
        <w:t>年年报。</w:t>
      </w:r>
    </w:p>
    <w:p w:rsidR="00A067C6" w:rsidRDefault="005C4966">
      <w:pPr>
        <w:pStyle w:val="3"/>
        <w:spacing w:line="280" w:lineRule="exact"/>
        <w:jc w:val="left"/>
        <w:rPr>
          <w:rFonts w:ascii="宋体" w:hAnsi="宋体" w:cs="宋体"/>
          <w:b/>
          <w:bCs/>
        </w:rPr>
      </w:pPr>
      <w:bookmarkStart w:id="6" w:name="_Toc988895"/>
      <w:r>
        <w:rPr>
          <w:rFonts w:ascii="宋体" w:hAnsi="宋体" w:cs="宋体"/>
          <w:b/>
          <w:bCs/>
        </w:rPr>
        <w:t>2</w:t>
      </w:r>
      <w:r>
        <w:rPr>
          <w:rFonts w:ascii="宋体" w:hAnsi="宋体" w:cs="宋体"/>
          <w:b/>
          <w:bCs/>
        </w:rPr>
        <w:t>、信息披露及备置地点</w:t>
      </w:r>
      <w:bookmarkEnd w:id="6"/>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信息披露及备置地点在报告期是否变化</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公司披露半年度报告的证券交易所网站和媒体名称及网址，公司半年度报告备置地在报告期无变化，具体可参见</w:t>
      </w:r>
      <w:r>
        <w:rPr>
          <w:rFonts w:ascii="宋体" w:eastAsia="宋体" w:hAnsi="宋体" w:cs="宋体"/>
          <w:sz w:val="18"/>
          <w:szCs w:val="18"/>
        </w:rPr>
        <w:t>2022</w:t>
      </w:r>
      <w:r>
        <w:rPr>
          <w:rFonts w:ascii="宋体" w:eastAsia="宋体" w:hAnsi="宋体" w:cs="宋体"/>
          <w:sz w:val="18"/>
          <w:szCs w:val="18"/>
        </w:rPr>
        <w:t>年年报。</w:t>
      </w:r>
    </w:p>
    <w:p w:rsidR="00A067C6" w:rsidRDefault="005C4966">
      <w:pPr>
        <w:pStyle w:val="3"/>
        <w:spacing w:line="280" w:lineRule="exact"/>
        <w:jc w:val="left"/>
        <w:rPr>
          <w:rFonts w:ascii="宋体" w:hAnsi="宋体" w:cs="宋体"/>
          <w:b/>
          <w:bCs/>
        </w:rPr>
      </w:pPr>
      <w:bookmarkStart w:id="7" w:name="_Toc988896"/>
      <w:r>
        <w:rPr>
          <w:rFonts w:ascii="宋体" w:hAnsi="宋体" w:cs="宋体"/>
          <w:b/>
          <w:bCs/>
        </w:rPr>
        <w:t>3</w:t>
      </w:r>
      <w:r>
        <w:rPr>
          <w:rFonts w:ascii="宋体" w:hAnsi="宋体" w:cs="宋体"/>
          <w:b/>
          <w:bCs/>
        </w:rPr>
        <w:t>、其他有关资料</w:t>
      </w:r>
      <w:bookmarkEnd w:id="7"/>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其他有关资料在报告期是否变更情况</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pStyle w:val="2"/>
        <w:spacing w:before="300" w:after="300" w:line="320" w:lineRule="exact"/>
        <w:rPr>
          <w:rFonts w:ascii="宋体" w:eastAsia="宋体" w:hAnsi="宋体" w:cs="宋体"/>
          <w:b/>
          <w:bCs/>
          <w:sz w:val="24"/>
          <w:szCs w:val="24"/>
        </w:rPr>
      </w:pPr>
      <w:bookmarkStart w:id="8" w:name="_Toc988897"/>
      <w:r>
        <w:rPr>
          <w:rFonts w:ascii="宋体" w:eastAsia="宋体" w:hAnsi="宋体" w:cs="宋体"/>
          <w:b/>
          <w:bCs/>
          <w:sz w:val="24"/>
          <w:szCs w:val="24"/>
        </w:rPr>
        <w:t>四、主要会计数据和财务指标</w:t>
      </w:r>
      <w:bookmarkEnd w:id="8"/>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公司是否需追溯调整或重述以前年度会计数据</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是</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否</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27"/>
        <w:gridCol w:w="1913"/>
        <w:gridCol w:w="1914"/>
        <w:gridCol w:w="2585"/>
      </w:tblGrid>
      <w:tr w:rsidR="00A067C6">
        <w:trPr>
          <w:trHeight w:val="240"/>
        </w:trPr>
        <w:tc>
          <w:tcPr>
            <w:tcW w:w="32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w:t>
            </w:r>
          </w:p>
        </w:tc>
        <w:tc>
          <w:tcPr>
            <w:tcW w:w="191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上年同期</w:t>
            </w:r>
          </w:p>
        </w:tc>
        <w:tc>
          <w:tcPr>
            <w:tcW w:w="258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本报告期比上年同期增减</w:t>
            </w:r>
          </w:p>
        </w:tc>
      </w:tr>
      <w:tr w:rsidR="00A067C6">
        <w:trPr>
          <w:trHeight w:val="240"/>
        </w:trPr>
        <w:tc>
          <w:tcPr>
            <w:tcW w:w="32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营业收入（元）</w:t>
            </w:r>
          </w:p>
        </w:tc>
        <w:tc>
          <w:tcPr>
            <w:tcW w:w="19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7,752,926,712.81</w:t>
            </w:r>
          </w:p>
        </w:tc>
        <w:tc>
          <w:tcPr>
            <w:tcW w:w="191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8,535,970,102.43</w:t>
            </w:r>
          </w:p>
        </w:tc>
        <w:tc>
          <w:tcPr>
            <w:tcW w:w="258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-9.17%</w:t>
            </w:r>
          </w:p>
        </w:tc>
      </w:tr>
      <w:tr w:rsidR="00A067C6">
        <w:trPr>
          <w:trHeight w:val="240"/>
        </w:trPr>
        <w:tc>
          <w:tcPr>
            <w:tcW w:w="32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归属于上市公司股东的净利润（元）</w:t>
            </w:r>
          </w:p>
        </w:tc>
        <w:tc>
          <w:tcPr>
            <w:tcW w:w="19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81,402,847.78</w:t>
            </w:r>
          </w:p>
        </w:tc>
        <w:tc>
          <w:tcPr>
            <w:tcW w:w="191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292,496,599.75</w:t>
            </w:r>
          </w:p>
        </w:tc>
        <w:tc>
          <w:tcPr>
            <w:tcW w:w="258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-72.17%</w:t>
            </w:r>
          </w:p>
        </w:tc>
      </w:tr>
      <w:tr w:rsidR="00A067C6">
        <w:trPr>
          <w:trHeight w:val="240"/>
        </w:trPr>
        <w:tc>
          <w:tcPr>
            <w:tcW w:w="32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归属于上市公司股东的扣除非经常性损益的净利润（元）</w:t>
            </w:r>
          </w:p>
        </w:tc>
        <w:tc>
          <w:tcPr>
            <w:tcW w:w="19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64,666,468.54</w:t>
            </w:r>
          </w:p>
        </w:tc>
        <w:tc>
          <w:tcPr>
            <w:tcW w:w="191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276,700,678.00</w:t>
            </w:r>
          </w:p>
        </w:tc>
        <w:tc>
          <w:tcPr>
            <w:tcW w:w="258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-76.63%</w:t>
            </w:r>
          </w:p>
        </w:tc>
      </w:tr>
      <w:tr w:rsidR="00A067C6">
        <w:trPr>
          <w:trHeight w:val="240"/>
        </w:trPr>
        <w:tc>
          <w:tcPr>
            <w:tcW w:w="32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经营活动产生的现金流量净额（元）</w:t>
            </w:r>
          </w:p>
        </w:tc>
        <w:tc>
          <w:tcPr>
            <w:tcW w:w="19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1,524,721,559.12</w:t>
            </w:r>
          </w:p>
        </w:tc>
        <w:tc>
          <w:tcPr>
            <w:tcW w:w="191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765,437,050.51</w:t>
            </w:r>
          </w:p>
        </w:tc>
        <w:tc>
          <w:tcPr>
            <w:tcW w:w="258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99.20%</w:t>
            </w:r>
          </w:p>
        </w:tc>
      </w:tr>
      <w:tr w:rsidR="00A067C6">
        <w:trPr>
          <w:trHeight w:val="240"/>
        </w:trPr>
        <w:tc>
          <w:tcPr>
            <w:tcW w:w="32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基本每股收益（元</w:t>
            </w:r>
            <w:r>
              <w:rPr>
                <w:rFonts w:ascii="宋体" w:eastAsia="宋体" w:hAnsi="宋体" w:cs="宋体"/>
                <w:sz w:val="18"/>
                <w:szCs w:val="18"/>
              </w:rPr>
              <w:t>/</w:t>
            </w:r>
            <w:r>
              <w:rPr>
                <w:rFonts w:ascii="宋体" w:eastAsia="宋体" w:hAnsi="宋体" w:cs="宋体"/>
                <w:sz w:val="18"/>
                <w:szCs w:val="18"/>
              </w:rPr>
              <w:t>股）</w:t>
            </w:r>
          </w:p>
        </w:tc>
        <w:tc>
          <w:tcPr>
            <w:tcW w:w="19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0.05</w:t>
            </w:r>
          </w:p>
        </w:tc>
        <w:tc>
          <w:tcPr>
            <w:tcW w:w="191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0.17</w:t>
            </w:r>
          </w:p>
        </w:tc>
        <w:tc>
          <w:tcPr>
            <w:tcW w:w="258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-70.59%</w:t>
            </w:r>
          </w:p>
        </w:tc>
      </w:tr>
      <w:tr w:rsidR="00A067C6">
        <w:trPr>
          <w:trHeight w:val="240"/>
        </w:trPr>
        <w:tc>
          <w:tcPr>
            <w:tcW w:w="32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稀释每股收益（元</w:t>
            </w:r>
            <w:r>
              <w:rPr>
                <w:rFonts w:ascii="宋体" w:eastAsia="宋体" w:hAnsi="宋体" w:cs="宋体"/>
                <w:sz w:val="18"/>
                <w:szCs w:val="18"/>
              </w:rPr>
              <w:t>/</w:t>
            </w:r>
            <w:r>
              <w:rPr>
                <w:rFonts w:ascii="宋体" w:eastAsia="宋体" w:hAnsi="宋体" w:cs="宋体"/>
                <w:sz w:val="18"/>
                <w:szCs w:val="18"/>
              </w:rPr>
              <w:t>股）</w:t>
            </w:r>
          </w:p>
        </w:tc>
        <w:tc>
          <w:tcPr>
            <w:tcW w:w="19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0.05</w:t>
            </w:r>
          </w:p>
        </w:tc>
        <w:tc>
          <w:tcPr>
            <w:tcW w:w="191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0.17</w:t>
            </w:r>
          </w:p>
        </w:tc>
        <w:tc>
          <w:tcPr>
            <w:tcW w:w="258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-70.59%</w:t>
            </w:r>
          </w:p>
        </w:tc>
      </w:tr>
      <w:tr w:rsidR="00A067C6">
        <w:trPr>
          <w:trHeight w:val="240"/>
        </w:trPr>
        <w:tc>
          <w:tcPr>
            <w:tcW w:w="32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加权平均净资产收益率</w:t>
            </w:r>
          </w:p>
        </w:tc>
        <w:tc>
          <w:tcPr>
            <w:tcW w:w="19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1.29%</w:t>
            </w:r>
          </w:p>
        </w:tc>
        <w:tc>
          <w:tcPr>
            <w:tcW w:w="191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4.09%</w:t>
            </w:r>
          </w:p>
        </w:tc>
        <w:tc>
          <w:tcPr>
            <w:tcW w:w="258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-2.80%</w:t>
            </w:r>
          </w:p>
        </w:tc>
      </w:tr>
      <w:tr w:rsidR="00A067C6">
        <w:trPr>
          <w:trHeight w:val="240"/>
        </w:trPr>
        <w:tc>
          <w:tcPr>
            <w:tcW w:w="32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本报告期末</w:t>
            </w:r>
          </w:p>
        </w:tc>
        <w:tc>
          <w:tcPr>
            <w:tcW w:w="191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上年度末</w:t>
            </w:r>
          </w:p>
        </w:tc>
        <w:tc>
          <w:tcPr>
            <w:tcW w:w="258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本报告期末比上年度末增减</w:t>
            </w:r>
          </w:p>
        </w:tc>
      </w:tr>
      <w:tr w:rsidR="00A067C6">
        <w:trPr>
          <w:trHeight w:val="240"/>
        </w:trPr>
        <w:tc>
          <w:tcPr>
            <w:tcW w:w="32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总资产（元）</w:t>
            </w:r>
          </w:p>
        </w:tc>
        <w:tc>
          <w:tcPr>
            <w:tcW w:w="19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17,967,615,302.84</w:t>
            </w:r>
          </w:p>
        </w:tc>
        <w:tc>
          <w:tcPr>
            <w:tcW w:w="191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18,144,000,776.77</w:t>
            </w:r>
          </w:p>
        </w:tc>
        <w:tc>
          <w:tcPr>
            <w:tcW w:w="258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-0.97%</w:t>
            </w:r>
          </w:p>
        </w:tc>
      </w:tr>
      <w:tr w:rsidR="00A067C6">
        <w:trPr>
          <w:trHeight w:val="240"/>
        </w:trPr>
        <w:tc>
          <w:tcPr>
            <w:tcW w:w="32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归属于上市公司股东的净资产（元）</w:t>
            </w:r>
          </w:p>
        </w:tc>
        <w:tc>
          <w:tcPr>
            <w:tcW w:w="19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6,222,236,693.15</w:t>
            </w:r>
          </w:p>
        </w:tc>
        <w:tc>
          <w:tcPr>
            <w:tcW w:w="191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6,292,682,730.29</w:t>
            </w:r>
          </w:p>
        </w:tc>
        <w:tc>
          <w:tcPr>
            <w:tcW w:w="258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-1.12%</w:t>
            </w:r>
          </w:p>
        </w:tc>
      </w:tr>
    </w:tbl>
    <w:p w:rsidR="00A067C6" w:rsidRDefault="005C4966">
      <w:pPr>
        <w:pStyle w:val="2"/>
        <w:spacing w:before="300" w:after="300" w:line="320" w:lineRule="exact"/>
        <w:rPr>
          <w:rFonts w:ascii="宋体" w:eastAsia="宋体" w:hAnsi="宋体" w:cs="宋体"/>
          <w:b/>
          <w:bCs/>
          <w:sz w:val="24"/>
          <w:szCs w:val="24"/>
        </w:rPr>
      </w:pPr>
      <w:bookmarkStart w:id="9" w:name="_Toc988898"/>
      <w:r>
        <w:rPr>
          <w:rFonts w:ascii="宋体" w:eastAsia="宋体" w:hAnsi="宋体" w:cs="宋体"/>
          <w:b/>
          <w:bCs/>
          <w:sz w:val="24"/>
          <w:szCs w:val="24"/>
        </w:rPr>
        <w:t>五、境内外会计准则下会计数据差异</w:t>
      </w:r>
      <w:bookmarkEnd w:id="9"/>
    </w:p>
    <w:p w:rsidR="00A067C6" w:rsidRDefault="005C4966">
      <w:pPr>
        <w:pStyle w:val="3"/>
        <w:spacing w:line="280" w:lineRule="exact"/>
        <w:jc w:val="left"/>
        <w:rPr>
          <w:rFonts w:ascii="宋体" w:hAnsi="宋体" w:cs="宋体"/>
          <w:b/>
          <w:bCs/>
        </w:rPr>
      </w:pPr>
      <w:bookmarkStart w:id="10" w:name="_Toc988899"/>
      <w:r>
        <w:rPr>
          <w:rFonts w:ascii="宋体" w:hAnsi="宋体" w:cs="宋体"/>
          <w:b/>
          <w:bCs/>
        </w:rPr>
        <w:t>1</w:t>
      </w:r>
      <w:r>
        <w:rPr>
          <w:rFonts w:ascii="宋体" w:hAnsi="宋体" w:cs="宋体"/>
          <w:b/>
          <w:bCs/>
        </w:rPr>
        <w:t>、同时按照国际会计准则与按照中国会计准则披露的财务报告中净利润和净资产差异情况</w:t>
      </w:r>
      <w:bookmarkEnd w:id="10"/>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公司报告期不存在按照国际会计准则与按照中国会计准则披露的财务报告中净利润和净资产差异情况。</w:t>
      </w:r>
    </w:p>
    <w:p w:rsidR="00A067C6" w:rsidRDefault="005C4966">
      <w:pPr>
        <w:pStyle w:val="3"/>
        <w:spacing w:line="280" w:lineRule="exact"/>
        <w:jc w:val="left"/>
        <w:rPr>
          <w:rFonts w:ascii="宋体" w:hAnsi="宋体" w:cs="宋体"/>
          <w:b/>
          <w:bCs/>
        </w:rPr>
      </w:pPr>
      <w:bookmarkStart w:id="11" w:name="_Toc988900"/>
      <w:r>
        <w:rPr>
          <w:rFonts w:ascii="宋体" w:hAnsi="宋体" w:cs="宋体"/>
          <w:b/>
          <w:bCs/>
        </w:rPr>
        <w:t>2</w:t>
      </w:r>
      <w:r>
        <w:rPr>
          <w:rFonts w:ascii="宋体" w:hAnsi="宋体" w:cs="宋体"/>
          <w:b/>
          <w:bCs/>
        </w:rPr>
        <w:t>、同时按照境外会计准则与按照中国会计准则披露的财务报告中净利润和净资产差异情况</w:t>
      </w:r>
      <w:bookmarkEnd w:id="11"/>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公司报告期不存在按照境外会计准则与按照中国会计准则披露的财务报告中净利润和净资产差异情况。</w:t>
      </w:r>
    </w:p>
    <w:p w:rsidR="00A067C6" w:rsidRDefault="005C4966">
      <w:pPr>
        <w:pStyle w:val="2"/>
        <w:spacing w:before="300" w:after="300" w:line="320" w:lineRule="exact"/>
        <w:rPr>
          <w:rFonts w:ascii="宋体" w:eastAsia="宋体" w:hAnsi="宋体" w:cs="宋体"/>
          <w:b/>
          <w:bCs/>
          <w:sz w:val="24"/>
          <w:szCs w:val="24"/>
        </w:rPr>
      </w:pPr>
      <w:bookmarkStart w:id="12" w:name="_Toc988901"/>
      <w:r>
        <w:rPr>
          <w:rFonts w:ascii="宋体" w:eastAsia="宋体" w:hAnsi="宋体" w:cs="宋体"/>
          <w:b/>
          <w:bCs/>
          <w:sz w:val="24"/>
          <w:szCs w:val="24"/>
        </w:rPr>
        <w:t>六、非经常性损益项目及金额</w:t>
      </w:r>
      <w:bookmarkEnd w:id="12"/>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t>不适用</w:t>
      </w:r>
    </w:p>
    <w:p w:rsidR="00A067C6" w:rsidRDefault="005C4966">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338"/>
        <w:gridCol w:w="1559"/>
        <w:gridCol w:w="742"/>
      </w:tblGrid>
      <w:tr w:rsidR="00A067C6">
        <w:trPr>
          <w:trHeight w:val="240"/>
        </w:trPr>
        <w:tc>
          <w:tcPr>
            <w:tcW w:w="733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jc w:val="center"/>
              <w:rPr>
                <w:rFonts w:ascii="宋体" w:eastAsia="宋体" w:hAnsi="宋体" w:cs="宋体"/>
                <w:sz w:val="18"/>
                <w:szCs w:val="18"/>
              </w:rPr>
            </w:pPr>
            <w:r>
              <w:rPr>
                <w:rFonts w:ascii="宋体" w:eastAsia="宋体" w:hAnsi="宋体" w:cs="宋体"/>
                <w:sz w:val="18"/>
                <w:szCs w:val="18"/>
              </w:rPr>
              <w:t>金额</w:t>
            </w:r>
          </w:p>
        </w:tc>
        <w:tc>
          <w:tcPr>
            <w:tcW w:w="742"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jc w:val="center"/>
              <w:rPr>
                <w:rFonts w:ascii="宋体" w:eastAsia="宋体" w:hAnsi="宋体" w:cs="宋体"/>
                <w:sz w:val="18"/>
                <w:szCs w:val="18"/>
              </w:rPr>
            </w:pPr>
            <w:r>
              <w:rPr>
                <w:rFonts w:ascii="宋体" w:eastAsia="宋体" w:hAnsi="宋体" w:cs="宋体"/>
                <w:sz w:val="18"/>
                <w:szCs w:val="18"/>
              </w:rPr>
              <w:t>说明</w:t>
            </w:r>
          </w:p>
        </w:tc>
      </w:tr>
      <w:tr w:rsidR="00A067C6">
        <w:trPr>
          <w:trHeight w:val="240"/>
        </w:trPr>
        <w:tc>
          <w:tcPr>
            <w:tcW w:w="733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非流动资产处置损益（包括已计提资产减值准备的冲销部分）</w:t>
            </w: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163,412.51</w:t>
            </w:r>
          </w:p>
        </w:tc>
        <w:tc>
          <w:tcPr>
            <w:tcW w:w="74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733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计入当期损益的政府补助（与公司正常经营业务密切相关，符合国家政策规定、按照一定标准定额或定量持续享受的政府补助除外）</w:t>
            </w: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67,978,288.42</w:t>
            </w:r>
          </w:p>
        </w:tc>
        <w:tc>
          <w:tcPr>
            <w:tcW w:w="74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733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委托他人投资或管理资产的损益</w:t>
            </w: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3,887,184.09</w:t>
            </w:r>
          </w:p>
        </w:tc>
        <w:tc>
          <w:tcPr>
            <w:tcW w:w="74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733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-54,747,230.19</w:t>
            </w:r>
          </w:p>
        </w:tc>
        <w:tc>
          <w:tcPr>
            <w:tcW w:w="74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733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除上述各项之外的其他营业外收入和支出</w:t>
            </w: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3,415,740.80</w:t>
            </w:r>
          </w:p>
        </w:tc>
        <w:tc>
          <w:tcPr>
            <w:tcW w:w="74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733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减：所得税影响额</w:t>
            </w: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-419,684.08</w:t>
            </w:r>
          </w:p>
        </w:tc>
        <w:tc>
          <w:tcPr>
            <w:tcW w:w="74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733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200" w:firstLine="360"/>
              <w:rPr>
                <w:rFonts w:ascii="宋体" w:eastAsia="宋体" w:hAnsi="宋体" w:cs="宋体"/>
                <w:sz w:val="18"/>
                <w:szCs w:val="18"/>
              </w:rPr>
            </w:pPr>
            <w:r>
              <w:rPr>
                <w:rFonts w:ascii="宋体" w:eastAsia="宋体" w:hAnsi="宋体" w:cs="宋体"/>
                <w:sz w:val="18"/>
                <w:szCs w:val="18"/>
              </w:rPr>
              <w:t>少数股东权益影响额（税后）</w:t>
            </w: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4,380,700.47</w:t>
            </w:r>
          </w:p>
        </w:tc>
        <w:tc>
          <w:tcPr>
            <w:tcW w:w="74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733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合计</w:t>
            </w: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16,736,379.24</w:t>
            </w:r>
          </w:p>
        </w:tc>
        <w:tc>
          <w:tcPr>
            <w:tcW w:w="742" w:type="dxa"/>
            <w:tcBorders>
              <w:top w:val="single" w:sz="2" w:space="0" w:color="auto"/>
              <w:left w:val="single" w:sz="2" w:space="0" w:color="auto"/>
              <w:bottom w:val="single" w:sz="2" w:space="0" w:color="auto"/>
              <w:right w:val="single" w:sz="2" w:space="0" w:color="auto"/>
            </w:tcBorders>
            <w:shd w:val="clear" w:color="auto" w:fill="auto"/>
            <w:vAlign w:val="center"/>
          </w:tcPr>
          <w:p w:rsidR="00A067C6" w:rsidRDefault="00A067C6">
            <w:pPr>
              <w:spacing w:line="240" w:lineRule="exact"/>
              <w:rPr>
                <w:rFonts w:ascii="宋体" w:eastAsia="宋体" w:hAnsi="宋体" w:cs="宋体"/>
                <w:sz w:val="18"/>
                <w:szCs w:val="18"/>
              </w:rPr>
            </w:pP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其他符合非经常性损益定义的损益项目的具体情况：</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公司不存在其他符合非经常性损益定义的损益项目的具体情况。</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将《公开发行证券的公司信息披露解释性公告第</w:t>
      </w:r>
      <w:r>
        <w:rPr>
          <w:rFonts w:ascii="宋体" w:eastAsia="宋体" w:hAnsi="宋体" w:cs="宋体"/>
          <w:sz w:val="18"/>
          <w:szCs w:val="18"/>
        </w:rPr>
        <w:t>1</w:t>
      </w:r>
      <w:r>
        <w:rPr>
          <w:rFonts w:ascii="宋体" w:eastAsia="宋体" w:hAnsi="宋体" w:cs="宋体"/>
          <w:sz w:val="18"/>
          <w:szCs w:val="18"/>
        </w:rPr>
        <w:t>号</w:t>
      </w:r>
      <w:r>
        <w:rPr>
          <w:rFonts w:ascii="宋体" w:eastAsia="宋体" w:hAnsi="宋体" w:cs="宋体"/>
          <w:sz w:val="18"/>
          <w:szCs w:val="18"/>
        </w:rPr>
        <w:t>——</w:t>
      </w:r>
      <w:r>
        <w:rPr>
          <w:rFonts w:ascii="宋体" w:eastAsia="宋体" w:hAnsi="宋体" w:cs="宋体"/>
          <w:sz w:val="18"/>
          <w:szCs w:val="18"/>
        </w:rPr>
        <w:t>非经常性损益》中列举的非经常性损益项目界定为经常性损益项目的情况说明</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公司不存在将《公开发行证券的公司信息披露解释性公告第</w:t>
      </w:r>
      <w:r>
        <w:rPr>
          <w:rFonts w:ascii="宋体" w:eastAsia="宋体" w:hAnsi="宋体" w:cs="宋体"/>
          <w:sz w:val="18"/>
          <w:szCs w:val="18"/>
        </w:rPr>
        <w:t>1</w:t>
      </w:r>
      <w:r>
        <w:rPr>
          <w:rFonts w:ascii="宋体" w:eastAsia="宋体" w:hAnsi="宋体" w:cs="宋体"/>
          <w:sz w:val="18"/>
          <w:szCs w:val="18"/>
        </w:rPr>
        <w:t>号</w:t>
      </w:r>
      <w:r>
        <w:rPr>
          <w:rFonts w:ascii="宋体" w:eastAsia="宋体" w:hAnsi="宋体" w:cs="宋体"/>
          <w:sz w:val="18"/>
          <w:szCs w:val="18"/>
        </w:rPr>
        <w:t>——</w:t>
      </w:r>
      <w:r>
        <w:rPr>
          <w:rFonts w:ascii="宋体" w:eastAsia="宋体" w:hAnsi="宋体" w:cs="宋体"/>
          <w:sz w:val="18"/>
          <w:szCs w:val="18"/>
        </w:rPr>
        <w:t>非经常性损益》中列举的非经常性损益项目界定为经常性损益的项目的情形。</w:t>
      </w:r>
    </w:p>
    <w:p w:rsidR="00A067C6" w:rsidRDefault="005C4966">
      <w:r>
        <w:br w:type="page"/>
      </w:r>
    </w:p>
    <w:p w:rsidR="00A067C6" w:rsidRDefault="005C4966">
      <w:pPr>
        <w:pStyle w:val="headingh1"/>
        <w:spacing w:before="340" w:after="330" w:line="773" w:lineRule="exact"/>
        <w:jc w:val="center"/>
        <w:rPr>
          <w:rFonts w:ascii="宋体" w:eastAsia="宋体" w:hAnsi="宋体" w:cs="宋体"/>
          <w:b/>
          <w:bCs/>
          <w:sz w:val="32"/>
          <w:szCs w:val="32"/>
        </w:rPr>
      </w:pPr>
      <w:bookmarkStart w:id="13" w:name="_Toc988902"/>
      <w:r>
        <w:rPr>
          <w:rFonts w:ascii="宋体" w:eastAsia="宋体" w:hAnsi="宋体" w:cs="宋体"/>
          <w:b/>
          <w:bCs/>
          <w:sz w:val="32"/>
          <w:szCs w:val="32"/>
        </w:rPr>
        <w:t>第三节</w:t>
      </w:r>
      <w:r>
        <w:rPr>
          <w:rFonts w:ascii="宋体" w:eastAsia="宋体" w:hAnsi="宋体" w:cs="宋体"/>
          <w:b/>
          <w:bCs/>
          <w:sz w:val="32"/>
          <w:szCs w:val="32"/>
        </w:rPr>
        <w:t xml:space="preserve"> </w:t>
      </w:r>
      <w:r>
        <w:rPr>
          <w:rFonts w:ascii="宋体" w:eastAsia="宋体" w:hAnsi="宋体" w:cs="宋体"/>
          <w:b/>
          <w:bCs/>
          <w:sz w:val="32"/>
          <w:szCs w:val="32"/>
        </w:rPr>
        <w:t>管理层讨论与分析</w:t>
      </w:r>
      <w:bookmarkEnd w:id="13"/>
    </w:p>
    <w:p w:rsidR="00A067C6" w:rsidRDefault="005C4966">
      <w:pPr>
        <w:pStyle w:val="2"/>
        <w:spacing w:before="300" w:after="300" w:line="320" w:lineRule="exact"/>
        <w:rPr>
          <w:rFonts w:ascii="宋体" w:eastAsia="宋体" w:hAnsi="宋体" w:cs="宋体"/>
          <w:b/>
          <w:bCs/>
          <w:sz w:val="24"/>
          <w:szCs w:val="24"/>
        </w:rPr>
      </w:pPr>
      <w:bookmarkStart w:id="14" w:name="_Toc988903"/>
      <w:r>
        <w:rPr>
          <w:rFonts w:ascii="宋体" w:eastAsia="宋体" w:hAnsi="宋体" w:cs="宋体"/>
          <w:b/>
          <w:bCs/>
          <w:sz w:val="24"/>
          <w:szCs w:val="24"/>
        </w:rPr>
        <w:t>一、报告期内公司从事的主要业务</w:t>
      </w:r>
      <w:bookmarkEnd w:id="14"/>
    </w:p>
    <w:p w:rsidR="00A067C6" w:rsidRDefault="005C4966">
      <w:pPr>
        <w:pStyle w:val="a6"/>
        <w:spacing w:before="0" w:beforeAutospacing="0" w:after="0" w:afterAutospacing="0"/>
        <w:ind w:firstLine="420"/>
        <w:jc w:val="both"/>
        <w:rPr>
          <w:rFonts w:asciiTheme="minorEastAsia" w:eastAsiaTheme="minorEastAsia" w:hAnsiTheme="minorEastAsia" w:cs="Times New Roman"/>
        </w:rPr>
      </w:pPr>
      <w:r>
        <w:rPr>
          <w:rFonts w:asciiTheme="minorEastAsia" w:eastAsiaTheme="minorEastAsia" w:hAnsiTheme="minorEastAsia" w:cs="Times New Roman"/>
          <w:sz w:val="18"/>
          <w:szCs w:val="18"/>
        </w:rPr>
        <w:t>1</w:t>
      </w:r>
      <w:r>
        <w:rPr>
          <w:rFonts w:asciiTheme="minorEastAsia" w:eastAsiaTheme="minorEastAsia" w:hAnsiTheme="minorEastAsia" w:cs="Times New Roman" w:hint="eastAsia"/>
          <w:sz w:val="18"/>
          <w:szCs w:val="18"/>
        </w:rPr>
        <w:t>、公司的主要业务</w:t>
      </w:r>
    </w:p>
    <w:p w:rsidR="00A067C6" w:rsidRDefault="005C4966">
      <w:pPr>
        <w:pStyle w:val="a6"/>
        <w:spacing w:before="0" w:beforeAutospacing="0" w:after="0" w:afterAutospacing="0"/>
        <w:ind w:firstLine="420"/>
        <w:jc w:val="both"/>
        <w:rPr>
          <w:rFonts w:asciiTheme="minorEastAsia" w:eastAsiaTheme="minorEastAsia" w:hAnsiTheme="minorEastAsia" w:cs="Times New Roman"/>
        </w:rPr>
      </w:pPr>
      <w:r>
        <w:rPr>
          <w:rFonts w:asciiTheme="minorEastAsia" w:eastAsiaTheme="minorEastAsia" w:hAnsiTheme="minorEastAsia" w:cs="Times New Roman" w:hint="eastAsia"/>
          <w:sz w:val="18"/>
          <w:szCs w:val="18"/>
        </w:rPr>
        <w:t>公司作为全球最大的色纺纱制造商和供应商之一，主营中高档色纺纱线，配套提供高档新型的坯纱、染色纱，同时提供流行趋势、原料与产品认证、技术咨询等增值服务。通过色彩、材质、工艺技术的集成创新，为客户提供优质的产品和服务。公司在坚持主业的同时，共享产业，以纱线贯通纺织服装产业，整合棉花种植、棉花加工、仓储物流、花纱交易、纺服供应链，实现前后端产业贯通，致力成为全球纺织服装产业时尚营运商。</w:t>
      </w:r>
    </w:p>
    <w:p w:rsidR="00A067C6" w:rsidRDefault="005C4966">
      <w:pPr>
        <w:pStyle w:val="a6"/>
        <w:spacing w:before="0" w:beforeAutospacing="0" w:after="0" w:afterAutospacing="0"/>
        <w:ind w:firstLine="420"/>
        <w:jc w:val="both"/>
        <w:rPr>
          <w:rFonts w:asciiTheme="minorEastAsia" w:eastAsiaTheme="minorEastAsia" w:hAnsiTheme="minorEastAsia" w:cs="Times New Roman"/>
        </w:rPr>
      </w:pPr>
      <w:r>
        <w:rPr>
          <w:rFonts w:asciiTheme="minorEastAsia" w:eastAsiaTheme="minorEastAsia" w:hAnsiTheme="minorEastAsia" w:cs="Times New Roman"/>
          <w:sz w:val="18"/>
          <w:szCs w:val="18"/>
        </w:rPr>
        <w:t>2</w:t>
      </w:r>
      <w:r>
        <w:rPr>
          <w:rFonts w:asciiTheme="minorEastAsia" w:eastAsiaTheme="minorEastAsia" w:hAnsiTheme="minorEastAsia" w:cs="Times New Roman" w:hint="eastAsia"/>
          <w:sz w:val="18"/>
          <w:szCs w:val="18"/>
        </w:rPr>
        <w:t>、经营模式</w:t>
      </w:r>
    </w:p>
    <w:p w:rsidR="00A067C6" w:rsidRDefault="005C4966">
      <w:pPr>
        <w:pStyle w:val="a6"/>
        <w:spacing w:before="0" w:beforeAutospacing="0" w:after="0" w:afterAutospacing="0"/>
        <w:ind w:firstLine="420"/>
        <w:jc w:val="both"/>
        <w:rPr>
          <w:rFonts w:asciiTheme="minorEastAsia" w:eastAsiaTheme="minorEastAsia" w:hAnsiTheme="minorEastAsia" w:cs="Times New Roman"/>
        </w:rPr>
      </w:pPr>
      <w:r>
        <w:rPr>
          <w:rFonts w:asciiTheme="minorEastAsia" w:eastAsiaTheme="minorEastAsia" w:hAnsiTheme="minorEastAsia" w:cs="Times New Roman" w:hint="eastAsia"/>
          <w:sz w:val="18"/>
          <w:szCs w:val="18"/>
        </w:rPr>
        <w:t>主营纱线方面，目前纱线产能</w:t>
      </w:r>
      <w:r>
        <w:rPr>
          <w:rFonts w:asciiTheme="minorEastAsia" w:eastAsiaTheme="minorEastAsia" w:hAnsiTheme="minorEastAsia" w:cs="Times New Roman"/>
          <w:sz w:val="18"/>
          <w:szCs w:val="18"/>
        </w:rPr>
        <w:t>206</w:t>
      </w:r>
      <w:r>
        <w:rPr>
          <w:rFonts w:asciiTheme="minorEastAsia" w:eastAsiaTheme="minorEastAsia" w:hAnsiTheme="minorEastAsia" w:cs="Times New Roman" w:hint="eastAsia"/>
          <w:sz w:val="18"/>
          <w:szCs w:val="18"/>
        </w:rPr>
        <w:t>万锭，年产</w:t>
      </w:r>
      <w:r>
        <w:rPr>
          <w:rFonts w:asciiTheme="minorEastAsia" w:eastAsiaTheme="minorEastAsia" w:hAnsiTheme="minorEastAsia" w:cs="Times New Roman"/>
          <w:sz w:val="18"/>
          <w:szCs w:val="18"/>
        </w:rPr>
        <w:t>29</w:t>
      </w:r>
      <w:r>
        <w:rPr>
          <w:rFonts w:asciiTheme="minorEastAsia" w:eastAsiaTheme="minorEastAsia" w:hAnsiTheme="minorEastAsia" w:cs="Times New Roman" w:hint="eastAsia"/>
          <w:sz w:val="18"/>
          <w:szCs w:val="18"/>
        </w:rPr>
        <w:t>万吨新型纱线，生产基地覆盖中国东部和新疆、越南等地。公司通过产业链协</w:t>
      </w:r>
      <w:r>
        <w:rPr>
          <w:rFonts w:asciiTheme="minorEastAsia" w:eastAsiaTheme="minorEastAsia" w:hAnsiTheme="minorEastAsia" w:cs="Times New Roman" w:hint="eastAsia"/>
          <w:sz w:val="18"/>
          <w:szCs w:val="18"/>
        </w:rPr>
        <w:t>同，统筹市场及订单信息，制定</w:t>
      </w:r>
      <w:r>
        <w:rPr>
          <w:rFonts w:asciiTheme="minorEastAsia" w:eastAsiaTheme="minorEastAsia" w:hAnsiTheme="minorEastAsia" w:cs="Times New Roman"/>
          <w:sz w:val="18"/>
          <w:szCs w:val="18"/>
        </w:rPr>
        <w:t>“</w:t>
      </w:r>
      <w:r>
        <w:rPr>
          <w:rFonts w:asciiTheme="minorEastAsia" w:eastAsiaTheme="minorEastAsia" w:hAnsiTheme="minorEastAsia" w:cs="Times New Roman" w:hint="eastAsia"/>
          <w:sz w:val="18"/>
          <w:szCs w:val="18"/>
        </w:rPr>
        <w:t>点（产地）对点（客户）</w:t>
      </w:r>
      <w:r>
        <w:rPr>
          <w:rFonts w:asciiTheme="minorEastAsia" w:eastAsiaTheme="minorEastAsia" w:hAnsiTheme="minorEastAsia" w:cs="Times New Roman"/>
          <w:sz w:val="18"/>
          <w:szCs w:val="18"/>
        </w:rPr>
        <w:t>”</w:t>
      </w:r>
      <w:r>
        <w:rPr>
          <w:rFonts w:asciiTheme="minorEastAsia" w:eastAsiaTheme="minorEastAsia" w:hAnsiTheme="minorEastAsia" w:cs="Times New Roman" w:hint="eastAsia"/>
          <w:sz w:val="18"/>
          <w:szCs w:val="18"/>
        </w:rPr>
        <w:t>的供应链计划，分区域、分工厂、分生产线进行规模化定制，公司坚持以客户为本，品质至上，以趋势为方向，通过产品创新提升产品品质及附加值，赢得了客户的信赖。</w:t>
      </w:r>
    </w:p>
    <w:p w:rsidR="00A067C6" w:rsidRDefault="005C4966">
      <w:pPr>
        <w:pStyle w:val="a6"/>
        <w:spacing w:before="0" w:beforeAutospacing="0" w:after="0" w:afterAutospacing="0"/>
        <w:ind w:firstLine="420"/>
        <w:jc w:val="both"/>
        <w:rPr>
          <w:rFonts w:asciiTheme="minorEastAsia" w:eastAsiaTheme="minorEastAsia" w:hAnsiTheme="minorEastAsia" w:cs="Times New Roman"/>
        </w:rPr>
      </w:pPr>
      <w:r>
        <w:rPr>
          <w:rFonts w:asciiTheme="minorEastAsia" w:eastAsiaTheme="minorEastAsia" w:hAnsiTheme="minorEastAsia" w:cs="Times New Roman" w:hint="eastAsia"/>
          <w:sz w:val="18"/>
          <w:szCs w:val="18"/>
        </w:rPr>
        <w:t>前端网链以“棉花加工（含农业、物流）、棉花贸易和棉花金融投资”作为核心业务；后端网链目前已经设立阿大数智互联袜业平台，包括自主品牌经营、品牌授权经营、贴牌业务经营、纱线经营等业务模式。</w:t>
      </w:r>
    </w:p>
    <w:p w:rsidR="00A067C6" w:rsidRDefault="005C4966">
      <w:pPr>
        <w:pStyle w:val="a6"/>
        <w:spacing w:before="0" w:beforeAutospacing="0" w:after="0" w:afterAutospacing="0"/>
        <w:ind w:firstLine="420"/>
        <w:jc w:val="both"/>
        <w:rPr>
          <w:rFonts w:asciiTheme="minorEastAsia" w:eastAsiaTheme="minorEastAsia" w:hAnsiTheme="minorEastAsia" w:cs="Times New Roman"/>
        </w:rPr>
      </w:pPr>
      <w:r>
        <w:rPr>
          <w:rFonts w:asciiTheme="minorEastAsia" w:eastAsiaTheme="minorEastAsia" w:hAnsiTheme="minorEastAsia" w:cs="Times New Roman"/>
          <w:sz w:val="18"/>
          <w:szCs w:val="18"/>
        </w:rPr>
        <w:t>3</w:t>
      </w:r>
      <w:r>
        <w:rPr>
          <w:rFonts w:asciiTheme="minorEastAsia" w:eastAsiaTheme="minorEastAsia" w:hAnsiTheme="minorEastAsia" w:cs="Times New Roman" w:hint="eastAsia"/>
          <w:sz w:val="18"/>
          <w:szCs w:val="18"/>
        </w:rPr>
        <w:t>、主营业务分析</w:t>
      </w:r>
    </w:p>
    <w:p w:rsidR="00A067C6" w:rsidRDefault="005C4966">
      <w:pPr>
        <w:pStyle w:val="a6"/>
        <w:spacing w:before="0" w:beforeAutospacing="0" w:after="0" w:afterAutospacing="0"/>
        <w:ind w:firstLine="420"/>
        <w:jc w:val="both"/>
        <w:rPr>
          <w:rFonts w:asciiTheme="minorEastAsia" w:eastAsiaTheme="minorEastAsia" w:hAnsiTheme="minorEastAsia" w:cs="Times New Roman"/>
        </w:rPr>
      </w:pPr>
      <w:r>
        <w:rPr>
          <w:rFonts w:asciiTheme="minorEastAsia" w:eastAsiaTheme="minorEastAsia" w:hAnsiTheme="minorEastAsia" w:cs="Times New Roman" w:hint="eastAsia"/>
          <w:sz w:val="18"/>
          <w:szCs w:val="18"/>
        </w:rPr>
        <w:t>报告期内，公司实现营业收入</w:t>
      </w:r>
      <w:r>
        <w:rPr>
          <w:rFonts w:asciiTheme="minorEastAsia" w:eastAsiaTheme="minorEastAsia" w:hAnsiTheme="minorEastAsia" w:cs="Times New Roman"/>
          <w:sz w:val="18"/>
          <w:szCs w:val="18"/>
        </w:rPr>
        <w:t>77.53</w:t>
      </w:r>
      <w:r>
        <w:rPr>
          <w:rFonts w:asciiTheme="minorEastAsia" w:eastAsiaTheme="minorEastAsia" w:hAnsiTheme="minorEastAsia" w:cs="Times New Roman" w:hint="eastAsia"/>
          <w:sz w:val="18"/>
          <w:szCs w:val="18"/>
        </w:rPr>
        <w:t>亿元，同比下降</w:t>
      </w:r>
      <w:r>
        <w:rPr>
          <w:rFonts w:asciiTheme="minorEastAsia" w:eastAsiaTheme="minorEastAsia" w:hAnsiTheme="minorEastAsia" w:cs="Times New Roman"/>
          <w:sz w:val="18"/>
          <w:szCs w:val="18"/>
        </w:rPr>
        <w:t>9.17%</w:t>
      </w:r>
      <w:r>
        <w:rPr>
          <w:rFonts w:asciiTheme="minorEastAsia" w:eastAsiaTheme="minorEastAsia" w:hAnsiTheme="minorEastAsia" w:cs="Times New Roman" w:hint="eastAsia"/>
          <w:sz w:val="18"/>
          <w:szCs w:val="18"/>
        </w:rPr>
        <w:t>，归母净利润</w:t>
      </w:r>
      <w:r>
        <w:rPr>
          <w:rFonts w:asciiTheme="minorEastAsia" w:eastAsiaTheme="minorEastAsia" w:hAnsiTheme="minorEastAsia" w:cs="Times New Roman"/>
          <w:sz w:val="18"/>
          <w:szCs w:val="18"/>
        </w:rPr>
        <w:t>8140.28</w:t>
      </w:r>
      <w:r>
        <w:rPr>
          <w:rFonts w:asciiTheme="minorEastAsia" w:eastAsiaTheme="minorEastAsia" w:hAnsiTheme="minorEastAsia" w:cs="Times New Roman" w:hint="eastAsia"/>
          <w:sz w:val="18"/>
          <w:szCs w:val="18"/>
        </w:rPr>
        <w:t>万元，同比下降</w:t>
      </w:r>
      <w:r>
        <w:rPr>
          <w:rFonts w:asciiTheme="minorEastAsia" w:eastAsiaTheme="minorEastAsia" w:hAnsiTheme="minorEastAsia" w:cs="Times New Roman"/>
          <w:sz w:val="18"/>
          <w:szCs w:val="18"/>
        </w:rPr>
        <w:t>7</w:t>
      </w:r>
      <w:r>
        <w:rPr>
          <w:rFonts w:asciiTheme="minorEastAsia" w:eastAsiaTheme="minorEastAsia" w:hAnsiTheme="minorEastAsia" w:cs="Times New Roman"/>
          <w:sz w:val="18"/>
          <w:szCs w:val="18"/>
        </w:rPr>
        <w:t>2.17%</w:t>
      </w:r>
      <w:r>
        <w:rPr>
          <w:rFonts w:asciiTheme="minorEastAsia" w:eastAsiaTheme="minorEastAsia" w:hAnsiTheme="minorEastAsia" w:cs="Times New Roman" w:hint="eastAsia"/>
          <w:sz w:val="18"/>
          <w:szCs w:val="18"/>
        </w:rPr>
        <w:t>。</w:t>
      </w:r>
      <w:r>
        <w:rPr>
          <w:rFonts w:asciiTheme="minorEastAsia" w:eastAsiaTheme="minorEastAsia" w:hAnsiTheme="minorEastAsia" w:cs="Times New Roman"/>
          <w:sz w:val="18"/>
          <w:szCs w:val="18"/>
        </w:rPr>
        <w:t>2023</w:t>
      </w:r>
      <w:r>
        <w:rPr>
          <w:rFonts w:asciiTheme="minorEastAsia" w:eastAsiaTheme="minorEastAsia" w:hAnsiTheme="minorEastAsia" w:cs="Times New Roman" w:hint="eastAsia"/>
          <w:sz w:val="18"/>
          <w:szCs w:val="18"/>
        </w:rPr>
        <w:t>年上半年，公司整体生产稳步回升，二季度以来，行业外贸形势较为严峻，纺织品服装出口额同比增速明显放缓，内需市场需求仍然偏弱，内生动力有待增强，市场需求恢复不及预期，订单不足，毛利下降，导致公司报告期内归属于母公司股东的净利润下降。</w:t>
      </w:r>
    </w:p>
    <w:p w:rsidR="00A067C6" w:rsidRDefault="005C4966">
      <w:pPr>
        <w:pStyle w:val="a6"/>
        <w:spacing w:before="0" w:beforeAutospacing="0" w:after="0" w:afterAutospacing="0"/>
        <w:ind w:firstLine="420"/>
        <w:jc w:val="both"/>
        <w:rPr>
          <w:rFonts w:asciiTheme="minorEastAsia" w:eastAsiaTheme="minorEastAsia" w:hAnsiTheme="minorEastAsia" w:cs="Times New Roman"/>
        </w:rPr>
      </w:pPr>
      <w:r>
        <w:rPr>
          <w:rFonts w:asciiTheme="minorEastAsia" w:eastAsiaTheme="minorEastAsia" w:hAnsiTheme="minorEastAsia" w:cs="Times New Roman" w:hint="eastAsia"/>
          <w:sz w:val="18"/>
          <w:szCs w:val="18"/>
        </w:rPr>
        <w:t>后续公司将持续优化经营策略，把握原料价格趋势，加强成本控制，做好品类规划，优化产品结构，继续深耕国内市场，积极拓展海外市场，抓住产业集中度提升机会，围绕功能科技、时尚快反、可持续发展、高质量发展四条主线，做全品类的供应商。</w:t>
      </w:r>
    </w:p>
    <w:p w:rsidR="00A067C6" w:rsidRDefault="005C4966">
      <w:pPr>
        <w:pStyle w:val="a6"/>
        <w:spacing w:before="0" w:beforeAutospacing="0" w:after="0" w:afterAutospacing="0"/>
        <w:ind w:firstLine="420"/>
        <w:jc w:val="both"/>
        <w:rPr>
          <w:rFonts w:asciiTheme="minorEastAsia" w:eastAsiaTheme="minorEastAsia" w:hAnsiTheme="minorEastAsia" w:cs="Times New Roman"/>
        </w:rPr>
      </w:pPr>
      <w:r>
        <w:rPr>
          <w:rFonts w:asciiTheme="minorEastAsia" w:eastAsiaTheme="minorEastAsia" w:hAnsiTheme="minorEastAsia" w:cs="Times New Roman" w:hint="eastAsia"/>
          <w:sz w:val="18"/>
          <w:szCs w:val="18"/>
        </w:rPr>
        <w:t>积极推进数字化工厂建设，推行生产数智化</w:t>
      </w:r>
      <w:r>
        <w:rPr>
          <w:rFonts w:asciiTheme="minorEastAsia" w:eastAsiaTheme="minorEastAsia" w:hAnsiTheme="minorEastAsia" w:cs="Times New Roman" w:hint="eastAsia"/>
          <w:sz w:val="18"/>
          <w:szCs w:val="18"/>
        </w:rPr>
        <w:t>管理，公司数字化架构</w:t>
      </w:r>
      <w:r>
        <w:rPr>
          <w:rFonts w:asciiTheme="minorEastAsia" w:eastAsiaTheme="minorEastAsia" w:hAnsiTheme="minorEastAsia" w:cs="Times New Roman"/>
          <w:sz w:val="18"/>
          <w:szCs w:val="18"/>
        </w:rPr>
        <w:t>100%</w:t>
      </w:r>
      <w:r>
        <w:rPr>
          <w:rFonts w:asciiTheme="minorEastAsia" w:eastAsiaTheme="minorEastAsia" w:hAnsiTheme="minorEastAsia" w:cs="Times New Roman" w:hint="eastAsia"/>
          <w:sz w:val="18"/>
          <w:szCs w:val="18"/>
        </w:rPr>
        <w:t>搭建完成，新要素降本增效效果逐步体现。</w:t>
      </w:r>
    </w:p>
    <w:p w:rsidR="00A067C6" w:rsidRDefault="005C4966">
      <w:pPr>
        <w:pStyle w:val="a6"/>
        <w:spacing w:before="0" w:beforeAutospacing="0" w:after="0" w:afterAutospacing="0"/>
        <w:ind w:firstLine="420"/>
        <w:jc w:val="both"/>
        <w:rPr>
          <w:rFonts w:asciiTheme="minorEastAsia" w:eastAsiaTheme="minorEastAsia" w:hAnsiTheme="minorEastAsia" w:cs="Times New Roman"/>
        </w:rPr>
      </w:pPr>
      <w:r>
        <w:rPr>
          <w:rFonts w:asciiTheme="minorEastAsia" w:eastAsiaTheme="minorEastAsia" w:hAnsiTheme="minorEastAsia" w:cs="Times New Roman" w:hint="eastAsia"/>
          <w:sz w:val="18"/>
          <w:szCs w:val="18"/>
        </w:rPr>
        <w:t>坚持做强主业，加快共享产业，</w:t>
      </w:r>
      <w:r>
        <w:rPr>
          <w:rFonts w:asciiTheme="minorEastAsia" w:eastAsiaTheme="minorEastAsia" w:hAnsiTheme="minorEastAsia" w:cs="Times New Roman"/>
          <w:sz w:val="18"/>
          <w:szCs w:val="18"/>
        </w:rPr>
        <w:t>2023</w:t>
      </w:r>
      <w:r>
        <w:rPr>
          <w:rFonts w:asciiTheme="minorEastAsia" w:eastAsiaTheme="minorEastAsia" w:hAnsiTheme="minorEastAsia" w:cs="Times New Roman" w:hint="eastAsia"/>
          <w:sz w:val="18"/>
          <w:szCs w:val="18"/>
        </w:rPr>
        <w:t>年后端网链在继续小商品产业园袜机数字化建设的同时，开始推进诸暨当地数字化工厂改造，并通过</w:t>
      </w:r>
      <w:r>
        <w:rPr>
          <w:rFonts w:asciiTheme="minorEastAsia" w:eastAsiaTheme="minorEastAsia" w:hAnsiTheme="minorEastAsia" w:cs="Times New Roman"/>
          <w:sz w:val="18"/>
          <w:szCs w:val="18"/>
        </w:rPr>
        <w:t>SaaS</w:t>
      </w:r>
      <w:r>
        <w:rPr>
          <w:rFonts w:asciiTheme="minorEastAsia" w:eastAsiaTheme="minorEastAsia" w:hAnsiTheme="minorEastAsia" w:cs="Times New Roman" w:hint="eastAsia"/>
          <w:sz w:val="18"/>
          <w:szCs w:val="18"/>
        </w:rPr>
        <w:t>平台连接新疆阿克苏地区以及淮北产业园，完成以数字驱动、产业互联、订单共享的集产品研发、祙品交易、纱线供应、物流金融支持的全产业链平台。</w:t>
      </w:r>
    </w:p>
    <w:p w:rsidR="00A067C6" w:rsidRDefault="005C4966">
      <w:pPr>
        <w:spacing w:before="100" w:after="100" w:line="240" w:lineRule="exact"/>
        <w:rPr>
          <w:rFonts w:asciiTheme="minorEastAsia" w:hAnsiTheme="minorEastAsia" w:cs="宋体"/>
          <w:sz w:val="18"/>
          <w:szCs w:val="18"/>
        </w:rPr>
      </w:pPr>
      <w:r>
        <w:rPr>
          <w:rFonts w:asciiTheme="minorEastAsia" w:hAnsiTheme="minorEastAsia" w:cs="宋体" w:hint="eastAsia"/>
          <w:sz w:val="18"/>
          <w:szCs w:val="18"/>
        </w:rPr>
        <w:t xml:space="preserve">     </w:t>
      </w:r>
      <w:r>
        <w:rPr>
          <w:rFonts w:asciiTheme="minorEastAsia" w:hAnsiTheme="minorEastAsia" w:cs="宋体"/>
          <w:sz w:val="18"/>
          <w:szCs w:val="18"/>
        </w:rPr>
        <w:t>公司需遵守《深圳证券交易所上市公司自律监管指引第</w:t>
      </w:r>
      <w:r>
        <w:rPr>
          <w:rFonts w:asciiTheme="minorEastAsia" w:hAnsiTheme="minorEastAsia" w:cs="宋体"/>
          <w:sz w:val="18"/>
          <w:szCs w:val="18"/>
        </w:rPr>
        <w:t>3</w:t>
      </w:r>
      <w:r>
        <w:rPr>
          <w:rFonts w:asciiTheme="minorEastAsia" w:hAnsiTheme="minorEastAsia" w:cs="宋体"/>
          <w:sz w:val="18"/>
          <w:szCs w:val="18"/>
        </w:rPr>
        <w:t>号</w:t>
      </w:r>
      <w:r>
        <w:rPr>
          <w:rFonts w:asciiTheme="minorEastAsia" w:hAnsiTheme="minorEastAsia" w:cs="宋体"/>
          <w:sz w:val="18"/>
          <w:szCs w:val="18"/>
        </w:rPr>
        <w:t>——</w:t>
      </w:r>
      <w:r>
        <w:rPr>
          <w:rFonts w:asciiTheme="minorEastAsia" w:hAnsiTheme="minorEastAsia" w:cs="宋体"/>
          <w:sz w:val="18"/>
          <w:szCs w:val="18"/>
        </w:rPr>
        <w:t>行业信息披露》中的</w:t>
      </w:r>
      <w:r>
        <w:rPr>
          <w:rFonts w:asciiTheme="minorEastAsia" w:hAnsiTheme="minorEastAsia" w:cs="宋体"/>
          <w:sz w:val="18"/>
          <w:szCs w:val="18"/>
        </w:rPr>
        <w:t>“</w:t>
      </w:r>
      <w:r>
        <w:rPr>
          <w:rFonts w:asciiTheme="minorEastAsia" w:hAnsiTheme="minorEastAsia" w:cs="宋体"/>
          <w:sz w:val="18"/>
          <w:szCs w:val="18"/>
        </w:rPr>
        <w:t>纺织服装相关业务</w:t>
      </w:r>
      <w:r>
        <w:rPr>
          <w:rFonts w:asciiTheme="minorEastAsia" w:hAnsiTheme="minorEastAsia" w:cs="宋体"/>
          <w:sz w:val="18"/>
          <w:szCs w:val="18"/>
        </w:rPr>
        <w:t>”</w:t>
      </w:r>
      <w:r>
        <w:rPr>
          <w:rFonts w:asciiTheme="minorEastAsia" w:hAnsiTheme="minorEastAsia" w:cs="宋体"/>
          <w:sz w:val="18"/>
          <w:szCs w:val="18"/>
        </w:rPr>
        <w:t>的披露要求</w:t>
      </w:r>
    </w:p>
    <w:p w:rsidR="00A067C6" w:rsidRDefault="005C4966">
      <w:pPr>
        <w:pStyle w:val="a6"/>
        <w:spacing w:before="0" w:beforeAutospacing="0" w:after="0" w:afterAutospacing="0"/>
        <w:ind w:firstLine="420"/>
        <w:jc w:val="both"/>
        <w:rPr>
          <w:rFonts w:asciiTheme="minorEastAsia" w:eastAsiaTheme="minorEastAsia" w:hAnsiTheme="minorEastAsia" w:cs="Times New Roman"/>
        </w:rPr>
      </w:pPr>
      <w:r>
        <w:rPr>
          <w:rFonts w:asciiTheme="minorEastAsia" w:eastAsiaTheme="minorEastAsia" w:hAnsiTheme="minorEastAsia" w:cs="Times New Roman" w:hint="eastAsia"/>
          <w:sz w:val="18"/>
          <w:szCs w:val="18"/>
        </w:rPr>
        <w:t>根据工业和信息化部消费品工业司数据</w:t>
      </w:r>
      <w:r>
        <w:rPr>
          <w:rFonts w:asciiTheme="minorEastAsia" w:eastAsiaTheme="minorEastAsia" w:hAnsiTheme="minorEastAsia" w:cs="Times New Roman"/>
          <w:sz w:val="18"/>
          <w:szCs w:val="18"/>
        </w:rPr>
        <w:t>1</w:t>
      </w:r>
      <w:r>
        <w:rPr>
          <w:rFonts w:asciiTheme="minorEastAsia" w:eastAsiaTheme="minorEastAsia" w:hAnsiTheme="minorEastAsia" w:cs="Times New Roman" w:hint="eastAsia"/>
          <w:sz w:val="18"/>
          <w:szCs w:val="18"/>
        </w:rPr>
        <w:t>－</w:t>
      </w:r>
      <w:r>
        <w:rPr>
          <w:rFonts w:asciiTheme="minorEastAsia" w:eastAsiaTheme="minorEastAsia" w:hAnsiTheme="minorEastAsia" w:cs="Times New Roman"/>
          <w:sz w:val="18"/>
          <w:szCs w:val="18"/>
        </w:rPr>
        <w:t>6</w:t>
      </w:r>
      <w:r>
        <w:rPr>
          <w:rFonts w:asciiTheme="minorEastAsia" w:eastAsiaTheme="minorEastAsia" w:hAnsiTheme="minorEastAsia" w:cs="Times New Roman" w:hint="eastAsia"/>
          <w:sz w:val="18"/>
          <w:szCs w:val="18"/>
        </w:rPr>
        <w:t>月，规模以上纺织企业</w:t>
      </w:r>
      <w:r>
        <w:rPr>
          <w:rFonts w:asciiTheme="minorEastAsia" w:eastAsiaTheme="minorEastAsia" w:hAnsiTheme="minorEastAsia" w:cs="Times New Roman" w:hint="eastAsia"/>
          <w:sz w:val="18"/>
          <w:szCs w:val="18"/>
        </w:rPr>
        <w:t>工业增加值同比下降</w:t>
      </w:r>
      <w:r>
        <w:rPr>
          <w:rFonts w:asciiTheme="minorEastAsia" w:eastAsiaTheme="minorEastAsia" w:hAnsiTheme="minorEastAsia" w:cs="Times New Roman"/>
          <w:sz w:val="18"/>
          <w:szCs w:val="18"/>
        </w:rPr>
        <w:t>3.0%</w:t>
      </w:r>
      <w:r>
        <w:rPr>
          <w:rFonts w:asciiTheme="minorEastAsia" w:eastAsiaTheme="minorEastAsia" w:hAnsiTheme="minorEastAsia" w:cs="Times New Roman" w:hint="eastAsia"/>
          <w:sz w:val="18"/>
          <w:szCs w:val="18"/>
        </w:rPr>
        <w:t>，营业收入</w:t>
      </w:r>
      <w:r>
        <w:rPr>
          <w:rFonts w:asciiTheme="minorEastAsia" w:eastAsiaTheme="minorEastAsia" w:hAnsiTheme="minorEastAsia" w:cs="Times New Roman"/>
          <w:sz w:val="18"/>
          <w:szCs w:val="18"/>
        </w:rPr>
        <w:t>21818</w:t>
      </w:r>
      <w:r>
        <w:rPr>
          <w:rFonts w:asciiTheme="minorEastAsia" w:eastAsiaTheme="minorEastAsia" w:hAnsiTheme="minorEastAsia" w:cs="Times New Roman" w:hint="eastAsia"/>
          <w:sz w:val="18"/>
          <w:szCs w:val="18"/>
        </w:rPr>
        <w:t>亿元，同比下降</w:t>
      </w:r>
      <w:r>
        <w:rPr>
          <w:rFonts w:asciiTheme="minorEastAsia" w:eastAsiaTheme="minorEastAsia" w:hAnsiTheme="minorEastAsia" w:cs="Times New Roman"/>
          <w:sz w:val="18"/>
          <w:szCs w:val="18"/>
        </w:rPr>
        <w:t>5.1%</w:t>
      </w:r>
      <w:r>
        <w:rPr>
          <w:rFonts w:asciiTheme="minorEastAsia" w:eastAsiaTheme="minorEastAsia" w:hAnsiTheme="minorEastAsia" w:cs="Times New Roman" w:hint="eastAsia"/>
          <w:sz w:val="18"/>
          <w:szCs w:val="18"/>
        </w:rPr>
        <w:t>；利润总额</w:t>
      </w:r>
      <w:r>
        <w:rPr>
          <w:rFonts w:asciiTheme="minorEastAsia" w:eastAsiaTheme="minorEastAsia" w:hAnsiTheme="minorEastAsia" w:cs="Times New Roman"/>
          <w:sz w:val="18"/>
          <w:szCs w:val="18"/>
        </w:rPr>
        <w:t>595</w:t>
      </w:r>
      <w:r>
        <w:rPr>
          <w:rFonts w:asciiTheme="minorEastAsia" w:eastAsiaTheme="minorEastAsia" w:hAnsiTheme="minorEastAsia" w:cs="Times New Roman" w:hint="eastAsia"/>
          <w:sz w:val="18"/>
          <w:szCs w:val="18"/>
        </w:rPr>
        <w:t>亿元，同比下降</w:t>
      </w:r>
      <w:r>
        <w:rPr>
          <w:rFonts w:asciiTheme="minorEastAsia" w:eastAsiaTheme="minorEastAsia" w:hAnsiTheme="minorEastAsia" w:cs="Times New Roman"/>
          <w:sz w:val="18"/>
          <w:szCs w:val="18"/>
        </w:rPr>
        <w:t>21.3%</w:t>
      </w:r>
      <w:r>
        <w:rPr>
          <w:rFonts w:asciiTheme="minorEastAsia" w:eastAsiaTheme="minorEastAsia" w:hAnsiTheme="minorEastAsia" w:cs="Times New Roman" w:hint="eastAsia"/>
          <w:sz w:val="18"/>
          <w:szCs w:val="18"/>
        </w:rPr>
        <w:t>。规模以上企业纱、布、服装产量同比分别下降</w:t>
      </w:r>
      <w:r>
        <w:rPr>
          <w:rFonts w:asciiTheme="minorEastAsia" w:eastAsiaTheme="minorEastAsia" w:hAnsiTheme="minorEastAsia" w:cs="Times New Roman"/>
          <w:sz w:val="18"/>
          <w:szCs w:val="18"/>
        </w:rPr>
        <w:t>3.8%</w:t>
      </w:r>
      <w:r>
        <w:rPr>
          <w:rFonts w:asciiTheme="minorEastAsia" w:eastAsiaTheme="minorEastAsia" w:hAnsiTheme="minorEastAsia" w:cs="Times New Roman" w:hint="eastAsia"/>
          <w:sz w:val="18"/>
          <w:szCs w:val="18"/>
        </w:rPr>
        <w:t>、</w:t>
      </w:r>
      <w:r>
        <w:rPr>
          <w:rFonts w:asciiTheme="minorEastAsia" w:eastAsiaTheme="minorEastAsia" w:hAnsiTheme="minorEastAsia" w:cs="Times New Roman"/>
          <w:sz w:val="18"/>
          <w:szCs w:val="18"/>
        </w:rPr>
        <w:t>5.0%</w:t>
      </w:r>
      <w:r>
        <w:rPr>
          <w:rFonts w:asciiTheme="minorEastAsia" w:eastAsiaTheme="minorEastAsia" w:hAnsiTheme="minorEastAsia" w:cs="Times New Roman" w:hint="eastAsia"/>
          <w:sz w:val="18"/>
          <w:szCs w:val="18"/>
        </w:rPr>
        <w:t>、</w:t>
      </w:r>
      <w:r>
        <w:rPr>
          <w:rFonts w:asciiTheme="minorEastAsia" w:eastAsiaTheme="minorEastAsia" w:hAnsiTheme="minorEastAsia" w:cs="Times New Roman"/>
          <w:sz w:val="18"/>
          <w:szCs w:val="18"/>
        </w:rPr>
        <w:t>7.8%</w:t>
      </w:r>
      <w:r>
        <w:rPr>
          <w:rFonts w:asciiTheme="minorEastAsia" w:eastAsiaTheme="minorEastAsia" w:hAnsiTheme="minorEastAsia" w:cs="Times New Roman" w:hint="eastAsia"/>
          <w:sz w:val="18"/>
          <w:szCs w:val="18"/>
        </w:rPr>
        <w:t>，化纤产量同比增长</w:t>
      </w:r>
      <w:r>
        <w:rPr>
          <w:rFonts w:asciiTheme="minorEastAsia" w:eastAsiaTheme="minorEastAsia" w:hAnsiTheme="minorEastAsia" w:cs="Times New Roman"/>
          <w:sz w:val="18"/>
          <w:szCs w:val="18"/>
        </w:rPr>
        <w:t>3.9%</w:t>
      </w:r>
      <w:r>
        <w:rPr>
          <w:rFonts w:asciiTheme="minorEastAsia" w:eastAsiaTheme="minorEastAsia" w:hAnsiTheme="minorEastAsia" w:cs="Times New Roman" w:hint="eastAsia"/>
          <w:sz w:val="18"/>
          <w:szCs w:val="18"/>
        </w:rPr>
        <w:t>。</w:t>
      </w:r>
      <w:r>
        <w:rPr>
          <w:rFonts w:asciiTheme="minorEastAsia" w:eastAsiaTheme="minorEastAsia" w:hAnsiTheme="minorEastAsia" w:cs="Times New Roman"/>
          <w:sz w:val="18"/>
          <w:szCs w:val="18"/>
        </w:rPr>
        <w:t>1</w:t>
      </w:r>
      <w:r>
        <w:rPr>
          <w:rFonts w:asciiTheme="minorEastAsia" w:eastAsiaTheme="minorEastAsia" w:hAnsiTheme="minorEastAsia" w:cs="Times New Roman" w:hint="eastAsia"/>
          <w:sz w:val="18"/>
          <w:szCs w:val="18"/>
        </w:rPr>
        <w:t>－</w:t>
      </w:r>
      <w:r>
        <w:rPr>
          <w:rFonts w:asciiTheme="minorEastAsia" w:eastAsiaTheme="minorEastAsia" w:hAnsiTheme="minorEastAsia" w:cs="Times New Roman"/>
          <w:sz w:val="18"/>
          <w:szCs w:val="18"/>
        </w:rPr>
        <w:t>6</w:t>
      </w:r>
      <w:r>
        <w:rPr>
          <w:rFonts w:asciiTheme="minorEastAsia" w:eastAsiaTheme="minorEastAsia" w:hAnsiTheme="minorEastAsia" w:cs="Times New Roman" w:hint="eastAsia"/>
          <w:sz w:val="18"/>
          <w:szCs w:val="18"/>
        </w:rPr>
        <w:t>月，我国纺织品服装累计出口</w:t>
      </w:r>
      <w:r>
        <w:rPr>
          <w:rFonts w:asciiTheme="minorEastAsia" w:eastAsiaTheme="minorEastAsia" w:hAnsiTheme="minorEastAsia" w:cs="Times New Roman"/>
          <w:sz w:val="18"/>
          <w:szCs w:val="18"/>
        </w:rPr>
        <w:t>1427</w:t>
      </w:r>
      <w:r>
        <w:rPr>
          <w:rFonts w:asciiTheme="minorEastAsia" w:eastAsiaTheme="minorEastAsia" w:hAnsiTheme="minorEastAsia" w:cs="Times New Roman" w:hint="eastAsia"/>
          <w:sz w:val="18"/>
          <w:szCs w:val="18"/>
        </w:rPr>
        <w:t>亿美元，同比下降</w:t>
      </w:r>
      <w:r>
        <w:rPr>
          <w:rFonts w:asciiTheme="minorEastAsia" w:eastAsiaTheme="minorEastAsia" w:hAnsiTheme="minorEastAsia" w:cs="Times New Roman"/>
          <w:sz w:val="18"/>
          <w:szCs w:val="18"/>
        </w:rPr>
        <w:t>8.3%</w:t>
      </w:r>
      <w:r>
        <w:rPr>
          <w:rFonts w:asciiTheme="minorEastAsia" w:eastAsiaTheme="minorEastAsia" w:hAnsiTheme="minorEastAsia" w:cs="Times New Roman" w:hint="eastAsia"/>
          <w:sz w:val="18"/>
          <w:szCs w:val="18"/>
        </w:rPr>
        <w:t>。</w:t>
      </w:r>
      <w:r>
        <w:rPr>
          <w:rFonts w:asciiTheme="minorEastAsia" w:eastAsiaTheme="minorEastAsia" w:hAnsiTheme="minorEastAsia" w:cs="Times New Roman"/>
          <w:sz w:val="18"/>
          <w:szCs w:val="18"/>
        </w:rPr>
        <w:t>6</w:t>
      </w:r>
      <w:r>
        <w:rPr>
          <w:rFonts w:asciiTheme="minorEastAsia" w:eastAsiaTheme="minorEastAsia" w:hAnsiTheme="minorEastAsia" w:cs="Times New Roman" w:hint="eastAsia"/>
          <w:sz w:val="18"/>
          <w:szCs w:val="18"/>
        </w:rPr>
        <w:t>月当月，纺织品服装出口</w:t>
      </w:r>
      <w:r>
        <w:rPr>
          <w:rFonts w:asciiTheme="minorEastAsia" w:eastAsiaTheme="minorEastAsia" w:hAnsiTheme="minorEastAsia" w:cs="Times New Roman"/>
          <w:sz w:val="18"/>
          <w:szCs w:val="18"/>
        </w:rPr>
        <w:t>270</w:t>
      </w:r>
      <w:r>
        <w:rPr>
          <w:rFonts w:asciiTheme="minorEastAsia" w:eastAsiaTheme="minorEastAsia" w:hAnsiTheme="minorEastAsia" w:cs="Times New Roman" w:hint="eastAsia"/>
          <w:sz w:val="18"/>
          <w:szCs w:val="18"/>
        </w:rPr>
        <w:t>亿美元，同比下降</w:t>
      </w:r>
      <w:r>
        <w:rPr>
          <w:rFonts w:asciiTheme="minorEastAsia" w:eastAsiaTheme="minorEastAsia" w:hAnsiTheme="minorEastAsia" w:cs="Times New Roman"/>
          <w:sz w:val="18"/>
          <w:szCs w:val="18"/>
        </w:rPr>
        <w:t>12.7%</w:t>
      </w:r>
      <w:r>
        <w:rPr>
          <w:rFonts w:asciiTheme="minorEastAsia" w:eastAsiaTheme="minorEastAsia" w:hAnsiTheme="minorEastAsia" w:cs="Times New Roman" w:hint="eastAsia"/>
          <w:sz w:val="18"/>
          <w:szCs w:val="18"/>
        </w:rPr>
        <w:t>，降幅较上月略有所收窄。</w:t>
      </w:r>
    </w:p>
    <w:p w:rsidR="00A067C6" w:rsidRDefault="005C4966">
      <w:pPr>
        <w:pStyle w:val="a6"/>
        <w:spacing w:before="0" w:beforeAutospacing="0" w:after="0" w:afterAutospacing="0"/>
        <w:ind w:firstLine="420"/>
        <w:jc w:val="both"/>
        <w:rPr>
          <w:rFonts w:asciiTheme="minorEastAsia" w:eastAsiaTheme="minorEastAsia" w:hAnsiTheme="minorEastAsia" w:cs="Times New Roman"/>
        </w:rPr>
      </w:pPr>
      <w:r>
        <w:rPr>
          <w:rFonts w:asciiTheme="minorEastAsia" w:eastAsiaTheme="minorEastAsia" w:hAnsiTheme="minorEastAsia" w:cs="Times New Roman"/>
          <w:sz w:val="18"/>
          <w:szCs w:val="18"/>
        </w:rPr>
        <w:t>2023</w:t>
      </w:r>
      <w:r>
        <w:rPr>
          <w:rFonts w:asciiTheme="minorEastAsia" w:eastAsiaTheme="minorEastAsia" w:hAnsiTheme="minorEastAsia" w:cs="Times New Roman" w:hint="eastAsia"/>
          <w:sz w:val="18"/>
          <w:szCs w:val="18"/>
        </w:rPr>
        <w:t>年上半年，受国内外发展形势错综复杂、制造业景气波动收缩、居民消费信心和市场预期下行等风险因素冲击，纺织行业经济运行持续承压，产销增速略有放缓，盈利水平同比有所下降。公司整体经营情况和纺织服装行业总体运行态势保持一致。</w:t>
      </w:r>
    </w:p>
    <w:p w:rsidR="00A067C6" w:rsidRDefault="005C4966">
      <w:pPr>
        <w:pStyle w:val="2"/>
        <w:spacing w:before="300" w:after="300" w:line="320" w:lineRule="exact"/>
        <w:rPr>
          <w:rFonts w:ascii="宋体" w:eastAsia="宋体" w:hAnsi="宋体" w:cs="宋体"/>
          <w:b/>
          <w:bCs/>
          <w:sz w:val="24"/>
          <w:szCs w:val="24"/>
        </w:rPr>
      </w:pPr>
      <w:bookmarkStart w:id="15" w:name="_Toc988904"/>
      <w:r>
        <w:rPr>
          <w:rFonts w:ascii="宋体" w:eastAsia="宋体" w:hAnsi="宋体" w:cs="宋体"/>
          <w:b/>
          <w:bCs/>
          <w:sz w:val="24"/>
          <w:szCs w:val="24"/>
        </w:rPr>
        <w:t>二、核心竞争力分析</w:t>
      </w:r>
      <w:bookmarkEnd w:id="15"/>
    </w:p>
    <w:p w:rsidR="00A067C6" w:rsidRDefault="005C4966">
      <w:pPr>
        <w:pStyle w:val="a6"/>
        <w:spacing w:before="0" w:beforeAutospacing="0" w:after="0" w:afterAutospacing="0"/>
        <w:ind w:firstLine="420"/>
        <w:jc w:val="both"/>
        <w:rPr>
          <w:rFonts w:asciiTheme="minorEastAsia" w:eastAsiaTheme="minorEastAsia" w:hAnsiTheme="minorEastAsia"/>
        </w:rPr>
      </w:pPr>
      <w:r>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、产业引领者。公司作为全球最大的色纺纱供应商和制造商之一，随着产业集中度的提升和产能扩张、网链战略的实施，产业协同效应的逐步显现，成长空间大。</w:t>
      </w:r>
    </w:p>
    <w:p w:rsidR="00A067C6" w:rsidRDefault="005C4966">
      <w:pPr>
        <w:pStyle w:val="a6"/>
        <w:spacing w:before="0" w:beforeAutospacing="0" w:after="0" w:afterAutospacing="0"/>
        <w:ind w:firstLine="420"/>
        <w:jc w:val="both"/>
        <w:rPr>
          <w:rFonts w:asciiTheme="minorEastAsia" w:eastAsiaTheme="minorEastAsia" w:hAnsiTheme="minorEastAsia"/>
        </w:rPr>
      </w:pPr>
      <w:r>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、全球品牌影响力。全球主要服饰名牌的首选纱线，“华孚牌”也是国家驰名商标。“华孚牌”是色纺产业趋势引领者、标准制定者、时尚风向</w:t>
      </w:r>
      <w:r>
        <w:rPr>
          <w:rFonts w:asciiTheme="minorEastAsia" w:eastAsiaTheme="minorEastAsia" w:hAnsiTheme="minorEastAsia" w:hint="eastAsia"/>
          <w:sz w:val="18"/>
          <w:szCs w:val="18"/>
        </w:rPr>
        <w:t>标。</w:t>
      </w:r>
    </w:p>
    <w:p w:rsidR="00A067C6" w:rsidRDefault="005C4966">
      <w:pPr>
        <w:pStyle w:val="a6"/>
        <w:spacing w:before="0" w:beforeAutospacing="0" w:after="0" w:afterAutospacing="0"/>
        <w:ind w:firstLine="420"/>
        <w:jc w:val="both"/>
        <w:rPr>
          <w:rFonts w:asciiTheme="minorEastAsia" w:eastAsiaTheme="minorEastAsia" w:hAnsiTheme="minorEastAsia"/>
        </w:rPr>
      </w:pPr>
      <w:r>
        <w:rPr>
          <w:rFonts w:asciiTheme="minorEastAsia" w:eastAsiaTheme="minorEastAsia" w:hAnsiTheme="minorEastAsia" w:hint="eastAsia"/>
          <w:sz w:val="18"/>
          <w:szCs w:val="18"/>
        </w:rPr>
        <w:t>3</w:t>
      </w:r>
      <w:r>
        <w:rPr>
          <w:rFonts w:asciiTheme="minorEastAsia" w:eastAsiaTheme="minorEastAsia" w:hAnsiTheme="minorEastAsia" w:hint="eastAsia"/>
          <w:sz w:val="18"/>
          <w:szCs w:val="18"/>
        </w:rPr>
        <w:t>、快速反应能力。随着前端供应链的整合和产能布局的完善，通过</w:t>
      </w:r>
      <w:r>
        <w:rPr>
          <w:rFonts w:asciiTheme="minorEastAsia" w:eastAsiaTheme="minorEastAsia" w:hAnsiTheme="minorEastAsia" w:hint="eastAsia"/>
          <w:sz w:val="18"/>
          <w:szCs w:val="18"/>
        </w:rPr>
        <w:t>SAPERP/CRM/MES/PDM/ATP</w:t>
      </w:r>
      <w:r>
        <w:rPr>
          <w:rFonts w:asciiTheme="minorEastAsia" w:eastAsiaTheme="minorEastAsia" w:hAnsiTheme="minorEastAsia" w:hint="eastAsia"/>
          <w:sz w:val="18"/>
          <w:szCs w:val="18"/>
        </w:rPr>
        <w:t>等信息化、智能化手段，实现了集聚订单、灵活染色、柔性生产、快速交货、定制服务的供应链系统。</w:t>
      </w:r>
    </w:p>
    <w:p w:rsidR="00A067C6" w:rsidRDefault="005C4966">
      <w:pPr>
        <w:pStyle w:val="a6"/>
        <w:spacing w:before="0" w:beforeAutospacing="0" w:after="0" w:afterAutospacing="0"/>
        <w:ind w:firstLine="420"/>
        <w:jc w:val="both"/>
        <w:rPr>
          <w:rFonts w:asciiTheme="minorEastAsia" w:eastAsiaTheme="minorEastAsia" w:hAnsiTheme="minorEastAsia"/>
        </w:rPr>
      </w:pPr>
      <w:r>
        <w:rPr>
          <w:rFonts w:asciiTheme="minorEastAsia" w:eastAsiaTheme="minorEastAsia" w:hAnsiTheme="minorEastAsia" w:hint="eastAsia"/>
          <w:sz w:val="18"/>
          <w:szCs w:val="18"/>
        </w:rPr>
        <w:t>4</w:t>
      </w:r>
      <w:r>
        <w:rPr>
          <w:rFonts w:asciiTheme="minorEastAsia" w:eastAsiaTheme="minorEastAsia" w:hAnsiTheme="minorEastAsia" w:hint="eastAsia"/>
          <w:sz w:val="18"/>
          <w:szCs w:val="18"/>
        </w:rPr>
        <w:t>、产品创新能力。公司加强产业合作，筹建了华孚大学和博士后工作站，建立了趋势、色彩、材质、纺纱、染整、设计、应用、可持续发展等专业研发团队，申报国家专利共计</w:t>
      </w:r>
      <w:r>
        <w:rPr>
          <w:rFonts w:asciiTheme="minorEastAsia" w:eastAsiaTheme="minorEastAsia" w:hAnsiTheme="minorEastAsia" w:hint="eastAsia"/>
          <w:sz w:val="18"/>
          <w:szCs w:val="18"/>
        </w:rPr>
        <w:t>152</w:t>
      </w:r>
      <w:r>
        <w:rPr>
          <w:rFonts w:asciiTheme="minorEastAsia" w:eastAsiaTheme="minorEastAsia" w:hAnsiTheme="minorEastAsia" w:hint="eastAsia"/>
          <w:sz w:val="18"/>
          <w:szCs w:val="18"/>
        </w:rPr>
        <w:t>项，已获国家专利授权</w:t>
      </w:r>
      <w:r>
        <w:rPr>
          <w:rFonts w:asciiTheme="minorEastAsia" w:eastAsiaTheme="minorEastAsia" w:hAnsiTheme="minorEastAsia" w:hint="eastAsia"/>
          <w:sz w:val="18"/>
          <w:szCs w:val="18"/>
        </w:rPr>
        <w:t>108</w:t>
      </w:r>
      <w:r>
        <w:rPr>
          <w:rFonts w:asciiTheme="minorEastAsia" w:eastAsiaTheme="minorEastAsia" w:hAnsiTheme="minorEastAsia" w:hint="eastAsia"/>
          <w:sz w:val="18"/>
          <w:szCs w:val="18"/>
        </w:rPr>
        <w:t>项，其中发明专利</w:t>
      </w:r>
      <w:r>
        <w:rPr>
          <w:rFonts w:asciiTheme="minorEastAsia" w:eastAsiaTheme="minorEastAsia" w:hAnsiTheme="minorEastAsia" w:hint="eastAsia"/>
          <w:sz w:val="18"/>
          <w:szCs w:val="18"/>
        </w:rPr>
        <w:t>52</w:t>
      </w:r>
      <w:r>
        <w:rPr>
          <w:rFonts w:asciiTheme="minorEastAsia" w:eastAsiaTheme="minorEastAsia" w:hAnsiTheme="minorEastAsia" w:hint="eastAsia"/>
          <w:sz w:val="18"/>
          <w:szCs w:val="18"/>
        </w:rPr>
        <w:t>个，实用新型专利</w:t>
      </w:r>
      <w:r>
        <w:rPr>
          <w:rFonts w:asciiTheme="minorEastAsia" w:eastAsiaTheme="minorEastAsia" w:hAnsiTheme="minorEastAsia" w:hint="eastAsia"/>
          <w:sz w:val="18"/>
          <w:szCs w:val="18"/>
        </w:rPr>
        <w:t>56</w:t>
      </w:r>
      <w:r>
        <w:rPr>
          <w:rFonts w:asciiTheme="minorEastAsia" w:eastAsiaTheme="minorEastAsia" w:hAnsiTheme="minorEastAsia" w:hint="eastAsia"/>
          <w:sz w:val="18"/>
          <w:szCs w:val="18"/>
        </w:rPr>
        <w:t>个。专利数量居色纺行业第一，全球领先。</w:t>
      </w:r>
    </w:p>
    <w:p w:rsidR="00A067C6" w:rsidRDefault="005C4966">
      <w:pPr>
        <w:pStyle w:val="a6"/>
        <w:tabs>
          <w:tab w:val="left" w:pos="426"/>
        </w:tabs>
        <w:spacing w:before="0" w:beforeAutospacing="0" w:after="0" w:afterAutospacing="0"/>
        <w:rPr>
          <w:rFonts w:asciiTheme="minorEastAsia" w:eastAsiaTheme="minorEastAsia" w:hAnsiTheme="minorEastAsia"/>
          <w:sz w:val="21"/>
          <w:szCs w:val="21"/>
        </w:rPr>
      </w:pP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5</w:t>
      </w:r>
      <w:r>
        <w:rPr>
          <w:rFonts w:asciiTheme="minorEastAsia" w:eastAsiaTheme="minorEastAsia" w:hAnsiTheme="minorEastAsia" w:hint="eastAsia"/>
          <w:sz w:val="18"/>
          <w:szCs w:val="18"/>
        </w:rPr>
        <w:t>、数智化和网链战略的优势。公司通过</w:t>
      </w:r>
      <w:r>
        <w:rPr>
          <w:rFonts w:asciiTheme="minorEastAsia" w:eastAsiaTheme="minorEastAsia" w:hAnsiTheme="minorEastAsia" w:hint="eastAsia"/>
          <w:sz w:val="18"/>
          <w:szCs w:val="18"/>
        </w:rPr>
        <w:t>推进数智升级战略，在数智工厂建设、产业贯通的数字化平台建设方面具有领先优势；公司通过网链转型战略的实施，前端网链形成了一定的规模，后端网链袜业品类模式取得突破，通过产业互联网的推进产生产业协同效应。</w:t>
      </w:r>
    </w:p>
    <w:p w:rsidR="00A067C6" w:rsidRDefault="005C4966">
      <w:pPr>
        <w:pStyle w:val="2"/>
        <w:spacing w:before="300" w:after="300" w:line="320" w:lineRule="exact"/>
        <w:rPr>
          <w:rFonts w:ascii="宋体" w:eastAsia="宋体" w:hAnsi="宋体" w:cs="宋体"/>
          <w:b/>
          <w:bCs/>
          <w:sz w:val="24"/>
          <w:szCs w:val="24"/>
        </w:rPr>
      </w:pPr>
      <w:bookmarkStart w:id="16" w:name="_Toc988905"/>
      <w:r>
        <w:rPr>
          <w:rFonts w:ascii="宋体" w:eastAsia="宋体" w:hAnsi="宋体" w:cs="宋体"/>
          <w:b/>
          <w:bCs/>
          <w:sz w:val="24"/>
          <w:szCs w:val="24"/>
        </w:rPr>
        <w:t>三、主营业务分析</w:t>
      </w:r>
      <w:bookmarkEnd w:id="16"/>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概述</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参见</w:t>
      </w:r>
      <w:r>
        <w:rPr>
          <w:rFonts w:ascii="宋体" w:eastAsia="宋体" w:hAnsi="宋体" w:cs="宋体"/>
          <w:sz w:val="18"/>
          <w:szCs w:val="18"/>
        </w:rPr>
        <w:t>“</w:t>
      </w:r>
      <w:r>
        <w:rPr>
          <w:rFonts w:ascii="宋体" w:eastAsia="宋体" w:hAnsi="宋体" w:cs="宋体"/>
          <w:sz w:val="18"/>
          <w:szCs w:val="18"/>
        </w:rPr>
        <w:t>一、报告期内公司从事的主要业务</w:t>
      </w:r>
      <w:r>
        <w:rPr>
          <w:rFonts w:ascii="宋体" w:eastAsia="宋体" w:hAnsi="宋体" w:cs="宋体"/>
          <w:sz w:val="18"/>
          <w:szCs w:val="18"/>
        </w:rPr>
        <w:t>”</w:t>
      </w:r>
      <w:r>
        <w:rPr>
          <w:rFonts w:ascii="宋体" w:eastAsia="宋体" w:hAnsi="宋体" w:cs="宋体"/>
          <w:sz w:val="18"/>
          <w:szCs w:val="18"/>
        </w:rPr>
        <w:t>相关内容。</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主要财务数据同比变动情况</w:t>
      </w:r>
    </w:p>
    <w:p w:rsidR="00A067C6" w:rsidRDefault="005C4966">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660"/>
        <w:gridCol w:w="1913"/>
        <w:gridCol w:w="1914"/>
        <w:gridCol w:w="1276"/>
        <w:gridCol w:w="1876"/>
      </w:tblGrid>
      <w:tr w:rsidR="00A067C6">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w:t>
            </w:r>
          </w:p>
        </w:tc>
        <w:tc>
          <w:tcPr>
            <w:tcW w:w="191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上年同期</w:t>
            </w:r>
          </w:p>
        </w:tc>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同比增减</w:t>
            </w:r>
          </w:p>
        </w:tc>
        <w:tc>
          <w:tcPr>
            <w:tcW w:w="1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变动原因</w:t>
            </w:r>
          </w:p>
        </w:tc>
      </w:tr>
      <w:tr w:rsidR="00A067C6">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营业收入</w:t>
            </w:r>
          </w:p>
        </w:tc>
        <w:tc>
          <w:tcPr>
            <w:tcW w:w="19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7,752,926,712.81</w:t>
            </w:r>
          </w:p>
        </w:tc>
        <w:tc>
          <w:tcPr>
            <w:tcW w:w="191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8,535,970,102.43</w:t>
            </w:r>
          </w:p>
        </w:tc>
        <w:tc>
          <w:tcPr>
            <w:tcW w:w="12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-9.17%</w:t>
            </w:r>
          </w:p>
        </w:tc>
        <w:tc>
          <w:tcPr>
            <w:tcW w:w="1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营业成本</w:t>
            </w:r>
          </w:p>
        </w:tc>
        <w:tc>
          <w:tcPr>
            <w:tcW w:w="19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7,335,998,463.15</w:t>
            </w:r>
          </w:p>
        </w:tc>
        <w:tc>
          <w:tcPr>
            <w:tcW w:w="191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7,763,742,768.20</w:t>
            </w:r>
          </w:p>
        </w:tc>
        <w:tc>
          <w:tcPr>
            <w:tcW w:w="12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-5.51%</w:t>
            </w:r>
          </w:p>
        </w:tc>
        <w:tc>
          <w:tcPr>
            <w:tcW w:w="1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销售费用</w:t>
            </w:r>
          </w:p>
        </w:tc>
        <w:tc>
          <w:tcPr>
            <w:tcW w:w="19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69,697,200.52</w:t>
            </w:r>
          </w:p>
        </w:tc>
        <w:tc>
          <w:tcPr>
            <w:tcW w:w="191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67,971,661.01</w:t>
            </w:r>
          </w:p>
        </w:tc>
        <w:tc>
          <w:tcPr>
            <w:tcW w:w="12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2.54%</w:t>
            </w:r>
          </w:p>
        </w:tc>
        <w:tc>
          <w:tcPr>
            <w:tcW w:w="1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管理费用</w:t>
            </w:r>
          </w:p>
        </w:tc>
        <w:tc>
          <w:tcPr>
            <w:tcW w:w="19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181,512,594.41</w:t>
            </w:r>
          </w:p>
        </w:tc>
        <w:tc>
          <w:tcPr>
            <w:tcW w:w="191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181,368,278.88</w:t>
            </w:r>
          </w:p>
        </w:tc>
        <w:tc>
          <w:tcPr>
            <w:tcW w:w="12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0.08%</w:t>
            </w:r>
          </w:p>
        </w:tc>
        <w:tc>
          <w:tcPr>
            <w:tcW w:w="1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财务费用</w:t>
            </w:r>
          </w:p>
        </w:tc>
        <w:tc>
          <w:tcPr>
            <w:tcW w:w="19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48,595,652.92</w:t>
            </w:r>
          </w:p>
        </w:tc>
        <w:tc>
          <w:tcPr>
            <w:tcW w:w="191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135,397,342.79</w:t>
            </w:r>
          </w:p>
        </w:tc>
        <w:tc>
          <w:tcPr>
            <w:tcW w:w="12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-64.11%</w:t>
            </w:r>
          </w:p>
        </w:tc>
        <w:tc>
          <w:tcPr>
            <w:tcW w:w="1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本期汇兑收益增加所致</w:t>
            </w:r>
          </w:p>
        </w:tc>
      </w:tr>
      <w:tr w:rsidR="00A067C6">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所得税费用</w:t>
            </w:r>
          </w:p>
        </w:tc>
        <w:tc>
          <w:tcPr>
            <w:tcW w:w="19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-5,914,623.64</w:t>
            </w:r>
          </w:p>
        </w:tc>
        <w:tc>
          <w:tcPr>
            <w:tcW w:w="191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16,575,402.53</w:t>
            </w:r>
          </w:p>
        </w:tc>
        <w:tc>
          <w:tcPr>
            <w:tcW w:w="12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hint="eastAsia"/>
                <w:sz w:val="18"/>
                <w:szCs w:val="18"/>
              </w:rPr>
              <w:t>-</w:t>
            </w:r>
            <w:r>
              <w:rPr>
                <w:rFonts w:ascii="宋体" w:eastAsia="宋体" w:hAnsi="宋体" w:cs="宋体"/>
                <w:sz w:val="18"/>
                <w:szCs w:val="18"/>
              </w:rPr>
              <w:t>135.68%</w:t>
            </w:r>
          </w:p>
        </w:tc>
        <w:tc>
          <w:tcPr>
            <w:tcW w:w="1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本期递延所得税费用增加所致</w:t>
            </w:r>
          </w:p>
        </w:tc>
      </w:tr>
      <w:tr w:rsidR="00A067C6">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研发投入</w:t>
            </w:r>
          </w:p>
        </w:tc>
        <w:tc>
          <w:tcPr>
            <w:tcW w:w="19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55,547,119.18</w:t>
            </w:r>
          </w:p>
        </w:tc>
        <w:tc>
          <w:tcPr>
            <w:tcW w:w="191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59,396,311.64</w:t>
            </w:r>
          </w:p>
        </w:tc>
        <w:tc>
          <w:tcPr>
            <w:tcW w:w="12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-6.48%</w:t>
            </w:r>
          </w:p>
        </w:tc>
        <w:tc>
          <w:tcPr>
            <w:tcW w:w="1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19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1,524,721,559.12</w:t>
            </w:r>
          </w:p>
        </w:tc>
        <w:tc>
          <w:tcPr>
            <w:tcW w:w="191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765,437,050.51</w:t>
            </w:r>
          </w:p>
        </w:tc>
        <w:tc>
          <w:tcPr>
            <w:tcW w:w="12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99.20%</w:t>
            </w:r>
          </w:p>
        </w:tc>
        <w:tc>
          <w:tcPr>
            <w:tcW w:w="1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本期收款增加所致</w:t>
            </w:r>
          </w:p>
        </w:tc>
      </w:tr>
      <w:tr w:rsidR="00A067C6">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投资活动产生的现金流量净额</w:t>
            </w:r>
          </w:p>
        </w:tc>
        <w:tc>
          <w:tcPr>
            <w:tcW w:w="19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244,079,423.54</w:t>
            </w:r>
          </w:p>
        </w:tc>
        <w:tc>
          <w:tcPr>
            <w:tcW w:w="191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251,647,833.66</w:t>
            </w:r>
          </w:p>
        </w:tc>
        <w:tc>
          <w:tcPr>
            <w:tcW w:w="12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-3.01%</w:t>
            </w:r>
          </w:p>
        </w:tc>
        <w:tc>
          <w:tcPr>
            <w:tcW w:w="1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筹资活动产生的现金流量净额</w:t>
            </w:r>
          </w:p>
        </w:tc>
        <w:tc>
          <w:tcPr>
            <w:tcW w:w="19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-1,368,364,774.41</w:t>
            </w:r>
          </w:p>
        </w:tc>
        <w:tc>
          <w:tcPr>
            <w:tcW w:w="191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-1,783,174,326.92</w:t>
            </w:r>
          </w:p>
        </w:tc>
        <w:tc>
          <w:tcPr>
            <w:tcW w:w="12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23.26%</w:t>
            </w:r>
          </w:p>
        </w:tc>
        <w:tc>
          <w:tcPr>
            <w:tcW w:w="1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266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现金及现金等价物净增加额</w:t>
            </w:r>
          </w:p>
        </w:tc>
        <w:tc>
          <w:tcPr>
            <w:tcW w:w="19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393,169,963.30</w:t>
            </w:r>
          </w:p>
        </w:tc>
        <w:tc>
          <w:tcPr>
            <w:tcW w:w="191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-749,739,143.49</w:t>
            </w:r>
          </w:p>
        </w:tc>
        <w:tc>
          <w:tcPr>
            <w:tcW w:w="12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152.44%</w:t>
            </w:r>
          </w:p>
        </w:tc>
        <w:tc>
          <w:tcPr>
            <w:tcW w:w="1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期末存款增加所致</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公司报告期利润构成或利润来源发生重大变动</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公司报告期利润构成或利润来源没有发生重大变动。</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营业收入构成</w:t>
      </w:r>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093"/>
        <w:gridCol w:w="1701"/>
        <w:gridCol w:w="1559"/>
        <w:gridCol w:w="1701"/>
        <w:gridCol w:w="1559"/>
        <w:gridCol w:w="1026"/>
      </w:tblGrid>
      <w:tr w:rsidR="00A067C6">
        <w:trPr>
          <w:trHeight w:val="240"/>
        </w:trPr>
        <w:tc>
          <w:tcPr>
            <w:tcW w:w="209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3260"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w:t>
            </w:r>
          </w:p>
        </w:tc>
        <w:tc>
          <w:tcPr>
            <w:tcW w:w="3260"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上年同期</w:t>
            </w:r>
          </w:p>
        </w:tc>
        <w:tc>
          <w:tcPr>
            <w:tcW w:w="102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同比增减</w:t>
            </w:r>
          </w:p>
        </w:tc>
      </w:tr>
      <w:tr w:rsidR="00A067C6">
        <w:trPr>
          <w:trHeight w:val="240"/>
        </w:trPr>
        <w:tc>
          <w:tcPr>
            <w:tcW w:w="209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占营业收入比重</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占营业收入比重</w:t>
            </w:r>
          </w:p>
        </w:tc>
        <w:tc>
          <w:tcPr>
            <w:tcW w:w="102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209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营业收入合计</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7,752,926,712.81</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right"/>
              <w:rPr>
                <w:rFonts w:ascii="宋体" w:eastAsia="宋体" w:hAnsi="宋体" w:cs="宋体"/>
                <w:sz w:val="18"/>
                <w:szCs w:val="18"/>
                <w:shd w:val="clear" w:color="auto" w:fill="D3D3D3"/>
              </w:rPr>
            </w:pPr>
            <w:r>
              <w:rPr>
                <w:rFonts w:ascii="宋体" w:eastAsia="宋体" w:hAnsi="宋体" w:cs="宋体"/>
                <w:sz w:val="18"/>
                <w:szCs w:val="18"/>
                <w:shd w:val="clear" w:color="auto" w:fill="D3D3D3"/>
              </w:rPr>
              <w:t>100%</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8,535,970,102.43</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right"/>
              <w:rPr>
                <w:rFonts w:ascii="宋体" w:eastAsia="宋体" w:hAnsi="宋体" w:cs="宋体"/>
                <w:sz w:val="18"/>
                <w:szCs w:val="18"/>
                <w:shd w:val="clear" w:color="auto" w:fill="D3D3D3"/>
              </w:rPr>
            </w:pPr>
            <w:r>
              <w:rPr>
                <w:rFonts w:ascii="宋体" w:eastAsia="宋体" w:hAnsi="宋体" w:cs="宋体"/>
                <w:sz w:val="18"/>
                <w:szCs w:val="18"/>
                <w:shd w:val="clear" w:color="auto" w:fill="D3D3D3"/>
              </w:rPr>
              <w:t>100%</w:t>
            </w:r>
          </w:p>
        </w:tc>
        <w:tc>
          <w:tcPr>
            <w:tcW w:w="102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-9.17%</w:t>
            </w:r>
          </w:p>
        </w:tc>
      </w:tr>
      <w:tr w:rsidR="00A067C6">
        <w:trPr>
          <w:trHeight w:val="240"/>
        </w:trPr>
        <w:tc>
          <w:tcPr>
            <w:tcW w:w="963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分行业</w:t>
            </w:r>
          </w:p>
        </w:tc>
      </w:tr>
      <w:tr w:rsidR="00A067C6">
        <w:trPr>
          <w:trHeight w:val="240"/>
        </w:trPr>
        <w:tc>
          <w:tcPr>
            <w:tcW w:w="20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棉纺行业</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7,752,926,712.81</w:t>
            </w: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8,535,970,102.43</w:t>
            </w: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02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-9.17%</w:t>
            </w:r>
          </w:p>
        </w:tc>
      </w:tr>
      <w:tr w:rsidR="00A067C6">
        <w:trPr>
          <w:trHeight w:val="240"/>
        </w:trPr>
        <w:tc>
          <w:tcPr>
            <w:tcW w:w="963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分产品</w:t>
            </w:r>
          </w:p>
        </w:tc>
      </w:tr>
      <w:tr w:rsidR="00A067C6">
        <w:trPr>
          <w:trHeight w:val="240"/>
        </w:trPr>
        <w:tc>
          <w:tcPr>
            <w:tcW w:w="20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纱线</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3,114,321,736.71</w:t>
            </w: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40.17%</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3,062,316,035.72</w:t>
            </w: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35.88%</w:t>
            </w:r>
          </w:p>
        </w:tc>
        <w:tc>
          <w:tcPr>
            <w:tcW w:w="102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1.70%</w:t>
            </w:r>
          </w:p>
        </w:tc>
      </w:tr>
      <w:tr w:rsidR="00A067C6">
        <w:trPr>
          <w:trHeight w:val="240"/>
        </w:trPr>
        <w:tc>
          <w:tcPr>
            <w:tcW w:w="20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网链</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4,358,353,338.59</w:t>
            </w: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56.22%</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5,234,090,036.70</w:t>
            </w: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61.32%</w:t>
            </w:r>
          </w:p>
        </w:tc>
        <w:tc>
          <w:tcPr>
            <w:tcW w:w="102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-16.73%</w:t>
            </w:r>
          </w:p>
        </w:tc>
      </w:tr>
      <w:tr w:rsidR="00A067C6">
        <w:trPr>
          <w:trHeight w:val="240"/>
        </w:trPr>
        <w:tc>
          <w:tcPr>
            <w:tcW w:w="20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祙制品</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228,170,485.11</w:t>
            </w: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2.94%</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181,342,392.20</w:t>
            </w: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2.12%</w:t>
            </w:r>
          </w:p>
        </w:tc>
        <w:tc>
          <w:tcPr>
            <w:tcW w:w="102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25.82%</w:t>
            </w:r>
          </w:p>
        </w:tc>
      </w:tr>
      <w:tr w:rsidR="00A067C6">
        <w:trPr>
          <w:trHeight w:val="240"/>
        </w:trPr>
        <w:tc>
          <w:tcPr>
            <w:tcW w:w="20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其他收入</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52,081,152.40</w:t>
            </w: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0.67%</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58,221,637.81</w:t>
            </w: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0.68%</w:t>
            </w:r>
          </w:p>
        </w:tc>
        <w:tc>
          <w:tcPr>
            <w:tcW w:w="102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-10.55%</w:t>
            </w:r>
          </w:p>
        </w:tc>
      </w:tr>
      <w:tr w:rsidR="00A067C6">
        <w:trPr>
          <w:trHeight w:val="240"/>
        </w:trPr>
        <w:tc>
          <w:tcPr>
            <w:tcW w:w="963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分地区</w:t>
            </w:r>
          </w:p>
        </w:tc>
      </w:tr>
      <w:tr w:rsidR="00A067C6">
        <w:trPr>
          <w:trHeight w:val="240"/>
        </w:trPr>
        <w:tc>
          <w:tcPr>
            <w:tcW w:w="20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出口销售</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772,292,493.26</w:t>
            </w: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9.96%</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1,092,911,238.67</w:t>
            </w: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12.80%</w:t>
            </w:r>
          </w:p>
        </w:tc>
        <w:tc>
          <w:tcPr>
            <w:tcW w:w="102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-29.34%</w:t>
            </w:r>
          </w:p>
        </w:tc>
      </w:tr>
      <w:tr w:rsidR="00A067C6">
        <w:trPr>
          <w:trHeight w:val="240"/>
        </w:trPr>
        <w:tc>
          <w:tcPr>
            <w:tcW w:w="20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国内销售</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6,980,634,219.55</w:t>
            </w: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90.04%</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7,443,058,863.76</w:t>
            </w: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87.20%</w:t>
            </w:r>
          </w:p>
        </w:tc>
        <w:tc>
          <w:tcPr>
            <w:tcW w:w="102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-6.21%</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占公司营业收入或营业利润</w:t>
      </w:r>
      <w:r>
        <w:rPr>
          <w:rFonts w:ascii="宋体" w:eastAsia="宋体" w:hAnsi="宋体" w:cs="宋体"/>
          <w:sz w:val="18"/>
          <w:szCs w:val="18"/>
        </w:rPr>
        <w:t>10%</w:t>
      </w:r>
      <w:r>
        <w:rPr>
          <w:rFonts w:ascii="宋体" w:eastAsia="宋体" w:hAnsi="宋体" w:cs="宋体"/>
          <w:sz w:val="18"/>
          <w:szCs w:val="18"/>
        </w:rPr>
        <w:t>以上的行业、产品或地区情况</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t>不适用</w:t>
      </w:r>
    </w:p>
    <w:p w:rsidR="00A067C6" w:rsidRDefault="005C4966">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59"/>
        <w:gridCol w:w="1772"/>
        <w:gridCol w:w="1772"/>
        <w:gridCol w:w="1005"/>
        <w:gridCol w:w="1377"/>
        <w:gridCol w:w="1377"/>
        <w:gridCol w:w="1377"/>
      </w:tblGrid>
      <w:tr w:rsidR="00A067C6">
        <w:trPr>
          <w:trHeight w:val="240"/>
        </w:trPr>
        <w:tc>
          <w:tcPr>
            <w:tcW w:w="95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772"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772"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营业成本</w:t>
            </w:r>
          </w:p>
        </w:tc>
        <w:tc>
          <w:tcPr>
            <w:tcW w:w="100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毛利率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营业收入比上年同期增减</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营业成本比上年同期增减</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毛利率比上年同期增减</w:t>
            </w:r>
          </w:p>
        </w:tc>
      </w:tr>
      <w:tr w:rsidR="00A067C6">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分行业</w:t>
            </w:r>
          </w:p>
        </w:tc>
      </w:tr>
      <w:tr w:rsidR="00A067C6">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棉纺行业</w:t>
            </w:r>
          </w:p>
        </w:tc>
        <w:tc>
          <w:tcPr>
            <w:tcW w:w="177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7,700,845,560.41</w:t>
            </w:r>
          </w:p>
        </w:tc>
        <w:tc>
          <w:tcPr>
            <w:tcW w:w="177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7,303,717,392.34</w:t>
            </w:r>
          </w:p>
        </w:tc>
        <w:tc>
          <w:tcPr>
            <w:tcW w:w="10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5.16%</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-9.16%</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-5.50%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-3.68%</w:t>
            </w:r>
          </w:p>
        </w:tc>
      </w:tr>
      <w:tr w:rsidR="00A067C6">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分产品</w:t>
            </w:r>
          </w:p>
        </w:tc>
      </w:tr>
      <w:tr w:rsidR="00A067C6">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纱线</w:t>
            </w:r>
          </w:p>
        </w:tc>
        <w:tc>
          <w:tcPr>
            <w:tcW w:w="177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3,114,321,736.71</w:t>
            </w:r>
          </w:p>
        </w:tc>
        <w:tc>
          <w:tcPr>
            <w:tcW w:w="177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2,859,300,383.43</w:t>
            </w:r>
          </w:p>
        </w:tc>
        <w:tc>
          <w:tcPr>
            <w:tcW w:w="10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8.19%</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11.69%</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-8.22%</w:t>
            </w:r>
          </w:p>
        </w:tc>
      </w:tr>
      <w:tr w:rsidR="00A067C6">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网链</w:t>
            </w:r>
          </w:p>
        </w:tc>
        <w:tc>
          <w:tcPr>
            <w:tcW w:w="177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4,358,353,338.59</w:t>
            </w:r>
          </w:p>
        </w:tc>
        <w:tc>
          <w:tcPr>
            <w:tcW w:w="177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4,265,690,871.90</w:t>
            </w:r>
          </w:p>
        </w:tc>
        <w:tc>
          <w:tcPr>
            <w:tcW w:w="10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2.13%</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-16.73%</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-15.22%</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-1.74%</w:t>
            </w:r>
          </w:p>
        </w:tc>
      </w:tr>
      <w:tr w:rsidR="00A067C6">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祙制品</w:t>
            </w:r>
          </w:p>
        </w:tc>
        <w:tc>
          <w:tcPr>
            <w:tcW w:w="177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228,170,485.11</w:t>
            </w:r>
          </w:p>
        </w:tc>
        <w:tc>
          <w:tcPr>
            <w:tcW w:w="177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178,726,137.01</w:t>
            </w:r>
          </w:p>
        </w:tc>
        <w:tc>
          <w:tcPr>
            <w:tcW w:w="10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21.67%</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25.82%</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29.64%</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-2.30%</w:t>
            </w:r>
          </w:p>
        </w:tc>
      </w:tr>
      <w:tr w:rsidR="00A067C6">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分地区</w:t>
            </w:r>
          </w:p>
        </w:tc>
      </w:tr>
      <w:tr w:rsidR="00A067C6">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出口销售</w:t>
            </w:r>
          </w:p>
        </w:tc>
        <w:tc>
          <w:tcPr>
            <w:tcW w:w="177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772,292,493.26</w:t>
            </w:r>
          </w:p>
        </w:tc>
        <w:tc>
          <w:tcPr>
            <w:tcW w:w="177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704,312,655.76</w:t>
            </w:r>
          </w:p>
        </w:tc>
        <w:tc>
          <w:tcPr>
            <w:tcW w:w="10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8.80%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1.43%</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-5.77%</w:t>
            </w:r>
          </w:p>
        </w:tc>
      </w:tr>
      <w:tr w:rsidR="00A067C6">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国内销售</w:t>
            </w:r>
          </w:p>
        </w:tc>
        <w:tc>
          <w:tcPr>
            <w:tcW w:w="177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6,928,553,067.15</w:t>
            </w:r>
          </w:p>
        </w:tc>
        <w:tc>
          <w:tcPr>
            <w:tcW w:w="177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6,599,404,736.58</w:t>
            </w:r>
          </w:p>
        </w:tc>
        <w:tc>
          <w:tcPr>
            <w:tcW w:w="10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4.75%</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-9.61%</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-6.19%</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-3.47%</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公司主营业务数据统计口径在报告期发生调整的情况下，公司最近</w:t>
      </w:r>
      <w:r>
        <w:rPr>
          <w:rFonts w:ascii="宋体" w:eastAsia="宋体" w:hAnsi="宋体" w:cs="宋体"/>
          <w:sz w:val="18"/>
          <w:szCs w:val="18"/>
        </w:rPr>
        <w:t>1</w:t>
      </w:r>
      <w:r>
        <w:rPr>
          <w:rFonts w:ascii="宋体" w:eastAsia="宋体" w:hAnsi="宋体" w:cs="宋体"/>
          <w:sz w:val="18"/>
          <w:szCs w:val="18"/>
        </w:rPr>
        <w:t>期按报告期末口径调整后的主营业务数据</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公司需遵守《深圳证券交易所上市公司自律监管指引第</w:t>
      </w:r>
      <w:r>
        <w:rPr>
          <w:rFonts w:ascii="宋体" w:eastAsia="宋体" w:hAnsi="宋体" w:cs="宋体"/>
          <w:sz w:val="18"/>
          <w:szCs w:val="18"/>
        </w:rPr>
        <w:t>3</w:t>
      </w:r>
      <w:r>
        <w:rPr>
          <w:rFonts w:ascii="宋体" w:eastAsia="宋体" w:hAnsi="宋体" w:cs="宋体"/>
          <w:sz w:val="18"/>
          <w:szCs w:val="18"/>
        </w:rPr>
        <w:t>号</w:t>
      </w:r>
      <w:r>
        <w:rPr>
          <w:rFonts w:ascii="宋体" w:eastAsia="宋体" w:hAnsi="宋体" w:cs="宋体"/>
          <w:sz w:val="18"/>
          <w:szCs w:val="18"/>
        </w:rPr>
        <w:t>——</w:t>
      </w:r>
      <w:r>
        <w:rPr>
          <w:rFonts w:ascii="宋体" w:eastAsia="宋体" w:hAnsi="宋体" w:cs="宋体"/>
          <w:sz w:val="18"/>
          <w:szCs w:val="18"/>
        </w:rPr>
        <w:t>行业信息披露》中的</w:t>
      </w:r>
      <w:r>
        <w:rPr>
          <w:rFonts w:ascii="宋体" w:eastAsia="宋体" w:hAnsi="宋体" w:cs="宋体"/>
          <w:sz w:val="18"/>
          <w:szCs w:val="18"/>
        </w:rPr>
        <w:t>“</w:t>
      </w:r>
      <w:r>
        <w:rPr>
          <w:rFonts w:ascii="宋体" w:eastAsia="宋体" w:hAnsi="宋体" w:cs="宋体"/>
          <w:sz w:val="18"/>
          <w:szCs w:val="18"/>
        </w:rPr>
        <w:t>纺织服装相关业务</w:t>
      </w:r>
      <w:r>
        <w:rPr>
          <w:rFonts w:ascii="宋体" w:eastAsia="宋体" w:hAnsi="宋体" w:cs="宋体"/>
          <w:sz w:val="18"/>
          <w:szCs w:val="18"/>
        </w:rPr>
        <w:t>”</w:t>
      </w:r>
      <w:r>
        <w:rPr>
          <w:rFonts w:ascii="宋体" w:eastAsia="宋体" w:hAnsi="宋体" w:cs="宋体"/>
          <w:sz w:val="18"/>
          <w:szCs w:val="18"/>
        </w:rPr>
        <w:t>的披露要求</w:t>
      </w:r>
    </w:p>
    <w:p w:rsidR="00A067C6" w:rsidRDefault="005C4966">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59"/>
        <w:gridCol w:w="1842"/>
        <w:gridCol w:w="1843"/>
        <w:gridCol w:w="864"/>
        <w:gridCol w:w="1377"/>
        <w:gridCol w:w="1377"/>
        <w:gridCol w:w="1377"/>
      </w:tblGrid>
      <w:tr w:rsidR="00A067C6">
        <w:trPr>
          <w:trHeight w:val="240"/>
        </w:trPr>
        <w:tc>
          <w:tcPr>
            <w:tcW w:w="95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842"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营业成本</w:t>
            </w:r>
          </w:p>
        </w:tc>
        <w:tc>
          <w:tcPr>
            <w:tcW w:w="86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毛利率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营业收入比上年同期增减</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营业成本比上年同期增减</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毛利率比上年同期增减</w:t>
            </w:r>
          </w:p>
        </w:tc>
      </w:tr>
      <w:tr w:rsidR="00A067C6">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分行业</w:t>
            </w:r>
          </w:p>
        </w:tc>
      </w:tr>
      <w:tr w:rsidR="00A067C6">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棉纺行业</w:t>
            </w:r>
          </w:p>
        </w:tc>
        <w:tc>
          <w:tcPr>
            <w:tcW w:w="184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7,752,926,712.81</w:t>
            </w:r>
          </w:p>
        </w:tc>
        <w:tc>
          <w:tcPr>
            <w:tcW w:w="184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7,335,998,463.15</w:t>
            </w:r>
          </w:p>
        </w:tc>
        <w:tc>
          <w:tcPr>
            <w:tcW w:w="8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5.38%</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-9.17%</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-5.51%</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-3.67%</w:t>
            </w:r>
          </w:p>
        </w:tc>
      </w:tr>
      <w:tr w:rsidR="00A067C6">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分产品</w:t>
            </w:r>
          </w:p>
        </w:tc>
      </w:tr>
      <w:tr w:rsidR="00A067C6">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纱线</w:t>
            </w:r>
          </w:p>
        </w:tc>
        <w:tc>
          <w:tcPr>
            <w:tcW w:w="184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3,114,321,736.71</w:t>
            </w:r>
          </w:p>
        </w:tc>
        <w:tc>
          <w:tcPr>
            <w:tcW w:w="184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2,859,300,383.43</w:t>
            </w:r>
          </w:p>
        </w:tc>
        <w:tc>
          <w:tcPr>
            <w:tcW w:w="8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8.19%</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11.60%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-8.15%</w:t>
            </w:r>
          </w:p>
        </w:tc>
      </w:tr>
      <w:tr w:rsidR="00A067C6">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网链</w:t>
            </w:r>
          </w:p>
        </w:tc>
        <w:tc>
          <w:tcPr>
            <w:tcW w:w="184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4,358,353,338.59</w:t>
            </w:r>
          </w:p>
        </w:tc>
        <w:tc>
          <w:tcPr>
            <w:tcW w:w="184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4,265,690,871.90</w:t>
            </w:r>
          </w:p>
        </w:tc>
        <w:tc>
          <w:tcPr>
            <w:tcW w:w="8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2.13%</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-16.73%</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-15.22%</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-1.74%</w:t>
            </w:r>
          </w:p>
        </w:tc>
      </w:tr>
      <w:tr w:rsidR="00A067C6">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祙制品</w:t>
            </w:r>
          </w:p>
        </w:tc>
        <w:tc>
          <w:tcPr>
            <w:tcW w:w="184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228,170,485.11</w:t>
            </w:r>
          </w:p>
        </w:tc>
        <w:tc>
          <w:tcPr>
            <w:tcW w:w="184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178,726,137.01</w:t>
            </w:r>
          </w:p>
        </w:tc>
        <w:tc>
          <w:tcPr>
            <w:tcW w:w="8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21.67%</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25.82%</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29.64%</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-2.30%</w:t>
            </w:r>
          </w:p>
        </w:tc>
      </w:tr>
      <w:tr w:rsidR="00A067C6">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其他</w:t>
            </w:r>
          </w:p>
        </w:tc>
        <w:tc>
          <w:tcPr>
            <w:tcW w:w="184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52,081,152.40</w:t>
            </w:r>
          </w:p>
        </w:tc>
        <w:tc>
          <w:tcPr>
            <w:tcW w:w="184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32,281,070.81</w:t>
            </w:r>
          </w:p>
        </w:tc>
        <w:tc>
          <w:tcPr>
            <w:tcW w:w="8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38.02%</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-10.55%</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0.27%</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-6.69%</w:t>
            </w:r>
          </w:p>
        </w:tc>
      </w:tr>
      <w:tr w:rsidR="00A067C6">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分地区</w:t>
            </w:r>
          </w:p>
        </w:tc>
      </w:tr>
      <w:tr w:rsidR="00A067C6">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出口销售</w:t>
            </w:r>
          </w:p>
        </w:tc>
        <w:tc>
          <w:tcPr>
            <w:tcW w:w="184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772,292,493.26</w:t>
            </w:r>
          </w:p>
        </w:tc>
        <w:tc>
          <w:tcPr>
            <w:tcW w:w="184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704,312,655.76</w:t>
            </w:r>
          </w:p>
        </w:tc>
        <w:tc>
          <w:tcPr>
            <w:tcW w:w="8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8.80%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1.43%</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-5.77%</w:t>
            </w:r>
          </w:p>
        </w:tc>
      </w:tr>
      <w:tr w:rsidR="00A067C6">
        <w:trPr>
          <w:trHeight w:val="240"/>
        </w:trPr>
        <w:tc>
          <w:tcPr>
            <w:tcW w:w="9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国内销售</w:t>
            </w:r>
          </w:p>
        </w:tc>
        <w:tc>
          <w:tcPr>
            <w:tcW w:w="184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6,980,634,219.55</w:t>
            </w:r>
          </w:p>
        </w:tc>
        <w:tc>
          <w:tcPr>
            <w:tcW w:w="184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6,631,685,807.39</w:t>
            </w:r>
          </w:p>
        </w:tc>
        <w:tc>
          <w:tcPr>
            <w:tcW w:w="8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-9.61%</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-6.19%</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-3.47%</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公司主营业务数据统计口径在报告期发生调整的情况下，公司最近</w:t>
      </w:r>
      <w:r>
        <w:rPr>
          <w:rFonts w:ascii="宋体" w:eastAsia="宋体" w:hAnsi="宋体" w:cs="宋体"/>
          <w:sz w:val="18"/>
          <w:szCs w:val="18"/>
        </w:rPr>
        <w:t>1</w:t>
      </w:r>
      <w:r>
        <w:rPr>
          <w:rFonts w:ascii="宋体" w:eastAsia="宋体" w:hAnsi="宋体" w:cs="宋体"/>
          <w:sz w:val="18"/>
          <w:szCs w:val="18"/>
        </w:rPr>
        <w:t>年按报告期末口径调整后的主营业务数据</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公司是否有实体门店销售终端</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是</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否</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上市公司新增门店情况</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是</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否</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公司是否披露前五大加盟店铺情况</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是</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否</w:t>
      </w:r>
    </w:p>
    <w:p w:rsidR="00A067C6" w:rsidRDefault="005C4966">
      <w:pPr>
        <w:pStyle w:val="2"/>
        <w:spacing w:before="300" w:after="300" w:line="320" w:lineRule="exact"/>
        <w:rPr>
          <w:rFonts w:ascii="宋体" w:eastAsia="宋体" w:hAnsi="宋体" w:cs="宋体"/>
          <w:b/>
          <w:bCs/>
          <w:sz w:val="24"/>
          <w:szCs w:val="24"/>
        </w:rPr>
      </w:pPr>
      <w:bookmarkStart w:id="17" w:name="_Toc988906"/>
      <w:r>
        <w:rPr>
          <w:rFonts w:ascii="宋体" w:eastAsia="宋体" w:hAnsi="宋体" w:cs="宋体"/>
          <w:b/>
          <w:bCs/>
          <w:sz w:val="24"/>
          <w:szCs w:val="24"/>
        </w:rPr>
        <w:t>四、纺织服装相关行业信息披露指引要求的其他信息</w:t>
      </w:r>
      <w:bookmarkEnd w:id="17"/>
    </w:p>
    <w:p w:rsidR="00A067C6" w:rsidRDefault="005C4966">
      <w:pPr>
        <w:pStyle w:val="3"/>
        <w:spacing w:line="280" w:lineRule="exact"/>
        <w:jc w:val="left"/>
        <w:rPr>
          <w:rFonts w:ascii="宋体" w:hAnsi="宋体" w:cs="宋体"/>
          <w:b/>
          <w:bCs/>
        </w:rPr>
      </w:pPr>
      <w:bookmarkStart w:id="18" w:name="_Toc988907"/>
      <w:r>
        <w:rPr>
          <w:rFonts w:ascii="宋体" w:hAnsi="宋体" w:cs="宋体"/>
          <w:b/>
          <w:bCs/>
        </w:rPr>
        <w:t>1</w:t>
      </w:r>
      <w:r>
        <w:rPr>
          <w:rFonts w:ascii="宋体" w:hAnsi="宋体" w:cs="宋体"/>
          <w:b/>
          <w:bCs/>
        </w:rPr>
        <w:t>、产能情况</w:t>
      </w:r>
      <w:bookmarkEnd w:id="18"/>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公司自有产能状况</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上年同期</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总产能</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 206</w:t>
            </w:r>
            <w:r>
              <w:rPr>
                <w:rFonts w:ascii="宋体" w:eastAsia="宋体" w:hAnsi="宋体" w:cs="宋体"/>
                <w:sz w:val="18"/>
                <w:szCs w:val="18"/>
              </w:rPr>
              <w:t>万锭</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 206</w:t>
            </w:r>
            <w:r>
              <w:rPr>
                <w:rFonts w:ascii="宋体" w:eastAsia="宋体" w:hAnsi="宋体" w:cs="宋体"/>
                <w:sz w:val="18"/>
                <w:szCs w:val="18"/>
              </w:rPr>
              <w:t>万锭</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产能利用率</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88.00%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85.00%</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产能利用率同比变动超过</w:t>
      </w:r>
      <w:r>
        <w:rPr>
          <w:rFonts w:ascii="宋体" w:eastAsia="宋体" w:hAnsi="宋体" w:cs="宋体"/>
          <w:sz w:val="18"/>
          <w:szCs w:val="18"/>
        </w:rPr>
        <w:t xml:space="preserve">10% </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是</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否</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是否存在境外产能</w:t>
      </w:r>
    </w:p>
    <w:p w:rsidR="00A067C6" w:rsidRDefault="005C4966">
      <w:pPr>
        <w:spacing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w:t>
      </w:r>
      <w:r>
        <w:rPr>
          <w:rFonts w:ascii="宋体" w:eastAsia="宋体" w:hAnsi="宋体" w:cs="宋体"/>
          <w:sz w:val="18"/>
          <w:szCs w:val="18"/>
        </w:rPr>
        <w:t xml:space="preserve"> □</w:t>
      </w:r>
      <w:r>
        <w:rPr>
          <w:rFonts w:ascii="宋体" w:eastAsia="宋体" w:hAnsi="宋体" w:cs="宋体"/>
          <w:sz w:val="18"/>
          <w:szCs w:val="18"/>
        </w:rPr>
        <w:t>否</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境内</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境外</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产能的占比</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86.00%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14.00%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产能的布局</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177</w:t>
            </w:r>
            <w:r>
              <w:rPr>
                <w:rFonts w:ascii="宋体" w:eastAsia="宋体" w:hAnsi="宋体" w:cs="宋体"/>
                <w:sz w:val="18"/>
                <w:szCs w:val="18"/>
              </w:rPr>
              <w:t>万锭</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29</w:t>
            </w:r>
            <w:r>
              <w:rPr>
                <w:rFonts w:ascii="宋体" w:eastAsia="宋体" w:hAnsi="宋体" w:cs="宋体"/>
                <w:sz w:val="18"/>
                <w:szCs w:val="18"/>
              </w:rPr>
              <w:t>万锭</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产能利用率</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88.00%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90.00%</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公司未来的境外产能扩建计划</w:t>
      </w:r>
    </w:p>
    <w:p w:rsidR="00A067C6" w:rsidRDefault="005C4966">
      <w:pPr>
        <w:spacing w:before="100" w:after="100" w:line="240" w:lineRule="exact"/>
        <w:rPr>
          <w:rFonts w:ascii="宋体" w:eastAsia="宋体" w:hAnsi="宋体" w:cs="宋体"/>
          <w:sz w:val="18"/>
          <w:szCs w:val="18"/>
        </w:rPr>
      </w:pPr>
      <w:r>
        <w:rPr>
          <w:rFonts w:ascii="宋体" w:eastAsia="宋体" w:hAnsi="宋体" w:cs="宋体" w:hint="eastAsia"/>
          <w:sz w:val="18"/>
          <w:szCs w:val="18"/>
        </w:rPr>
        <w:t>无。</w:t>
      </w:r>
    </w:p>
    <w:p w:rsidR="00A067C6" w:rsidRDefault="005C4966">
      <w:pPr>
        <w:pStyle w:val="3"/>
        <w:spacing w:line="280" w:lineRule="exact"/>
        <w:jc w:val="left"/>
        <w:rPr>
          <w:rFonts w:ascii="宋体" w:hAnsi="宋体" w:cs="宋体"/>
          <w:b/>
          <w:bCs/>
        </w:rPr>
      </w:pPr>
      <w:bookmarkStart w:id="19" w:name="_Toc988908"/>
      <w:r>
        <w:rPr>
          <w:rFonts w:ascii="宋体" w:hAnsi="宋体" w:cs="宋体"/>
          <w:b/>
          <w:bCs/>
        </w:rPr>
        <w:t>2</w:t>
      </w:r>
      <w:r>
        <w:rPr>
          <w:rFonts w:ascii="宋体" w:hAnsi="宋体" w:cs="宋体"/>
          <w:b/>
          <w:bCs/>
        </w:rPr>
        <w:t>、销售模式及渠道情况</w:t>
      </w:r>
      <w:bookmarkEnd w:id="19"/>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产品的销售渠道及实际运营方式</w:t>
      </w:r>
    </w:p>
    <w:p w:rsidR="00A067C6" w:rsidRDefault="005C4966">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42"/>
        <w:gridCol w:w="1701"/>
        <w:gridCol w:w="1701"/>
        <w:gridCol w:w="864"/>
        <w:gridCol w:w="1377"/>
        <w:gridCol w:w="1377"/>
        <w:gridCol w:w="1377"/>
      </w:tblGrid>
      <w:tr w:rsidR="00A067C6">
        <w:trPr>
          <w:trHeight w:val="240"/>
        </w:trPr>
        <w:tc>
          <w:tcPr>
            <w:tcW w:w="1242"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销售渠道</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营业成本</w:t>
            </w:r>
          </w:p>
        </w:tc>
        <w:tc>
          <w:tcPr>
            <w:tcW w:w="86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毛利率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营业收入比上年同期增减（</w:t>
            </w:r>
            <w:r>
              <w:rPr>
                <w:rFonts w:ascii="宋体" w:eastAsia="宋体" w:hAnsi="宋体" w:cs="宋体"/>
                <w:sz w:val="18"/>
                <w:szCs w:val="18"/>
              </w:rPr>
              <w:t>%</w:t>
            </w:r>
            <w:r>
              <w:rPr>
                <w:rFonts w:ascii="宋体" w:eastAsia="宋体" w:hAnsi="宋体" w:cs="宋体"/>
                <w:sz w:val="18"/>
                <w:szCs w:val="18"/>
              </w:rPr>
              <w:t>）</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营业成本比上年同期增减（</w:t>
            </w:r>
            <w:r>
              <w:rPr>
                <w:rFonts w:ascii="宋体" w:eastAsia="宋体" w:hAnsi="宋体" w:cs="宋体"/>
                <w:sz w:val="18"/>
                <w:szCs w:val="18"/>
              </w:rPr>
              <w:t>%</w:t>
            </w:r>
            <w:r>
              <w:rPr>
                <w:rFonts w:ascii="宋体" w:eastAsia="宋体" w:hAnsi="宋体" w:cs="宋体"/>
                <w:sz w:val="18"/>
                <w:szCs w:val="18"/>
              </w:rPr>
              <w:t>）</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毛利率比上年同期增减（</w:t>
            </w:r>
            <w:r>
              <w:rPr>
                <w:rFonts w:ascii="宋体" w:eastAsia="宋体" w:hAnsi="宋体" w:cs="宋体"/>
                <w:sz w:val="18"/>
                <w:szCs w:val="18"/>
              </w:rPr>
              <w:t>%</w:t>
            </w:r>
            <w:r>
              <w:rPr>
                <w:rFonts w:ascii="宋体" w:eastAsia="宋体" w:hAnsi="宋体" w:cs="宋体"/>
                <w:sz w:val="18"/>
                <w:szCs w:val="18"/>
              </w:rPr>
              <w:t>）</w:t>
            </w:r>
          </w:p>
        </w:tc>
      </w:tr>
      <w:tr w:rsidR="00A067C6">
        <w:trPr>
          <w:trHeight w:val="240"/>
        </w:trPr>
        <w:tc>
          <w:tcPr>
            <w:tcW w:w="1242"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线上销售</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82,519,526.41</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42,464,756.12</w:t>
            </w:r>
          </w:p>
        </w:tc>
        <w:tc>
          <w:tcPr>
            <w:tcW w:w="8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48.54%</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30.38%</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-7.62%</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77.31%</w:t>
            </w:r>
          </w:p>
        </w:tc>
      </w:tr>
      <w:tr w:rsidR="00A067C6">
        <w:trPr>
          <w:trHeight w:val="240"/>
        </w:trPr>
        <w:tc>
          <w:tcPr>
            <w:tcW w:w="1242"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直营销售</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7,670,407,186.40</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7,293,533,707.03</w:t>
            </w:r>
          </w:p>
        </w:tc>
        <w:tc>
          <w:tcPr>
            <w:tcW w:w="8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4.91%</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-9.47%</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-5.50%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-44.85%</w:t>
            </w:r>
          </w:p>
        </w:tc>
      </w:tr>
    </w:tbl>
    <w:p w:rsidR="00A067C6" w:rsidRDefault="005C4966">
      <w:pPr>
        <w:pStyle w:val="3"/>
        <w:spacing w:line="280" w:lineRule="exact"/>
        <w:jc w:val="left"/>
        <w:rPr>
          <w:rFonts w:ascii="宋体" w:hAnsi="宋体" w:cs="宋体"/>
          <w:b/>
          <w:bCs/>
        </w:rPr>
      </w:pPr>
      <w:bookmarkStart w:id="20" w:name="_Toc988909"/>
      <w:r>
        <w:rPr>
          <w:rFonts w:ascii="宋体" w:hAnsi="宋体" w:cs="宋体"/>
          <w:b/>
          <w:bCs/>
        </w:rPr>
        <w:t>3</w:t>
      </w:r>
      <w:r>
        <w:rPr>
          <w:rFonts w:ascii="宋体" w:hAnsi="宋体" w:cs="宋体"/>
          <w:b/>
          <w:bCs/>
        </w:rPr>
        <w:t>、销售费用及构成</w:t>
      </w:r>
      <w:bookmarkEnd w:id="20"/>
    </w:p>
    <w:p w:rsidR="00A067C6" w:rsidRDefault="005C4966">
      <w:pPr>
        <w:spacing w:before="100" w:after="100" w:line="240" w:lineRule="exact"/>
        <w:rPr>
          <w:rFonts w:ascii="宋体" w:eastAsia="宋体" w:hAnsi="宋体" w:cs="宋体"/>
          <w:sz w:val="18"/>
          <w:szCs w:val="18"/>
        </w:rPr>
      </w:pPr>
      <w:r>
        <w:rPr>
          <w:rFonts w:ascii="宋体" w:eastAsia="宋体" w:hAnsi="宋体" w:cs="宋体" w:hint="eastAsia"/>
          <w:sz w:val="18"/>
          <w:szCs w:val="18"/>
        </w:rPr>
        <w:t>无。</w:t>
      </w:r>
    </w:p>
    <w:p w:rsidR="00A067C6" w:rsidRDefault="005C4966">
      <w:pPr>
        <w:pStyle w:val="3"/>
        <w:spacing w:line="280" w:lineRule="exact"/>
        <w:jc w:val="left"/>
        <w:rPr>
          <w:rFonts w:ascii="宋体" w:hAnsi="宋体" w:cs="宋体"/>
          <w:b/>
          <w:bCs/>
        </w:rPr>
      </w:pPr>
      <w:bookmarkStart w:id="21" w:name="_Toc988910"/>
      <w:r>
        <w:rPr>
          <w:rFonts w:ascii="宋体" w:hAnsi="宋体" w:cs="宋体"/>
          <w:b/>
          <w:bCs/>
        </w:rPr>
        <w:t>4</w:t>
      </w:r>
      <w:r>
        <w:rPr>
          <w:rFonts w:ascii="宋体" w:hAnsi="宋体" w:cs="宋体"/>
          <w:b/>
          <w:bCs/>
        </w:rPr>
        <w:t>、加盟、分销</w:t>
      </w:r>
      <w:bookmarkEnd w:id="21"/>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加盟商、分销商实现销售收入占比超过</w:t>
      </w:r>
      <w:r>
        <w:rPr>
          <w:rFonts w:ascii="宋体" w:eastAsia="宋体" w:hAnsi="宋体" w:cs="宋体"/>
          <w:sz w:val="18"/>
          <w:szCs w:val="18"/>
        </w:rPr>
        <w:t>30%</w:t>
      </w:r>
    </w:p>
    <w:p w:rsidR="00A067C6" w:rsidRDefault="005C4966">
      <w:pPr>
        <w:spacing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是</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否</w:t>
      </w:r>
    </w:p>
    <w:p w:rsidR="00A067C6" w:rsidRDefault="005C4966">
      <w:pPr>
        <w:pStyle w:val="3"/>
        <w:spacing w:line="280" w:lineRule="exact"/>
        <w:jc w:val="left"/>
        <w:rPr>
          <w:rFonts w:ascii="宋体" w:hAnsi="宋体" w:cs="宋体"/>
          <w:b/>
          <w:bCs/>
        </w:rPr>
      </w:pPr>
      <w:bookmarkStart w:id="22" w:name="_Toc988911"/>
      <w:r>
        <w:rPr>
          <w:rFonts w:ascii="宋体" w:hAnsi="宋体" w:cs="宋体"/>
          <w:b/>
          <w:bCs/>
        </w:rPr>
        <w:t>5</w:t>
      </w:r>
      <w:r>
        <w:rPr>
          <w:rFonts w:ascii="宋体" w:hAnsi="宋体" w:cs="宋体"/>
          <w:b/>
          <w:bCs/>
        </w:rPr>
        <w:t>、线上销售</w:t>
      </w:r>
      <w:bookmarkEnd w:id="22"/>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线上销售实现销售收入占比超过</w:t>
      </w:r>
      <w:r>
        <w:rPr>
          <w:rFonts w:ascii="宋体" w:eastAsia="宋体" w:hAnsi="宋体" w:cs="宋体"/>
          <w:sz w:val="18"/>
          <w:szCs w:val="18"/>
        </w:rPr>
        <w:t>30%</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是</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否</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是否自建销售平台</w:t>
      </w:r>
    </w:p>
    <w:p w:rsidR="00A067C6" w:rsidRDefault="005C4966">
      <w:pPr>
        <w:spacing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是</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否</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是否与第三方销售平台合作</w:t>
      </w:r>
    </w:p>
    <w:p w:rsidR="00A067C6" w:rsidRDefault="005C4966">
      <w:pPr>
        <w:spacing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w:t>
      </w:r>
      <w:r>
        <w:rPr>
          <w:rFonts w:ascii="宋体" w:eastAsia="宋体" w:hAnsi="宋体" w:cs="宋体"/>
          <w:sz w:val="18"/>
          <w:szCs w:val="18"/>
        </w:rPr>
        <w:t xml:space="preserve"> □</w:t>
      </w:r>
      <w:r>
        <w:rPr>
          <w:rFonts w:ascii="宋体" w:eastAsia="宋体" w:hAnsi="宋体" w:cs="宋体"/>
          <w:sz w:val="18"/>
          <w:szCs w:val="18"/>
        </w:rPr>
        <w:t>否</w:t>
      </w:r>
    </w:p>
    <w:p w:rsidR="00A067C6" w:rsidRDefault="005C4966">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平台名称</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报告期内的交易金额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退货率</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阿里巴巴</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3,447,570.22</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快手</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13,159,497.87</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拼多多</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1,962,432.11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抖音</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5,454,720.91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天猫</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43,982,555.73</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唯品会</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11,378,099.55</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天猫超市</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2,848,650.40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得物</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170,335.03</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小红书</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93,779.61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好衣库</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21,884.98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0.00%</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公司开设或关闭线上销售渠道</w:t>
      </w:r>
    </w:p>
    <w:p w:rsidR="00A067C6" w:rsidRDefault="005C4966">
      <w:pPr>
        <w:spacing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说明对公司当期及未来发展的影响</w:t>
      </w:r>
    </w:p>
    <w:p w:rsidR="00A067C6" w:rsidRDefault="005C4966">
      <w:pPr>
        <w:spacing w:line="240" w:lineRule="exact"/>
        <w:rPr>
          <w:rFonts w:ascii="宋体" w:eastAsia="宋体" w:hAnsi="宋体" w:cs="宋体"/>
          <w:sz w:val="18"/>
          <w:szCs w:val="18"/>
        </w:rPr>
      </w:pPr>
      <w:r>
        <w:rPr>
          <w:rFonts w:ascii="宋体" w:eastAsia="宋体" w:hAnsi="宋体" w:cs="宋体" w:hint="eastAsia"/>
          <w:sz w:val="18"/>
          <w:szCs w:val="18"/>
        </w:rPr>
        <w:t>无。</w:t>
      </w:r>
    </w:p>
    <w:p w:rsidR="00A067C6" w:rsidRDefault="005C4966">
      <w:pPr>
        <w:pStyle w:val="3"/>
        <w:spacing w:line="280" w:lineRule="exact"/>
        <w:jc w:val="left"/>
        <w:rPr>
          <w:rFonts w:ascii="宋体" w:hAnsi="宋体" w:cs="宋体"/>
          <w:b/>
          <w:bCs/>
        </w:rPr>
      </w:pPr>
      <w:bookmarkStart w:id="23" w:name="_Toc988912"/>
      <w:r>
        <w:rPr>
          <w:rFonts w:ascii="宋体" w:hAnsi="宋体" w:cs="宋体"/>
          <w:b/>
          <w:bCs/>
        </w:rPr>
        <w:t>6</w:t>
      </w:r>
      <w:r>
        <w:rPr>
          <w:rFonts w:ascii="宋体" w:hAnsi="宋体" w:cs="宋体"/>
          <w:b/>
          <w:bCs/>
        </w:rPr>
        <w:t>、代运营模式</w:t>
      </w:r>
      <w:bookmarkEnd w:id="23"/>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是否涉及代运营模式</w:t>
      </w:r>
    </w:p>
    <w:p w:rsidR="00A067C6" w:rsidRDefault="005C4966">
      <w:pPr>
        <w:spacing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是</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否</w:t>
      </w:r>
    </w:p>
    <w:p w:rsidR="00A067C6" w:rsidRDefault="005C4966">
      <w:pPr>
        <w:pStyle w:val="3"/>
        <w:spacing w:line="280" w:lineRule="exact"/>
        <w:jc w:val="left"/>
        <w:rPr>
          <w:rFonts w:ascii="宋体" w:hAnsi="宋体" w:cs="宋体"/>
          <w:b/>
          <w:bCs/>
        </w:rPr>
      </w:pPr>
      <w:bookmarkStart w:id="24" w:name="_Toc988913"/>
      <w:r>
        <w:rPr>
          <w:rFonts w:ascii="宋体" w:hAnsi="宋体" w:cs="宋体"/>
          <w:b/>
          <w:bCs/>
        </w:rPr>
        <w:t>7</w:t>
      </w:r>
      <w:r>
        <w:rPr>
          <w:rFonts w:ascii="宋体" w:hAnsi="宋体" w:cs="宋体"/>
          <w:b/>
          <w:bCs/>
        </w:rPr>
        <w:t>、存货情况</w:t>
      </w:r>
      <w:bookmarkEnd w:id="24"/>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存货情况</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68"/>
        <w:gridCol w:w="1585"/>
        <w:gridCol w:w="1586"/>
        <w:gridCol w:w="1586"/>
        <w:gridCol w:w="1338"/>
        <w:gridCol w:w="1876"/>
      </w:tblGrid>
      <w:tr w:rsidR="00A067C6">
        <w:trPr>
          <w:trHeight w:val="240"/>
        </w:trPr>
        <w:tc>
          <w:tcPr>
            <w:tcW w:w="166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主要产品</w:t>
            </w:r>
          </w:p>
        </w:tc>
        <w:tc>
          <w:tcPr>
            <w:tcW w:w="158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存货周转天数</w:t>
            </w:r>
          </w:p>
        </w:tc>
        <w:tc>
          <w:tcPr>
            <w:tcW w:w="158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存货数量</w:t>
            </w:r>
          </w:p>
        </w:tc>
        <w:tc>
          <w:tcPr>
            <w:tcW w:w="158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存货库龄</w:t>
            </w:r>
          </w:p>
        </w:tc>
        <w:tc>
          <w:tcPr>
            <w:tcW w:w="133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存货余额同比增减情况</w:t>
            </w:r>
          </w:p>
        </w:tc>
        <w:tc>
          <w:tcPr>
            <w:tcW w:w="1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原因</w:t>
            </w:r>
          </w:p>
        </w:tc>
      </w:tr>
      <w:tr w:rsidR="00A067C6">
        <w:trPr>
          <w:trHeight w:val="240"/>
        </w:trPr>
        <w:tc>
          <w:tcPr>
            <w:tcW w:w="166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纱线（吨）</w:t>
            </w:r>
          </w:p>
        </w:tc>
        <w:tc>
          <w:tcPr>
            <w:tcW w:w="158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70</w:t>
            </w:r>
          </w:p>
        </w:tc>
        <w:tc>
          <w:tcPr>
            <w:tcW w:w="158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60,167.00</w:t>
            </w:r>
          </w:p>
        </w:tc>
        <w:tc>
          <w:tcPr>
            <w:tcW w:w="158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3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-23.02%</w:t>
            </w:r>
          </w:p>
        </w:tc>
        <w:tc>
          <w:tcPr>
            <w:tcW w:w="1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166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ind w:left="90" w:hangingChars="50" w:hanging="90"/>
              <w:rPr>
                <w:rFonts w:ascii="宋体" w:eastAsia="宋体" w:hAnsi="宋体" w:cs="宋体"/>
                <w:sz w:val="18"/>
                <w:szCs w:val="18"/>
              </w:rPr>
            </w:pPr>
            <w:r>
              <w:rPr>
                <w:rFonts w:ascii="宋体" w:eastAsia="宋体" w:hAnsi="宋体" w:cs="宋体"/>
                <w:sz w:val="18"/>
                <w:szCs w:val="18"/>
              </w:rPr>
              <w:t>原棉、色纤</w:t>
            </w:r>
            <w:r>
              <w:rPr>
                <w:rFonts w:ascii="宋体" w:eastAsia="宋体" w:hAnsi="宋体" w:cs="宋体" w:hint="eastAsia"/>
                <w:sz w:val="18"/>
                <w:szCs w:val="18"/>
              </w:rPr>
              <w:t>（吨）</w:t>
            </w:r>
          </w:p>
        </w:tc>
        <w:tc>
          <w:tcPr>
            <w:tcW w:w="158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102</w:t>
            </w:r>
          </w:p>
        </w:tc>
        <w:tc>
          <w:tcPr>
            <w:tcW w:w="158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51,953.00</w:t>
            </w:r>
          </w:p>
        </w:tc>
        <w:tc>
          <w:tcPr>
            <w:tcW w:w="158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3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-69.36%</w:t>
            </w:r>
          </w:p>
        </w:tc>
        <w:tc>
          <w:tcPr>
            <w:tcW w:w="1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hint="eastAsia"/>
                <w:sz w:val="18"/>
                <w:szCs w:val="18"/>
              </w:rPr>
              <w:t>主要系备货减少所致</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存货跌价准备的计提情况</w:t>
      </w:r>
      <w:r>
        <w:rPr>
          <w:rFonts w:hint="eastAsia"/>
          <w:sz w:val="18"/>
          <w:szCs w:val="18"/>
        </w:rPr>
        <w:t>详见附注第十节七</w:t>
      </w:r>
      <w:r>
        <w:rPr>
          <w:rFonts w:ascii="Calibri" w:hAnsi="Calibri"/>
          <w:sz w:val="18"/>
          <w:szCs w:val="18"/>
        </w:rPr>
        <w:t xml:space="preserve">9 </w:t>
      </w:r>
      <w:r>
        <w:rPr>
          <w:rFonts w:hint="eastAsia"/>
          <w:sz w:val="18"/>
          <w:szCs w:val="18"/>
        </w:rPr>
        <w:t>存货。</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加盟或分销商等终端渠道的存货信息</w:t>
      </w:r>
    </w:p>
    <w:p w:rsidR="00A067C6" w:rsidRDefault="005C4966">
      <w:pPr>
        <w:spacing w:line="240" w:lineRule="exact"/>
        <w:rPr>
          <w:rFonts w:ascii="宋体" w:eastAsia="宋体" w:hAnsi="宋体" w:cs="宋体"/>
          <w:sz w:val="18"/>
          <w:szCs w:val="18"/>
        </w:rPr>
      </w:pPr>
      <w:r>
        <w:rPr>
          <w:rFonts w:ascii="宋体" w:eastAsia="宋体" w:hAnsi="宋体" w:cs="宋体" w:hint="eastAsia"/>
          <w:sz w:val="18"/>
          <w:szCs w:val="18"/>
        </w:rPr>
        <w:t>无。</w:t>
      </w:r>
    </w:p>
    <w:p w:rsidR="00A067C6" w:rsidRDefault="005C4966">
      <w:pPr>
        <w:pStyle w:val="3"/>
        <w:spacing w:line="280" w:lineRule="exact"/>
        <w:jc w:val="left"/>
        <w:rPr>
          <w:rFonts w:ascii="宋体" w:hAnsi="宋体" w:cs="宋体"/>
          <w:b/>
          <w:bCs/>
        </w:rPr>
      </w:pPr>
      <w:bookmarkStart w:id="25" w:name="_Toc988914"/>
      <w:r>
        <w:rPr>
          <w:rFonts w:ascii="宋体" w:hAnsi="宋体" w:cs="宋体"/>
          <w:b/>
          <w:bCs/>
        </w:rPr>
        <w:t>8</w:t>
      </w:r>
      <w:r>
        <w:rPr>
          <w:rFonts w:ascii="宋体" w:hAnsi="宋体" w:cs="宋体"/>
          <w:b/>
          <w:bCs/>
        </w:rPr>
        <w:t>、品牌建设情况</w:t>
      </w:r>
      <w:bookmarkEnd w:id="25"/>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公司是否涉及生产和销售品牌服装、服饰以及家纺产品</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w:t>
      </w:r>
      <w:r>
        <w:rPr>
          <w:rFonts w:ascii="宋体" w:eastAsia="宋体" w:hAnsi="宋体" w:cs="宋体"/>
          <w:sz w:val="18"/>
          <w:szCs w:val="18"/>
        </w:rPr>
        <w:t xml:space="preserve"> □</w:t>
      </w:r>
      <w:r>
        <w:rPr>
          <w:rFonts w:ascii="宋体" w:eastAsia="宋体" w:hAnsi="宋体" w:cs="宋体"/>
          <w:sz w:val="18"/>
          <w:szCs w:val="18"/>
        </w:rPr>
        <w:t>否</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自有品牌</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04"/>
        <w:gridCol w:w="1205"/>
        <w:gridCol w:w="1205"/>
        <w:gridCol w:w="1205"/>
        <w:gridCol w:w="1205"/>
        <w:gridCol w:w="1205"/>
        <w:gridCol w:w="1205"/>
        <w:gridCol w:w="1205"/>
      </w:tblGrid>
      <w:tr w:rsidR="00A067C6">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品牌名称</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商标名称</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主要产品类型</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特点</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目标客户群</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主要产品价格带</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主要销售区域</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城市级别</w:t>
            </w:r>
          </w:p>
        </w:tc>
      </w:tr>
      <w:tr w:rsidR="00A067C6">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carmalla</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carmalla</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袜子</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时尚可爱</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女性</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30-60</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全国</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一二线城市</w:t>
            </w:r>
          </w:p>
        </w:tc>
      </w:tr>
      <w:tr w:rsidR="00A067C6">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isku</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isku</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袜子</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酷潮</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男女</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50-80</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全国</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一二线城市</w:t>
            </w:r>
          </w:p>
        </w:tc>
      </w:tr>
      <w:tr w:rsidR="00A067C6">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ilooklike</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ilooklike</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袜子</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基础简约</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女性</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30-60</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全国</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一二线城市</w:t>
            </w:r>
          </w:p>
        </w:tc>
      </w:tr>
      <w:tr w:rsidR="00A067C6">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caramellakkids</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caramellakkids</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童袜</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可爱卡通</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女性</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30-60</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全国</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一二线城市</w:t>
            </w:r>
          </w:p>
        </w:tc>
      </w:tr>
      <w:tr w:rsidR="00A067C6">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整季</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整季</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袜子</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基础量贩</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男女</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全国</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一二三四线城市</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合作品牌</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4"/>
        <w:gridCol w:w="804"/>
        <w:gridCol w:w="804"/>
        <w:gridCol w:w="803"/>
        <w:gridCol w:w="803"/>
        <w:gridCol w:w="803"/>
        <w:gridCol w:w="803"/>
        <w:gridCol w:w="803"/>
        <w:gridCol w:w="803"/>
        <w:gridCol w:w="803"/>
        <w:gridCol w:w="803"/>
        <w:gridCol w:w="803"/>
      </w:tblGrid>
      <w:tr w:rsidR="00A067C6">
        <w:trPr>
          <w:trHeight w:val="240"/>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品牌名称</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商标名称</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主要产品类型</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特点</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目标客户群</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主要产品价格带</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主要销售区域</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城市级别</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品牌及商标权权属</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合作方名称</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合作方式</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合作期限</w:t>
            </w:r>
          </w:p>
        </w:tc>
      </w:tr>
      <w:tr w:rsidR="00A067C6">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屈臣氏</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屈臣氏</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袜子</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年轻时尚</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女性</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30-60</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全国</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一二线城市</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品牌方</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屈臣氏</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OEM</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长期</w:t>
            </w:r>
          </w:p>
        </w:tc>
      </w:tr>
      <w:tr w:rsidR="00A067C6">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酷乐潮袜</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酷乐潮袜</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袜子</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年轻时尚</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男女</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30-60</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全国</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一二线城市</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品牌方</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酷乐潮袜</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OEM</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长期</w:t>
            </w:r>
          </w:p>
        </w:tc>
      </w:tr>
      <w:tr w:rsidR="00A067C6">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乐町</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乐町</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袜子</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年轻时尚</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女性</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30-60</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全国</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一二线城市</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品牌方</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乐町</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ODM</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长期</w:t>
            </w:r>
          </w:p>
        </w:tc>
      </w:tr>
      <w:tr w:rsidR="00A067C6">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芬腾</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芬腾</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袜子</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年轻时尚</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女性</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30-60</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全国</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一二线城市</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品牌方</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芬腾</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ODM</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长期</w:t>
            </w:r>
          </w:p>
        </w:tc>
      </w:tr>
      <w:tr w:rsidR="00A067C6">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快鱼服饰</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快鱼服饰</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袜子</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年轻时尚</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男女</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30-60</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全国</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一二线城市</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品牌方</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快鱼服饰</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ODM</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长期</w:t>
            </w:r>
          </w:p>
        </w:tc>
      </w:tr>
      <w:tr w:rsidR="00A067C6">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伶俐饰品</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伶俐饰品</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袜子</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年轻时尚</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女性</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30-60</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全国</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一二线城市</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品牌方</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伶俐饰品</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ODM</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长期</w:t>
            </w:r>
          </w:p>
        </w:tc>
      </w:tr>
      <w:tr w:rsidR="00A067C6">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果壳</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果壳</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袜子</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年轻时尚</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女性</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20-40</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全国</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一二线城市</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品牌方</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果壳</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ODM</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长期</w:t>
            </w:r>
          </w:p>
        </w:tc>
      </w:tr>
      <w:tr w:rsidR="00A067C6">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植物王国</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植物王国</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袜子</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可爱卡通</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儿童</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20-40</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全国</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一二线城市</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品牌方</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孩子王</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ODM</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长期</w:t>
            </w:r>
          </w:p>
        </w:tc>
      </w:tr>
      <w:tr w:rsidR="00A067C6">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畹町</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畹町</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袜子</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年轻时尚</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女性</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20-40</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全国</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一二线城市</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品牌方</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热风时尚</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ODM</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长期</w:t>
            </w:r>
          </w:p>
        </w:tc>
      </w:tr>
      <w:tr w:rsidR="00A067C6">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名创优品</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名创优品</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袜子</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年轻时尚</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女性</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18-60</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全国</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一二线城市</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品牌方</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名创优品</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OEM</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长期</w:t>
            </w:r>
          </w:p>
        </w:tc>
      </w:tr>
      <w:tr w:rsidR="00A067C6">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KKV</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KKV</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袜子</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年轻时尚</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女性</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20-60</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全国</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一二线城市</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品牌方</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KKV</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OEM</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长期</w:t>
            </w:r>
          </w:p>
        </w:tc>
      </w:tr>
      <w:tr w:rsidR="00A067C6">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盒马</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盒马</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袜子</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年轻时尚</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女性</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30-60</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全国</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一二线城市</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品牌方</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盒马</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OEM</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长期</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被授权品牌</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77"/>
        <w:gridCol w:w="877"/>
        <w:gridCol w:w="877"/>
        <w:gridCol w:w="876"/>
        <w:gridCol w:w="876"/>
        <w:gridCol w:w="876"/>
        <w:gridCol w:w="876"/>
        <w:gridCol w:w="876"/>
        <w:gridCol w:w="876"/>
        <w:gridCol w:w="876"/>
        <w:gridCol w:w="876"/>
      </w:tblGrid>
      <w:tr w:rsidR="00A067C6">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品牌名称</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商标名称</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主要产品类型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特点</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目标客户群</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主要产品价格带</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主要销售区域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城市级别</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授权方</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授权期限</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是否为独家授权</w:t>
            </w:r>
          </w:p>
        </w:tc>
      </w:tr>
      <w:tr w:rsidR="00A067C6">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smile</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smile</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袜子</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酷潮</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男女</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50-80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全国</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一二线城市</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品牌方</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年</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是</w:t>
            </w:r>
          </w:p>
        </w:tc>
      </w:tr>
      <w:tr w:rsidR="00A067C6">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彼得兔</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彼得兔</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袜子</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可爱卡通</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女性</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30-60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全国</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一二线城市</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品牌方</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年</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是</w:t>
            </w:r>
          </w:p>
        </w:tc>
      </w:tr>
      <w:tr w:rsidR="00A067C6">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名创优品</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MINISO</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袜子、内衣裤</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年轻时尚</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16-35</w:t>
            </w:r>
            <w:r>
              <w:rPr>
                <w:rFonts w:ascii="宋体" w:eastAsia="宋体" w:hAnsi="宋体" w:cs="宋体"/>
                <w:sz w:val="18"/>
                <w:szCs w:val="18"/>
              </w:rPr>
              <w:t>岁</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30-90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线上</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一二线城市</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品牌方</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年</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报告期内各品牌的营销与运营</w:t>
      </w:r>
    </w:p>
    <w:p w:rsidR="00A067C6" w:rsidRDefault="005C4966">
      <w:pPr>
        <w:spacing w:before="40" w:after="40" w:line="240" w:lineRule="exact"/>
        <w:rPr>
          <w:rFonts w:ascii="宋体" w:eastAsia="宋体" w:hAnsi="宋体" w:cs="宋体"/>
          <w:sz w:val="18"/>
          <w:szCs w:val="18"/>
        </w:rPr>
      </w:pPr>
      <w:r>
        <w:rPr>
          <w:rFonts w:ascii="宋体" w:eastAsia="宋体" w:hAnsi="宋体" w:cs="宋体" w:hint="eastAsia"/>
          <w:sz w:val="18"/>
          <w:szCs w:val="18"/>
        </w:rPr>
        <w:t>无。</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涉及商标权属纠纷等情况</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pStyle w:val="3"/>
        <w:spacing w:line="280" w:lineRule="exact"/>
        <w:jc w:val="left"/>
        <w:rPr>
          <w:rFonts w:ascii="宋体" w:hAnsi="宋体" w:cs="宋体"/>
          <w:b/>
          <w:bCs/>
        </w:rPr>
      </w:pPr>
      <w:bookmarkStart w:id="26" w:name="_Toc988915"/>
      <w:r>
        <w:rPr>
          <w:rFonts w:ascii="宋体" w:hAnsi="宋体" w:cs="宋体"/>
          <w:b/>
          <w:bCs/>
        </w:rPr>
        <w:t>9</w:t>
      </w:r>
      <w:r>
        <w:rPr>
          <w:rFonts w:ascii="宋体" w:hAnsi="宋体" w:cs="宋体"/>
          <w:b/>
          <w:bCs/>
        </w:rPr>
        <w:t>、其他</w:t>
      </w:r>
      <w:bookmarkEnd w:id="26"/>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公司是否从事服装设计相关业务</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w:t>
      </w:r>
      <w:r>
        <w:rPr>
          <w:rFonts w:ascii="宋体" w:eastAsia="宋体" w:hAnsi="宋体" w:cs="宋体"/>
          <w:sz w:val="18"/>
          <w:szCs w:val="18"/>
        </w:rPr>
        <w:t xml:space="preserve"> □</w:t>
      </w:r>
      <w:r>
        <w:rPr>
          <w:rFonts w:ascii="宋体" w:eastAsia="宋体" w:hAnsi="宋体" w:cs="宋体"/>
          <w:sz w:val="18"/>
          <w:szCs w:val="18"/>
        </w:rPr>
        <w:t>否</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085"/>
        <w:gridCol w:w="2184"/>
        <w:gridCol w:w="2185"/>
        <w:gridCol w:w="2185"/>
      </w:tblGrid>
      <w:tr w:rsidR="00A067C6">
        <w:trPr>
          <w:trHeight w:val="240"/>
        </w:trPr>
        <w:tc>
          <w:tcPr>
            <w:tcW w:w="308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自有的服装设计师数量</w:t>
            </w:r>
          </w:p>
        </w:tc>
        <w:tc>
          <w:tcPr>
            <w:tcW w:w="218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33</w:t>
            </w:r>
          </w:p>
        </w:tc>
        <w:tc>
          <w:tcPr>
            <w:tcW w:w="218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签约的服装设计师数量</w:t>
            </w:r>
          </w:p>
        </w:tc>
        <w:tc>
          <w:tcPr>
            <w:tcW w:w="218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w:t>
            </w:r>
          </w:p>
        </w:tc>
      </w:tr>
      <w:tr w:rsidR="00A067C6">
        <w:trPr>
          <w:trHeight w:val="240"/>
        </w:trPr>
        <w:tc>
          <w:tcPr>
            <w:tcW w:w="308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搭建的设计师平台的运营情况</w:t>
            </w:r>
          </w:p>
        </w:tc>
        <w:tc>
          <w:tcPr>
            <w:tcW w:w="6554"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良好</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公司是否举办订货会</w:t>
      </w:r>
    </w:p>
    <w:p w:rsidR="00A067C6" w:rsidRDefault="005C4966">
      <w:pPr>
        <w:spacing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是</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否</w:t>
      </w:r>
    </w:p>
    <w:p w:rsidR="00A067C6" w:rsidRDefault="005C4966">
      <w:pPr>
        <w:pStyle w:val="2"/>
        <w:spacing w:before="300" w:after="300" w:line="320" w:lineRule="exact"/>
        <w:rPr>
          <w:rFonts w:ascii="宋体" w:eastAsia="宋体" w:hAnsi="宋体" w:cs="宋体"/>
          <w:b/>
          <w:bCs/>
          <w:sz w:val="24"/>
          <w:szCs w:val="24"/>
        </w:rPr>
      </w:pPr>
      <w:bookmarkStart w:id="27" w:name="_Toc988916"/>
      <w:r>
        <w:rPr>
          <w:rFonts w:ascii="宋体" w:eastAsia="宋体" w:hAnsi="宋体" w:cs="宋体"/>
          <w:b/>
          <w:bCs/>
          <w:sz w:val="24"/>
          <w:szCs w:val="24"/>
        </w:rPr>
        <w:t>五、非主营业务分析</w:t>
      </w:r>
      <w:bookmarkEnd w:id="27"/>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t>不适用</w:t>
      </w:r>
    </w:p>
    <w:p w:rsidR="00A067C6" w:rsidRDefault="005C4966">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68"/>
        <w:gridCol w:w="1701"/>
        <w:gridCol w:w="1701"/>
        <w:gridCol w:w="2641"/>
        <w:gridCol w:w="1928"/>
      </w:tblGrid>
      <w:tr w:rsidR="00A067C6">
        <w:trPr>
          <w:trHeight w:val="240"/>
        </w:trPr>
        <w:tc>
          <w:tcPr>
            <w:tcW w:w="166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占利润总额比例</w:t>
            </w:r>
          </w:p>
        </w:tc>
        <w:tc>
          <w:tcPr>
            <w:tcW w:w="264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形成原因说明</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是否具有可持续性</w:t>
            </w:r>
          </w:p>
        </w:tc>
      </w:tr>
      <w:tr w:rsidR="00A067C6">
        <w:trPr>
          <w:trHeight w:val="240"/>
        </w:trPr>
        <w:tc>
          <w:tcPr>
            <w:tcW w:w="166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投资收益</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-62,478,441.82</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-94.13%</w:t>
            </w:r>
          </w:p>
        </w:tc>
        <w:tc>
          <w:tcPr>
            <w:tcW w:w="26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本期系棉花期货产生的收益和理财收益所致。</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center"/>
              <w:rPr>
                <w:rFonts w:ascii="宋体" w:eastAsia="宋体" w:hAnsi="宋体" w:cs="宋体"/>
                <w:sz w:val="18"/>
                <w:szCs w:val="18"/>
              </w:rPr>
            </w:pPr>
            <w:r>
              <w:rPr>
                <w:rFonts w:ascii="宋体" w:eastAsia="宋体" w:hAnsi="宋体" w:cs="宋体"/>
                <w:sz w:val="18"/>
                <w:szCs w:val="18"/>
              </w:rPr>
              <w:t>否</w:t>
            </w:r>
          </w:p>
        </w:tc>
      </w:tr>
      <w:tr w:rsidR="00A067C6">
        <w:trPr>
          <w:trHeight w:val="240"/>
        </w:trPr>
        <w:tc>
          <w:tcPr>
            <w:tcW w:w="166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公允价值变动损益</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11,622,111.18</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17.51%</w:t>
            </w:r>
          </w:p>
        </w:tc>
        <w:tc>
          <w:tcPr>
            <w:tcW w:w="26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本期系棉花期货的公允价值变动收益所致。</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center"/>
              <w:rPr>
                <w:rFonts w:ascii="宋体" w:eastAsia="宋体" w:hAnsi="宋体" w:cs="宋体"/>
                <w:sz w:val="18"/>
                <w:szCs w:val="18"/>
              </w:rPr>
            </w:pPr>
            <w:r>
              <w:rPr>
                <w:rFonts w:ascii="宋体" w:eastAsia="宋体" w:hAnsi="宋体" w:cs="宋体"/>
                <w:sz w:val="18"/>
                <w:szCs w:val="18"/>
              </w:rPr>
              <w:t>否</w:t>
            </w:r>
          </w:p>
        </w:tc>
      </w:tr>
      <w:tr w:rsidR="00A067C6">
        <w:trPr>
          <w:trHeight w:val="240"/>
        </w:trPr>
        <w:tc>
          <w:tcPr>
            <w:tcW w:w="166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资产减值</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23,531,629.26</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35.45%</w:t>
            </w:r>
          </w:p>
        </w:tc>
        <w:tc>
          <w:tcPr>
            <w:tcW w:w="26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主要系存货存货跌价准备转回所致。</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center"/>
              <w:rPr>
                <w:rFonts w:ascii="宋体" w:eastAsia="宋体" w:hAnsi="宋体" w:cs="宋体"/>
                <w:sz w:val="18"/>
                <w:szCs w:val="18"/>
              </w:rPr>
            </w:pPr>
            <w:r>
              <w:rPr>
                <w:rFonts w:ascii="宋体" w:eastAsia="宋体" w:hAnsi="宋体" w:cs="宋体"/>
                <w:sz w:val="18"/>
                <w:szCs w:val="18"/>
              </w:rPr>
              <w:t>否</w:t>
            </w:r>
          </w:p>
        </w:tc>
      </w:tr>
      <w:tr w:rsidR="00A067C6">
        <w:trPr>
          <w:trHeight w:val="240"/>
        </w:trPr>
        <w:tc>
          <w:tcPr>
            <w:tcW w:w="166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营业外收入</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3,538,699.54</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5.33%</w:t>
            </w:r>
          </w:p>
        </w:tc>
        <w:tc>
          <w:tcPr>
            <w:tcW w:w="26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主要由确实无法支付的债务等形成。</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center"/>
              <w:rPr>
                <w:rFonts w:ascii="宋体" w:eastAsia="宋体" w:hAnsi="宋体" w:cs="宋体"/>
                <w:sz w:val="18"/>
                <w:szCs w:val="18"/>
              </w:rPr>
            </w:pPr>
            <w:r>
              <w:rPr>
                <w:rFonts w:ascii="宋体" w:eastAsia="宋体" w:hAnsi="宋体" w:cs="宋体"/>
                <w:sz w:val="18"/>
                <w:szCs w:val="18"/>
              </w:rPr>
              <w:t>否</w:t>
            </w:r>
          </w:p>
        </w:tc>
      </w:tr>
      <w:tr w:rsidR="00A067C6">
        <w:trPr>
          <w:trHeight w:val="240"/>
        </w:trPr>
        <w:tc>
          <w:tcPr>
            <w:tcW w:w="166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营业外支出</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2,263,481.62</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3.41%</w:t>
            </w:r>
          </w:p>
        </w:tc>
        <w:tc>
          <w:tcPr>
            <w:tcW w:w="26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主要由捐赠支出产生。</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center"/>
              <w:rPr>
                <w:rFonts w:ascii="宋体" w:eastAsia="宋体" w:hAnsi="宋体" w:cs="宋体"/>
                <w:sz w:val="18"/>
                <w:szCs w:val="18"/>
              </w:rPr>
            </w:pPr>
            <w:r>
              <w:rPr>
                <w:rFonts w:ascii="宋体" w:eastAsia="宋体" w:hAnsi="宋体" w:cs="宋体"/>
                <w:sz w:val="18"/>
                <w:szCs w:val="18"/>
              </w:rPr>
              <w:t>否</w:t>
            </w:r>
          </w:p>
        </w:tc>
      </w:tr>
    </w:tbl>
    <w:p w:rsidR="00A067C6" w:rsidRDefault="005C4966">
      <w:pPr>
        <w:pStyle w:val="2"/>
        <w:spacing w:before="300" w:after="300" w:line="320" w:lineRule="exact"/>
        <w:rPr>
          <w:rFonts w:ascii="宋体" w:eastAsia="宋体" w:hAnsi="宋体" w:cs="宋体"/>
          <w:b/>
          <w:bCs/>
          <w:sz w:val="24"/>
          <w:szCs w:val="24"/>
        </w:rPr>
      </w:pPr>
      <w:bookmarkStart w:id="28" w:name="_Toc988917"/>
      <w:r>
        <w:rPr>
          <w:rFonts w:ascii="宋体" w:eastAsia="宋体" w:hAnsi="宋体" w:cs="宋体"/>
          <w:b/>
          <w:bCs/>
          <w:sz w:val="24"/>
          <w:szCs w:val="24"/>
        </w:rPr>
        <w:t>六、资产及负债状况分析</w:t>
      </w:r>
      <w:bookmarkEnd w:id="28"/>
    </w:p>
    <w:p w:rsidR="00A067C6" w:rsidRDefault="005C4966">
      <w:pPr>
        <w:pStyle w:val="3"/>
        <w:spacing w:line="280" w:lineRule="exact"/>
        <w:jc w:val="left"/>
        <w:rPr>
          <w:rFonts w:ascii="宋体" w:hAnsi="宋体" w:cs="宋体"/>
          <w:b/>
          <w:bCs/>
        </w:rPr>
      </w:pPr>
      <w:bookmarkStart w:id="29" w:name="_Toc988918"/>
      <w:r>
        <w:rPr>
          <w:rFonts w:ascii="宋体" w:hAnsi="宋体" w:cs="宋体"/>
          <w:b/>
          <w:bCs/>
        </w:rPr>
        <w:t>1</w:t>
      </w:r>
      <w:r>
        <w:rPr>
          <w:rFonts w:ascii="宋体" w:hAnsi="宋体" w:cs="宋体"/>
          <w:b/>
          <w:bCs/>
        </w:rPr>
        <w:t>、资产构成重大变动情况</w:t>
      </w:r>
      <w:bookmarkEnd w:id="29"/>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850"/>
        <w:gridCol w:w="1343"/>
        <w:gridCol w:w="1775"/>
        <w:gridCol w:w="1418"/>
        <w:gridCol w:w="992"/>
        <w:gridCol w:w="884"/>
      </w:tblGrid>
      <w:tr w:rsidR="00A067C6">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319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本报告期末</w:t>
            </w:r>
          </w:p>
        </w:tc>
        <w:tc>
          <w:tcPr>
            <w:tcW w:w="319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上年末</w:t>
            </w:r>
          </w:p>
        </w:tc>
        <w:tc>
          <w:tcPr>
            <w:tcW w:w="99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比重增减</w:t>
            </w:r>
          </w:p>
        </w:tc>
        <w:tc>
          <w:tcPr>
            <w:tcW w:w="884"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重大变动说明</w:t>
            </w:r>
          </w:p>
        </w:tc>
      </w:tr>
      <w:tr w:rsidR="00A067C6">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85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34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占总资产比例</w:t>
            </w:r>
          </w:p>
        </w:tc>
        <w:tc>
          <w:tcPr>
            <w:tcW w:w="177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41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占总资产比例</w:t>
            </w:r>
          </w:p>
        </w:tc>
        <w:tc>
          <w:tcPr>
            <w:tcW w:w="99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84"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货币资金</w:t>
            </w:r>
          </w:p>
        </w:tc>
        <w:tc>
          <w:tcPr>
            <w:tcW w:w="185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4,303,041,362.63</w:t>
            </w:r>
          </w:p>
        </w:tc>
        <w:tc>
          <w:tcPr>
            <w:tcW w:w="134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23.95%</w:t>
            </w:r>
          </w:p>
        </w:tc>
        <w:tc>
          <w:tcPr>
            <w:tcW w:w="177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2,718,875,461.56</w:t>
            </w:r>
          </w:p>
        </w:tc>
        <w:tc>
          <w:tcPr>
            <w:tcW w:w="141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14.98%</w:t>
            </w:r>
          </w:p>
        </w:tc>
        <w:tc>
          <w:tcPr>
            <w:tcW w:w="99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8.97%</w:t>
            </w:r>
          </w:p>
        </w:tc>
        <w:tc>
          <w:tcPr>
            <w:tcW w:w="88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应收账款</w:t>
            </w:r>
          </w:p>
        </w:tc>
        <w:tc>
          <w:tcPr>
            <w:tcW w:w="185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963,368,344.88</w:t>
            </w:r>
          </w:p>
        </w:tc>
        <w:tc>
          <w:tcPr>
            <w:tcW w:w="134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5.36%</w:t>
            </w:r>
          </w:p>
        </w:tc>
        <w:tc>
          <w:tcPr>
            <w:tcW w:w="177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927,683,738.93</w:t>
            </w:r>
          </w:p>
        </w:tc>
        <w:tc>
          <w:tcPr>
            <w:tcW w:w="141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5.11%</w:t>
            </w:r>
          </w:p>
        </w:tc>
        <w:tc>
          <w:tcPr>
            <w:tcW w:w="99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0.25%</w:t>
            </w:r>
          </w:p>
        </w:tc>
        <w:tc>
          <w:tcPr>
            <w:tcW w:w="88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存货</w:t>
            </w:r>
          </w:p>
        </w:tc>
        <w:tc>
          <w:tcPr>
            <w:tcW w:w="185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3,215,637,984.55</w:t>
            </w:r>
          </w:p>
        </w:tc>
        <w:tc>
          <w:tcPr>
            <w:tcW w:w="134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17.90%</w:t>
            </w:r>
          </w:p>
        </w:tc>
        <w:tc>
          <w:tcPr>
            <w:tcW w:w="177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5,337,498,180.84</w:t>
            </w:r>
          </w:p>
        </w:tc>
        <w:tc>
          <w:tcPr>
            <w:tcW w:w="141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29.42%</w:t>
            </w:r>
          </w:p>
        </w:tc>
        <w:tc>
          <w:tcPr>
            <w:tcW w:w="99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-11.52%</w:t>
            </w:r>
          </w:p>
        </w:tc>
        <w:tc>
          <w:tcPr>
            <w:tcW w:w="88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投资性房地产</w:t>
            </w:r>
          </w:p>
        </w:tc>
        <w:tc>
          <w:tcPr>
            <w:tcW w:w="185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59,601,999.31</w:t>
            </w:r>
          </w:p>
        </w:tc>
        <w:tc>
          <w:tcPr>
            <w:tcW w:w="134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0.33%</w:t>
            </w:r>
          </w:p>
        </w:tc>
        <w:tc>
          <w:tcPr>
            <w:tcW w:w="177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61,592,794.48</w:t>
            </w:r>
          </w:p>
        </w:tc>
        <w:tc>
          <w:tcPr>
            <w:tcW w:w="141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0.34%</w:t>
            </w:r>
          </w:p>
        </w:tc>
        <w:tc>
          <w:tcPr>
            <w:tcW w:w="99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-0.01%</w:t>
            </w:r>
          </w:p>
        </w:tc>
        <w:tc>
          <w:tcPr>
            <w:tcW w:w="88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长期股权投资</w:t>
            </w:r>
          </w:p>
        </w:tc>
        <w:tc>
          <w:tcPr>
            <w:tcW w:w="185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321,526,578.16</w:t>
            </w:r>
          </w:p>
        </w:tc>
        <w:tc>
          <w:tcPr>
            <w:tcW w:w="134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1.79%</w:t>
            </w:r>
          </w:p>
        </w:tc>
        <w:tc>
          <w:tcPr>
            <w:tcW w:w="177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326,977,121.34</w:t>
            </w:r>
          </w:p>
        </w:tc>
        <w:tc>
          <w:tcPr>
            <w:tcW w:w="141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1.80%</w:t>
            </w:r>
          </w:p>
        </w:tc>
        <w:tc>
          <w:tcPr>
            <w:tcW w:w="99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-0.01%</w:t>
            </w:r>
          </w:p>
        </w:tc>
        <w:tc>
          <w:tcPr>
            <w:tcW w:w="88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固定资产</w:t>
            </w:r>
          </w:p>
        </w:tc>
        <w:tc>
          <w:tcPr>
            <w:tcW w:w="185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4,766,180,757.71</w:t>
            </w:r>
          </w:p>
        </w:tc>
        <w:tc>
          <w:tcPr>
            <w:tcW w:w="134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26.53%</w:t>
            </w:r>
          </w:p>
        </w:tc>
        <w:tc>
          <w:tcPr>
            <w:tcW w:w="177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4,987,410,058.67</w:t>
            </w:r>
          </w:p>
        </w:tc>
        <w:tc>
          <w:tcPr>
            <w:tcW w:w="141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27.49%</w:t>
            </w:r>
          </w:p>
        </w:tc>
        <w:tc>
          <w:tcPr>
            <w:tcW w:w="99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-0.96%</w:t>
            </w:r>
          </w:p>
        </w:tc>
        <w:tc>
          <w:tcPr>
            <w:tcW w:w="88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在建工程</w:t>
            </w:r>
          </w:p>
        </w:tc>
        <w:tc>
          <w:tcPr>
            <w:tcW w:w="185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492,426,795.80</w:t>
            </w:r>
          </w:p>
        </w:tc>
        <w:tc>
          <w:tcPr>
            <w:tcW w:w="134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2.74%</w:t>
            </w:r>
          </w:p>
        </w:tc>
        <w:tc>
          <w:tcPr>
            <w:tcW w:w="177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405,320,838.98</w:t>
            </w:r>
          </w:p>
        </w:tc>
        <w:tc>
          <w:tcPr>
            <w:tcW w:w="141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2.23%</w:t>
            </w:r>
          </w:p>
        </w:tc>
        <w:tc>
          <w:tcPr>
            <w:tcW w:w="99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0.51%</w:t>
            </w:r>
          </w:p>
        </w:tc>
        <w:tc>
          <w:tcPr>
            <w:tcW w:w="88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使用权资产</w:t>
            </w:r>
          </w:p>
        </w:tc>
        <w:tc>
          <w:tcPr>
            <w:tcW w:w="185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21,451,260.14</w:t>
            </w:r>
          </w:p>
        </w:tc>
        <w:tc>
          <w:tcPr>
            <w:tcW w:w="134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0.12%</w:t>
            </w:r>
          </w:p>
        </w:tc>
        <w:tc>
          <w:tcPr>
            <w:tcW w:w="177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23,275,556.72</w:t>
            </w:r>
          </w:p>
        </w:tc>
        <w:tc>
          <w:tcPr>
            <w:tcW w:w="141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0.13%</w:t>
            </w:r>
          </w:p>
        </w:tc>
        <w:tc>
          <w:tcPr>
            <w:tcW w:w="99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-0.01%</w:t>
            </w:r>
          </w:p>
        </w:tc>
        <w:tc>
          <w:tcPr>
            <w:tcW w:w="88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短期借款</w:t>
            </w:r>
          </w:p>
        </w:tc>
        <w:tc>
          <w:tcPr>
            <w:tcW w:w="185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7,322,725,209.62</w:t>
            </w:r>
          </w:p>
        </w:tc>
        <w:tc>
          <w:tcPr>
            <w:tcW w:w="134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40.76%</w:t>
            </w:r>
          </w:p>
        </w:tc>
        <w:tc>
          <w:tcPr>
            <w:tcW w:w="177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7,649,257,866.34</w:t>
            </w:r>
          </w:p>
        </w:tc>
        <w:tc>
          <w:tcPr>
            <w:tcW w:w="141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42.16%</w:t>
            </w:r>
          </w:p>
        </w:tc>
        <w:tc>
          <w:tcPr>
            <w:tcW w:w="99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-1.40%</w:t>
            </w:r>
          </w:p>
        </w:tc>
        <w:tc>
          <w:tcPr>
            <w:tcW w:w="88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合同负债</w:t>
            </w:r>
          </w:p>
        </w:tc>
        <w:tc>
          <w:tcPr>
            <w:tcW w:w="185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757,846,830.73</w:t>
            </w:r>
          </w:p>
        </w:tc>
        <w:tc>
          <w:tcPr>
            <w:tcW w:w="134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4.22%</w:t>
            </w:r>
          </w:p>
        </w:tc>
        <w:tc>
          <w:tcPr>
            <w:tcW w:w="177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781,571,502.38</w:t>
            </w:r>
          </w:p>
        </w:tc>
        <w:tc>
          <w:tcPr>
            <w:tcW w:w="141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4.31%</w:t>
            </w:r>
          </w:p>
        </w:tc>
        <w:tc>
          <w:tcPr>
            <w:tcW w:w="99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-0.09%</w:t>
            </w:r>
          </w:p>
        </w:tc>
        <w:tc>
          <w:tcPr>
            <w:tcW w:w="88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长期借款</w:t>
            </w:r>
          </w:p>
        </w:tc>
        <w:tc>
          <w:tcPr>
            <w:tcW w:w="185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1,093,476,000.00</w:t>
            </w:r>
          </w:p>
        </w:tc>
        <w:tc>
          <w:tcPr>
            <w:tcW w:w="134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6.09%</w:t>
            </w:r>
          </w:p>
        </w:tc>
        <w:tc>
          <w:tcPr>
            <w:tcW w:w="177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920,040,822.50</w:t>
            </w:r>
          </w:p>
        </w:tc>
        <w:tc>
          <w:tcPr>
            <w:tcW w:w="141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5.07%</w:t>
            </w:r>
          </w:p>
        </w:tc>
        <w:tc>
          <w:tcPr>
            <w:tcW w:w="99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1.02%</w:t>
            </w:r>
          </w:p>
        </w:tc>
        <w:tc>
          <w:tcPr>
            <w:tcW w:w="88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租赁负债</w:t>
            </w:r>
          </w:p>
        </w:tc>
        <w:tc>
          <w:tcPr>
            <w:tcW w:w="185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16,540,650.19</w:t>
            </w:r>
          </w:p>
        </w:tc>
        <w:tc>
          <w:tcPr>
            <w:tcW w:w="134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0.09%</w:t>
            </w:r>
          </w:p>
        </w:tc>
        <w:tc>
          <w:tcPr>
            <w:tcW w:w="177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16,671,345.58</w:t>
            </w:r>
          </w:p>
        </w:tc>
        <w:tc>
          <w:tcPr>
            <w:tcW w:w="141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0.09%</w:t>
            </w:r>
          </w:p>
        </w:tc>
        <w:tc>
          <w:tcPr>
            <w:tcW w:w="99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8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bl>
    <w:p w:rsidR="00A067C6" w:rsidRDefault="005C4966">
      <w:pPr>
        <w:pStyle w:val="3"/>
        <w:spacing w:line="280" w:lineRule="exact"/>
        <w:jc w:val="left"/>
        <w:rPr>
          <w:rFonts w:ascii="宋体" w:hAnsi="宋体" w:cs="宋体"/>
          <w:b/>
          <w:bCs/>
        </w:rPr>
      </w:pPr>
      <w:bookmarkStart w:id="30" w:name="_Toc988919"/>
      <w:r>
        <w:rPr>
          <w:rFonts w:ascii="宋体" w:hAnsi="宋体" w:cs="宋体"/>
          <w:b/>
          <w:bCs/>
        </w:rPr>
        <w:t>2</w:t>
      </w:r>
      <w:r>
        <w:rPr>
          <w:rFonts w:ascii="宋体" w:hAnsi="宋体" w:cs="宋体"/>
          <w:b/>
          <w:bCs/>
        </w:rPr>
        <w:t>、主要境外资产情况</w:t>
      </w:r>
      <w:bookmarkEnd w:id="30"/>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pStyle w:val="3"/>
        <w:spacing w:line="280" w:lineRule="exact"/>
        <w:jc w:val="left"/>
        <w:rPr>
          <w:rFonts w:ascii="宋体" w:hAnsi="宋体" w:cs="宋体"/>
          <w:b/>
          <w:bCs/>
        </w:rPr>
      </w:pPr>
      <w:bookmarkStart w:id="31" w:name="_Toc988920"/>
      <w:r>
        <w:rPr>
          <w:rFonts w:ascii="宋体" w:hAnsi="宋体" w:cs="宋体"/>
          <w:b/>
          <w:bCs/>
        </w:rPr>
        <w:t>3</w:t>
      </w:r>
      <w:r>
        <w:rPr>
          <w:rFonts w:ascii="宋体" w:hAnsi="宋体" w:cs="宋体"/>
          <w:b/>
          <w:bCs/>
        </w:rPr>
        <w:t>、以公允价值计量的资产和负债</w:t>
      </w:r>
      <w:bookmarkEnd w:id="31"/>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t>不适用</w:t>
      </w:r>
    </w:p>
    <w:p w:rsidR="00A067C6" w:rsidRDefault="005C4966">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71"/>
        <w:gridCol w:w="1071"/>
        <w:gridCol w:w="1071"/>
        <w:gridCol w:w="1071"/>
        <w:gridCol w:w="1071"/>
        <w:gridCol w:w="1071"/>
        <w:gridCol w:w="1071"/>
        <w:gridCol w:w="1071"/>
        <w:gridCol w:w="1071"/>
      </w:tblGrid>
      <w:tr w:rsidR="00A067C6">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期初数</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本期公允价值变动损益</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计入权益的累计公允价值变动</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本期计提的减值</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本期购买金额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本期出售金额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其他变动</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期末数</w:t>
            </w:r>
          </w:p>
        </w:tc>
      </w:tr>
      <w:tr w:rsidR="00A067C6">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金融资产</w:t>
            </w:r>
          </w:p>
        </w:tc>
        <w:tc>
          <w:tcPr>
            <w:tcW w:w="8568"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衍生金融资产</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108,631,285.26</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11,622,111.18</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98,025,749.00</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167,560,005.30</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50,719,140.14</w:t>
            </w:r>
          </w:p>
        </w:tc>
      </w:tr>
      <w:tr w:rsidR="00A067C6">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其他权益工具投资</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56,479,234.53</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1,343,202.86</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57,822,437.39</w:t>
            </w:r>
          </w:p>
        </w:tc>
      </w:tr>
      <w:tr w:rsidR="00A067C6">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金融资产小计</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165,110,519.79</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11,622,111.18</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1,343,202.86</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98,025,749.00</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167,560,005.30</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108,541,577.53</w:t>
            </w:r>
          </w:p>
        </w:tc>
      </w:tr>
      <w:tr w:rsidR="00A067C6">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理财产品</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499,932,798.40</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892,974,793.23</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1,318,486,420.97</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74,421,170.66</w:t>
            </w:r>
          </w:p>
        </w:tc>
      </w:tr>
      <w:tr w:rsidR="00A067C6">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上述合计</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665,043,318.19</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11,622,111.18</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1,343,202.86</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991,000,542.23</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1,486,046,426.27</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182,962,748.19</w:t>
            </w:r>
          </w:p>
        </w:tc>
      </w:tr>
      <w:tr w:rsidR="00A067C6">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金融负债</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1,902,600.00</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1,519,000.00</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383,600.00</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其他变动的内容</w:t>
      </w:r>
    </w:p>
    <w:p w:rsidR="00A067C6" w:rsidRDefault="005C4966">
      <w:pPr>
        <w:spacing w:before="40" w:after="40" w:line="240" w:lineRule="exact"/>
        <w:rPr>
          <w:rFonts w:ascii="宋体" w:eastAsia="宋体" w:hAnsi="宋体" w:cs="宋体"/>
          <w:sz w:val="18"/>
          <w:szCs w:val="18"/>
        </w:rPr>
      </w:pPr>
      <w:r>
        <w:rPr>
          <w:rFonts w:ascii="宋体" w:eastAsia="宋体" w:hAnsi="宋体" w:cs="宋体" w:hint="eastAsia"/>
          <w:sz w:val="18"/>
          <w:szCs w:val="18"/>
        </w:rPr>
        <w:t>无。</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报告期内公司主要资产计量属性是否发生重大变化</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是</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否</w:t>
      </w:r>
    </w:p>
    <w:p w:rsidR="00A067C6" w:rsidRDefault="005C4966">
      <w:pPr>
        <w:pStyle w:val="3"/>
        <w:spacing w:line="280" w:lineRule="exact"/>
        <w:jc w:val="left"/>
        <w:rPr>
          <w:rFonts w:ascii="宋体" w:hAnsi="宋体" w:cs="宋体"/>
          <w:b/>
          <w:bCs/>
        </w:rPr>
      </w:pPr>
      <w:bookmarkStart w:id="32" w:name="_Toc988921"/>
      <w:r>
        <w:rPr>
          <w:rFonts w:ascii="宋体" w:hAnsi="宋体" w:cs="宋体"/>
          <w:b/>
          <w:bCs/>
        </w:rPr>
        <w:t>4</w:t>
      </w:r>
      <w:r>
        <w:rPr>
          <w:rFonts w:ascii="宋体" w:hAnsi="宋体" w:cs="宋体"/>
          <w:b/>
          <w:bCs/>
        </w:rPr>
        <w:t>、截至报告期末的资产权利受限情况</w:t>
      </w:r>
      <w:bookmarkEnd w:id="32"/>
    </w:p>
    <w:p w:rsidR="00A067C6" w:rsidRDefault="005C4966">
      <w:pPr>
        <w:pStyle w:val="a6"/>
        <w:rPr>
          <w:rFonts w:ascii="Times New Roman" w:hAnsi="Times New Roman" w:cs="Times New Roman"/>
        </w:rPr>
      </w:pPr>
      <w:r>
        <w:rPr>
          <w:rFonts w:cs="Times New Roman" w:hint="eastAsia"/>
          <w:sz w:val="18"/>
          <w:szCs w:val="18"/>
        </w:rPr>
        <w:t>详见附注第十节七</w:t>
      </w:r>
      <w:r>
        <w:rPr>
          <w:rFonts w:ascii="Times New Roman" w:hAnsi="Times New Roman" w:cs="Times New Roman"/>
          <w:sz w:val="18"/>
          <w:szCs w:val="18"/>
        </w:rPr>
        <w:t xml:space="preserve">81 </w:t>
      </w:r>
      <w:r>
        <w:rPr>
          <w:rFonts w:cs="Times New Roman" w:hint="eastAsia"/>
          <w:sz w:val="18"/>
          <w:szCs w:val="18"/>
        </w:rPr>
        <w:t>所有权或使用权受到限制的资产。</w:t>
      </w:r>
    </w:p>
    <w:p w:rsidR="00A067C6" w:rsidRDefault="005C4966">
      <w:pPr>
        <w:pStyle w:val="2"/>
        <w:spacing w:before="300" w:after="300" w:line="320" w:lineRule="exact"/>
        <w:rPr>
          <w:rFonts w:ascii="宋体" w:eastAsia="宋体" w:hAnsi="宋体" w:cs="宋体"/>
          <w:b/>
          <w:bCs/>
          <w:sz w:val="24"/>
          <w:szCs w:val="24"/>
        </w:rPr>
      </w:pPr>
      <w:bookmarkStart w:id="33" w:name="_Toc988922"/>
      <w:r>
        <w:rPr>
          <w:rFonts w:ascii="宋体" w:eastAsia="宋体" w:hAnsi="宋体" w:cs="宋体"/>
          <w:b/>
          <w:bCs/>
          <w:sz w:val="24"/>
          <w:szCs w:val="24"/>
        </w:rPr>
        <w:t>七、投资状况分析</w:t>
      </w:r>
      <w:bookmarkEnd w:id="33"/>
    </w:p>
    <w:p w:rsidR="00A067C6" w:rsidRDefault="005C4966">
      <w:pPr>
        <w:pStyle w:val="3"/>
        <w:spacing w:line="280" w:lineRule="exact"/>
        <w:jc w:val="left"/>
        <w:rPr>
          <w:rFonts w:ascii="宋体" w:hAnsi="宋体" w:cs="宋体"/>
          <w:b/>
          <w:bCs/>
        </w:rPr>
      </w:pPr>
      <w:bookmarkStart w:id="34" w:name="_Toc988923"/>
      <w:r>
        <w:rPr>
          <w:rFonts w:ascii="宋体" w:hAnsi="宋体" w:cs="宋体"/>
          <w:b/>
          <w:bCs/>
        </w:rPr>
        <w:t>1</w:t>
      </w:r>
      <w:r>
        <w:rPr>
          <w:rFonts w:ascii="宋体" w:hAnsi="宋体" w:cs="宋体"/>
          <w:b/>
          <w:bCs/>
        </w:rPr>
        <w:t>、总体情况</w:t>
      </w:r>
      <w:bookmarkEnd w:id="34"/>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pStyle w:val="3"/>
        <w:spacing w:line="280" w:lineRule="exact"/>
        <w:jc w:val="left"/>
        <w:rPr>
          <w:rFonts w:ascii="宋体" w:hAnsi="宋体" w:cs="宋体"/>
          <w:b/>
          <w:bCs/>
        </w:rPr>
      </w:pPr>
      <w:bookmarkStart w:id="35" w:name="_Toc988924"/>
      <w:r>
        <w:rPr>
          <w:rFonts w:ascii="宋体" w:hAnsi="宋体" w:cs="宋体"/>
          <w:b/>
          <w:bCs/>
        </w:rPr>
        <w:t>2</w:t>
      </w:r>
      <w:r>
        <w:rPr>
          <w:rFonts w:ascii="宋体" w:hAnsi="宋体" w:cs="宋体"/>
          <w:b/>
          <w:bCs/>
        </w:rPr>
        <w:t>、报告期内获取的重大的股权投资情况</w:t>
      </w:r>
      <w:bookmarkEnd w:id="35"/>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pStyle w:val="3"/>
        <w:spacing w:line="280" w:lineRule="exact"/>
        <w:jc w:val="left"/>
        <w:rPr>
          <w:rFonts w:ascii="宋体" w:hAnsi="宋体" w:cs="宋体"/>
          <w:b/>
          <w:bCs/>
        </w:rPr>
      </w:pPr>
      <w:bookmarkStart w:id="36" w:name="_Toc988925"/>
      <w:r>
        <w:rPr>
          <w:rFonts w:ascii="宋体" w:hAnsi="宋体" w:cs="宋体"/>
          <w:b/>
          <w:bCs/>
        </w:rPr>
        <w:t>3</w:t>
      </w:r>
      <w:r>
        <w:rPr>
          <w:rFonts w:ascii="宋体" w:hAnsi="宋体" w:cs="宋体"/>
          <w:b/>
          <w:bCs/>
        </w:rPr>
        <w:t>、报告期内正在进行的重大的非股权投资情况</w:t>
      </w:r>
      <w:bookmarkEnd w:id="36"/>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pStyle w:val="3"/>
        <w:spacing w:line="280" w:lineRule="exact"/>
        <w:jc w:val="left"/>
        <w:rPr>
          <w:rFonts w:ascii="宋体" w:hAnsi="宋体" w:cs="宋体"/>
          <w:b/>
          <w:bCs/>
        </w:rPr>
      </w:pPr>
      <w:bookmarkStart w:id="37" w:name="_Toc988926"/>
      <w:r>
        <w:rPr>
          <w:rFonts w:ascii="宋体" w:hAnsi="宋体" w:cs="宋体"/>
          <w:b/>
          <w:bCs/>
        </w:rPr>
        <w:t>4</w:t>
      </w:r>
      <w:r>
        <w:rPr>
          <w:rFonts w:ascii="宋体" w:hAnsi="宋体" w:cs="宋体"/>
          <w:b/>
          <w:bCs/>
        </w:rPr>
        <w:t>、金融资产投资</w:t>
      </w:r>
      <w:bookmarkEnd w:id="37"/>
    </w:p>
    <w:p w:rsidR="00A067C6" w:rsidRDefault="005C4966">
      <w:pPr>
        <w:keepNext/>
        <w:keepLines/>
        <w:spacing w:before="300" w:after="300" w:line="280" w:lineRule="exact"/>
        <w:outlineLvl w:val="3"/>
        <w:rPr>
          <w:rFonts w:ascii="宋体" w:eastAsia="宋体" w:hAnsi="宋体" w:cs="宋体"/>
          <w:b/>
          <w:bCs/>
          <w:sz w:val="18"/>
          <w:szCs w:val="18"/>
        </w:rPr>
      </w:pPr>
      <w:bookmarkStart w:id="38" w:name="_Toc988927"/>
      <w:r>
        <w:rPr>
          <w:rFonts w:ascii="宋体" w:eastAsia="宋体" w:hAnsi="宋体" w:cs="宋体"/>
          <w:b/>
          <w:bCs/>
          <w:sz w:val="18"/>
          <w:szCs w:val="18"/>
        </w:rPr>
        <w:t>（</w:t>
      </w:r>
      <w:r>
        <w:rPr>
          <w:rFonts w:ascii="宋体" w:eastAsia="宋体" w:hAnsi="宋体" w:cs="宋体"/>
          <w:b/>
          <w:bCs/>
          <w:sz w:val="18"/>
          <w:szCs w:val="18"/>
        </w:rPr>
        <w:t>1</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证券投资情况</w:t>
      </w:r>
      <w:bookmarkEnd w:id="38"/>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公司报告期不存在证券投资。</w:t>
      </w:r>
    </w:p>
    <w:p w:rsidR="00A067C6" w:rsidRDefault="005C4966">
      <w:pPr>
        <w:keepNext/>
        <w:keepLines/>
        <w:spacing w:before="300" w:after="300" w:line="280" w:lineRule="exact"/>
        <w:outlineLvl w:val="3"/>
        <w:rPr>
          <w:rFonts w:ascii="宋体" w:eastAsia="宋体" w:hAnsi="宋体" w:cs="宋体"/>
          <w:b/>
          <w:bCs/>
          <w:sz w:val="18"/>
          <w:szCs w:val="18"/>
        </w:rPr>
      </w:pPr>
      <w:bookmarkStart w:id="39" w:name="_Toc988928"/>
      <w:r>
        <w:rPr>
          <w:rFonts w:ascii="宋体" w:eastAsia="宋体" w:hAnsi="宋体" w:cs="宋体"/>
          <w:b/>
          <w:bCs/>
          <w:sz w:val="18"/>
          <w:szCs w:val="18"/>
        </w:rPr>
        <w:t>（</w:t>
      </w:r>
      <w:r>
        <w:rPr>
          <w:rFonts w:ascii="宋体" w:eastAsia="宋体" w:hAnsi="宋体" w:cs="宋体"/>
          <w:b/>
          <w:bCs/>
          <w:sz w:val="18"/>
          <w:szCs w:val="18"/>
        </w:rPr>
        <w:t>2</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衍生品投资情况</w:t>
      </w:r>
      <w:bookmarkEnd w:id="39"/>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t>不适用</w:t>
      </w:r>
    </w:p>
    <w:p w:rsidR="00A067C6" w:rsidRDefault="005C4966">
      <w:pPr>
        <w:keepNext/>
        <w:keepLines/>
        <w:spacing w:before="300" w:after="300" w:line="280" w:lineRule="exact"/>
        <w:outlineLvl w:val="4"/>
        <w:rPr>
          <w:rFonts w:ascii="宋体" w:eastAsia="宋体" w:hAnsi="宋体" w:cs="宋体"/>
          <w:b/>
          <w:bCs/>
          <w:sz w:val="18"/>
          <w:szCs w:val="18"/>
        </w:rPr>
      </w:pPr>
      <w:bookmarkStart w:id="40" w:name="_Toc988929"/>
      <w:r>
        <w:rPr>
          <w:rFonts w:ascii="宋体" w:eastAsia="宋体" w:hAnsi="宋体" w:cs="宋体"/>
          <w:b/>
          <w:bCs/>
          <w:sz w:val="18"/>
          <w:szCs w:val="18"/>
        </w:rPr>
        <w:t>1</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报告期内以套期保值为目的的衍生品投资</w:t>
      </w:r>
      <w:bookmarkEnd w:id="40"/>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t>不适用</w:t>
      </w:r>
    </w:p>
    <w:p w:rsidR="00A067C6" w:rsidRDefault="005C4966">
      <w:pPr>
        <w:spacing w:before="120" w:after="120" w:line="240" w:lineRule="exact"/>
        <w:jc w:val="right"/>
        <w:rPr>
          <w:rFonts w:ascii="宋体" w:eastAsia="宋体" w:hAnsi="宋体" w:cs="宋体"/>
          <w:sz w:val="18"/>
          <w:szCs w:val="18"/>
        </w:rPr>
      </w:pPr>
      <w:r>
        <w:rPr>
          <w:rFonts w:ascii="宋体" w:eastAsia="宋体" w:hAnsi="宋体" w:cs="宋体"/>
          <w:sz w:val="18"/>
          <w:szCs w:val="18"/>
        </w:rPr>
        <w:t>单位：万元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04"/>
        <w:gridCol w:w="1205"/>
        <w:gridCol w:w="1205"/>
        <w:gridCol w:w="38"/>
        <w:gridCol w:w="1167"/>
        <w:gridCol w:w="1205"/>
        <w:gridCol w:w="1205"/>
        <w:gridCol w:w="1205"/>
        <w:gridCol w:w="1205"/>
      </w:tblGrid>
      <w:tr w:rsidR="00A067C6">
        <w:trPr>
          <w:trHeight w:val="240"/>
        </w:trPr>
        <w:tc>
          <w:tcPr>
            <w:tcW w:w="120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衍生品投资类型</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初始投资金额</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本期公允价值变动损益</w:t>
            </w:r>
          </w:p>
        </w:tc>
        <w:tc>
          <w:tcPr>
            <w:tcW w:w="1205"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计入权益的累计公允价值变动</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报告期内购入金额</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报告期内售出金额</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期末金额</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期末投资金额占公司报告期末净资产比例</w:t>
            </w:r>
          </w:p>
        </w:tc>
      </w:tr>
      <w:tr w:rsidR="00A067C6">
        <w:trPr>
          <w:trHeight w:val="240"/>
        </w:trPr>
        <w:tc>
          <w:tcPr>
            <w:tcW w:w="120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期货合约</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10,863.13</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1,162.21</w:t>
            </w:r>
          </w:p>
        </w:tc>
        <w:tc>
          <w:tcPr>
            <w:tcW w:w="1205" w:type="dxa"/>
            <w:gridSpan w:val="2"/>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9,802.57</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16,756</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5,071.91</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0.76%</w:t>
            </w:r>
          </w:p>
        </w:tc>
      </w:tr>
      <w:tr w:rsidR="00A067C6">
        <w:trPr>
          <w:trHeight w:val="240"/>
        </w:trPr>
        <w:tc>
          <w:tcPr>
            <w:tcW w:w="120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10,863.13</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1,162.21</w:t>
            </w:r>
          </w:p>
        </w:tc>
        <w:tc>
          <w:tcPr>
            <w:tcW w:w="1205" w:type="dxa"/>
            <w:gridSpan w:val="2"/>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9,802.57</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16,756</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5,071.91</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0.76%</w:t>
            </w:r>
          </w:p>
        </w:tc>
      </w:tr>
      <w:tr w:rsidR="00A067C6">
        <w:trPr>
          <w:trHeight w:val="240"/>
        </w:trPr>
        <w:tc>
          <w:tcPr>
            <w:tcW w:w="3652"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报告期内套期保值业务的会计政策、会计核算具体原则，以及与上一报告期相比是否发生重大变化的说明</w:t>
            </w:r>
          </w:p>
        </w:tc>
        <w:tc>
          <w:tcPr>
            <w:tcW w:w="5987" w:type="dxa"/>
            <w:gridSpan w:val="5"/>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报告期内套期保值业务的会计政策、会计核算具体原则：详见第十节、财务报告的</w:t>
            </w:r>
            <w:r>
              <w:rPr>
                <w:rFonts w:ascii="宋体" w:eastAsia="宋体" w:hAnsi="宋体" w:cs="宋体"/>
                <w:sz w:val="18"/>
                <w:szCs w:val="18"/>
              </w:rPr>
              <w:t>“</w:t>
            </w:r>
            <w:r>
              <w:rPr>
                <w:rFonts w:ascii="宋体" w:eastAsia="宋体" w:hAnsi="宋体" w:cs="宋体"/>
                <w:sz w:val="18"/>
                <w:szCs w:val="18"/>
              </w:rPr>
              <w:t>附注五、重要会计政策及会计估计</w:t>
            </w:r>
            <w:r>
              <w:rPr>
                <w:rFonts w:ascii="宋体" w:eastAsia="宋体" w:hAnsi="宋体" w:cs="宋体"/>
                <w:sz w:val="18"/>
                <w:szCs w:val="18"/>
              </w:rPr>
              <w:t>”</w:t>
            </w:r>
            <w:r>
              <w:rPr>
                <w:rFonts w:ascii="宋体" w:eastAsia="宋体" w:hAnsi="宋体" w:cs="宋体"/>
                <w:sz w:val="18"/>
                <w:szCs w:val="18"/>
              </w:rPr>
              <w:t>的</w:t>
            </w:r>
            <w:r>
              <w:rPr>
                <w:rFonts w:ascii="宋体" w:eastAsia="宋体" w:hAnsi="宋体" w:cs="宋体"/>
                <w:sz w:val="18"/>
                <w:szCs w:val="18"/>
              </w:rPr>
              <w:t>“10</w:t>
            </w:r>
            <w:r>
              <w:rPr>
                <w:rFonts w:ascii="宋体" w:eastAsia="宋体" w:hAnsi="宋体" w:cs="宋体"/>
                <w:sz w:val="18"/>
                <w:szCs w:val="18"/>
              </w:rPr>
              <w:t>、金融工具</w:t>
            </w:r>
            <w:r>
              <w:rPr>
                <w:rFonts w:ascii="宋体" w:eastAsia="宋体" w:hAnsi="宋体" w:cs="宋体"/>
                <w:sz w:val="18"/>
                <w:szCs w:val="18"/>
              </w:rPr>
              <w:t>”</w:t>
            </w:r>
            <w:r>
              <w:rPr>
                <w:rFonts w:ascii="宋体" w:eastAsia="宋体" w:hAnsi="宋体" w:cs="宋体"/>
                <w:sz w:val="18"/>
                <w:szCs w:val="18"/>
              </w:rPr>
              <w:t>。与上一报告期相比未发生重大变化。</w:t>
            </w:r>
          </w:p>
        </w:tc>
      </w:tr>
      <w:tr w:rsidR="00A067C6">
        <w:trPr>
          <w:trHeight w:val="240"/>
        </w:trPr>
        <w:tc>
          <w:tcPr>
            <w:tcW w:w="3652"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报告期实际损益情况的说明</w:t>
            </w:r>
          </w:p>
        </w:tc>
        <w:tc>
          <w:tcPr>
            <w:tcW w:w="5987" w:type="dxa"/>
            <w:gridSpan w:val="5"/>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报告期实际损益金额合计</w:t>
            </w:r>
            <w:r>
              <w:rPr>
                <w:rFonts w:ascii="宋体" w:eastAsia="宋体" w:hAnsi="宋体" w:cs="宋体"/>
                <w:sz w:val="18"/>
                <w:szCs w:val="18"/>
              </w:rPr>
              <w:t>-3398.90</w:t>
            </w:r>
            <w:r>
              <w:rPr>
                <w:rFonts w:ascii="宋体" w:eastAsia="宋体" w:hAnsi="宋体" w:cs="宋体"/>
                <w:sz w:val="18"/>
                <w:szCs w:val="18"/>
              </w:rPr>
              <w:t>万元。</w:t>
            </w:r>
          </w:p>
        </w:tc>
      </w:tr>
      <w:tr w:rsidR="00A067C6">
        <w:trPr>
          <w:trHeight w:val="240"/>
        </w:trPr>
        <w:tc>
          <w:tcPr>
            <w:tcW w:w="3652"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套期保值效果的说明</w:t>
            </w:r>
          </w:p>
        </w:tc>
        <w:tc>
          <w:tcPr>
            <w:tcW w:w="5987" w:type="dxa"/>
            <w:gridSpan w:val="5"/>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公司为管理棉花价格风险、交易外汇风险引起的风险敞口，预期抵消现有存货、极有可能发生的预期存货采购的公允价值或现金流量变动，进一步减少原料价格上涨的不利影响，进行相关期货交易的风险管理活动。</w:t>
            </w:r>
          </w:p>
        </w:tc>
      </w:tr>
      <w:tr w:rsidR="00A067C6">
        <w:trPr>
          <w:trHeight w:val="240"/>
        </w:trPr>
        <w:tc>
          <w:tcPr>
            <w:tcW w:w="3652"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衍生品投资资金来源</w:t>
            </w:r>
          </w:p>
        </w:tc>
        <w:tc>
          <w:tcPr>
            <w:tcW w:w="5987" w:type="dxa"/>
            <w:gridSpan w:val="5"/>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自有资金</w:t>
            </w:r>
          </w:p>
        </w:tc>
      </w:tr>
      <w:tr w:rsidR="00A067C6">
        <w:trPr>
          <w:trHeight w:val="240"/>
        </w:trPr>
        <w:tc>
          <w:tcPr>
            <w:tcW w:w="3652"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报告期衍生品持仓的风险分析及控制措施说明（包括但不限于市场风险、流动性风险、信用风险、操作风险、法律风险等）</w:t>
            </w:r>
          </w:p>
        </w:tc>
        <w:tc>
          <w:tcPr>
            <w:tcW w:w="5987" w:type="dxa"/>
            <w:gridSpan w:val="5"/>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（一）主要风险分析</w:t>
            </w:r>
          </w:p>
          <w:p w:rsidR="00A067C6" w:rsidRDefault="005C4966">
            <w:pPr>
              <w:spacing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、市场风险：期货等衍生品行情变动较大时，可能产生价格波动风险，造成交易损失。</w:t>
            </w:r>
          </w:p>
          <w:p w:rsidR="00A067C6" w:rsidRDefault="005C4966">
            <w:pPr>
              <w:spacing w:line="240" w:lineRule="exact"/>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、操作风险：由于无法控制或不可预测的系统、网络、通讯故障等造成交易系统非正常</w:t>
            </w:r>
            <w:r>
              <w:rPr>
                <w:rFonts w:ascii="宋体" w:eastAsia="宋体" w:hAnsi="宋体" w:cs="宋体"/>
                <w:sz w:val="18"/>
                <w:szCs w:val="18"/>
              </w:rPr>
              <w:t>运行，使交易指令出现延迟、中断或数据错误等问题，从而带来相应风险。</w:t>
            </w:r>
          </w:p>
          <w:p w:rsidR="00A067C6" w:rsidRDefault="005C4966">
            <w:pPr>
              <w:spacing w:line="240" w:lineRule="exact"/>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、政策风险：期货等衍生品市场的法律法规政策如发生重大变化，可能引起市场波动或无法交易带来的风险。</w:t>
            </w:r>
          </w:p>
          <w:p w:rsidR="00A067C6" w:rsidRDefault="005C4966">
            <w:pPr>
              <w:spacing w:line="240" w:lineRule="exact"/>
              <w:rPr>
                <w:rFonts w:ascii="宋体" w:eastAsia="宋体" w:hAnsi="宋体" w:cs="宋体"/>
                <w:sz w:val="18"/>
                <w:szCs w:val="18"/>
              </w:rPr>
            </w:pPr>
            <w:r>
              <w:rPr>
                <w:rFonts w:ascii="宋体" w:eastAsia="宋体" w:hAnsi="宋体" w:cs="宋体"/>
                <w:sz w:val="18"/>
                <w:szCs w:val="18"/>
              </w:rPr>
              <w:t>4</w:t>
            </w:r>
            <w:r>
              <w:rPr>
                <w:rFonts w:ascii="宋体" w:eastAsia="宋体" w:hAnsi="宋体" w:cs="宋体"/>
                <w:sz w:val="18"/>
                <w:szCs w:val="18"/>
              </w:rPr>
              <w:t>、法律风险：违反法律法规和监管部门的相关规定的风险。</w:t>
            </w:r>
          </w:p>
          <w:p w:rsidR="00A067C6" w:rsidRDefault="005C4966">
            <w:pPr>
              <w:spacing w:line="240" w:lineRule="exact"/>
              <w:rPr>
                <w:rFonts w:ascii="宋体" w:eastAsia="宋体" w:hAnsi="宋体" w:cs="宋体"/>
                <w:sz w:val="18"/>
                <w:szCs w:val="18"/>
              </w:rPr>
            </w:pPr>
            <w:r>
              <w:rPr>
                <w:rFonts w:ascii="宋体" w:eastAsia="宋体" w:hAnsi="宋体" w:cs="宋体"/>
                <w:sz w:val="18"/>
                <w:szCs w:val="18"/>
              </w:rPr>
              <w:t>（二）风险控制措施</w:t>
            </w:r>
          </w:p>
          <w:p w:rsidR="00A067C6" w:rsidRDefault="005C4966">
            <w:pPr>
              <w:spacing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公司的棉花期货交易是以棉花库存和订单情况为基本面，结合行情判断来决定买卖方向和套保点位，以满足公司日常网链业务价格风险对冲和平抑棉花库存成本的目的，在持仓规模上严格按照采购量控制，规避投机损失风险。针对棉花期货业务制定《期货投资管理作业指导书》以规范期货操作流程发</w:t>
            </w:r>
            <w:r>
              <w:rPr>
                <w:rFonts w:ascii="宋体" w:eastAsia="宋体" w:hAnsi="宋体" w:cs="宋体"/>
                <w:sz w:val="18"/>
                <w:szCs w:val="18"/>
              </w:rPr>
              <w:t>挥期货套期保值功能，规避经营风险。</w:t>
            </w:r>
          </w:p>
          <w:p w:rsidR="00A067C6" w:rsidRDefault="005C4966">
            <w:pPr>
              <w:spacing w:line="240" w:lineRule="exact"/>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、在遵循合法、审慎、安全、有效的原则上，制定严格的决策程序、报告制度和监控措施，明确授权范围、操作要点与信息披露等具体要求，配备投资决策、策略分析、业务操作、风险监管等专业人员。</w:t>
            </w:r>
          </w:p>
          <w:p w:rsidR="00A067C6" w:rsidRDefault="005C4966">
            <w:pPr>
              <w:spacing w:line="240" w:lineRule="exact"/>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根据总体采购策略和库存成本结构，跟踪行业信息，分析市场趋势，及时编制提报期货交易方案。根据公司库存和订单情况，结合风险承受能力和行情判断确定价格区间、开仓比例、止损点位，严格执行开平仓和止损操作。并定期向管理层和董事会提交期货交易授权执行情况。</w:t>
            </w:r>
          </w:p>
        </w:tc>
      </w:tr>
      <w:tr w:rsidR="00A067C6">
        <w:trPr>
          <w:trHeight w:val="240"/>
        </w:trPr>
        <w:tc>
          <w:tcPr>
            <w:tcW w:w="3652"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已投资衍生品报告期内市场价格或产品公允价值变动的情况，对衍生品公允价值的分析应披露具体使用的方法及相关假设与参数的设定</w:t>
            </w:r>
          </w:p>
        </w:tc>
        <w:tc>
          <w:tcPr>
            <w:tcW w:w="5987" w:type="dxa"/>
            <w:gridSpan w:val="5"/>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公司持有的期货合约的公允价值依据期货交易所相应合约的结算价确定。</w:t>
            </w:r>
          </w:p>
        </w:tc>
      </w:tr>
      <w:tr w:rsidR="00A067C6">
        <w:trPr>
          <w:trHeight w:val="240"/>
        </w:trPr>
        <w:tc>
          <w:tcPr>
            <w:tcW w:w="3652"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涉诉情况（如适用）</w:t>
            </w:r>
          </w:p>
        </w:tc>
        <w:tc>
          <w:tcPr>
            <w:tcW w:w="5987" w:type="dxa"/>
            <w:gridSpan w:val="5"/>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不适用</w:t>
            </w:r>
          </w:p>
        </w:tc>
      </w:tr>
      <w:tr w:rsidR="00A067C6">
        <w:trPr>
          <w:trHeight w:val="240"/>
        </w:trPr>
        <w:tc>
          <w:tcPr>
            <w:tcW w:w="3652"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衍生品投资审批董事会公告披露日期（如有</w:t>
            </w:r>
            <w:r>
              <w:rPr>
                <w:rFonts w:ascii="宋体" w:eastAsia="宋体" w:hAnsi="宋体" w:cs="宋体"/>
                <w:sz w:val="18"/>
                <w:szCs w:val="18"/>
              </w:rPr>
              <w:t>)</w:t>
            </w:r>
          </w:p>
        </w:tc>
        <w:tc>
          <w:tcPr>
            <w:tcW w:w="5987" w:type="dxa"/>
            <w:gridSpan w:val="5"/>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04</w:t>
            </w:r>
            <w:r>
              <w:rPr>
                <w:rFonts w:ascii="宋体" w:eastAsia="宋体" w:hAnsi="宋体" w:cs="宋体"/>
                <w:sz w:val="18"/>
                <w:szCs w:val="18"/>
              </w:rPr>
              <w:t>月</w:t>
            </w:r>
            <w:r>
              <w:rPr>
                <w:rFonts w:ascii="宋体" w:eastAsia="宋体" w:hAnsi="宋体" w:cs="宋体"/>
                <w:sz w:val="18"/>
                <w:szCs w:val="18"/>
              </w:rPr>
              <w:t>29</w:t>
            </w:r>
            <w:r>
              <w:rPr>
                <w:rFonts w:ascii="宋体" w:eastAsia="宋体" w:hAnsi="宋体" w:cs="宋体"/>
                <w:sz w:val="18"/>
                <w:szCs w:val="18"/>
              </w:rPr>
              <w:t>日</w:t>
            </w:r>
          </w:p>
        </w:tc>
      </w:tr>
      <w:tr w:rsidR="00A067C6">
        <w:trPr>
          <w:trHeight w:val="240"/>
        </w:trPr>
        <w:tc>
          <w:tcPr>
            <w:tcW w:w="3652"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衍生品投资审批股东会公告披露日期（如有</w:t>
            </w:r>
            <w:r>
              <w:rPr>
                <w:rFonts w:ascii="宋体" w:eastAsia="宋体" w:hAnsi="宋体" w:cs="宋体"/>
                <w:sz w:val="18"/>
                <w:szCs w:val="18"/>
              </w:rPr>
              <w:t>)</w:t>
            </w:r>
          </w:p>
        </w:tc>
        <w:tc>
          <w:tcPr>
            <w:tcW w:w="5987" w:type="dxa"/>
            <w:gridSpan w:val="5"/>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04</w:t>
            </w:r>
            <w:r>
              <w:rPr>
                <w:rFonts w:ascii="宋体" w:eastAsia="宋体" w:hAnsi="宋体" w:cs="宋体"/>
                <w:sz w:val="18"/>
                <w:szCs w:val="18"/>
              </w:rPr>
              <w:t>月</w:t>
            </w:r>
            <w:r>
              <w:rPr>
                <w:rFonts w:ascii="宋体" w:eastAsia="宋体" w:hAnsi="宋体" w:cs="宋体"/>
                <w:sz w:val="18"/>
                <w:szCs w:val="18"/>
              </w:rPr>
              <w:t>29</w:t>
            </w:r>
            <w:r>
              <w:rPr>
                <w:rFonts w:ascii="宋体" w:eastAsia="宋体" w:hAnsi="宋体" w:cs="宋体"/>
                <w:sz w:val="18"/>
                <w:szCs w:val="18"/>
              </w:rPr>
              <w:t>日</w:t>
            </w:r>
          </w:p>
        </w:tc>
      </w:tr>
      <w:tr w:rsidR="00A067C6">
        <w:trPr>
          <w:trHeight w:val="240"/>
        </w:trPr>
        <w:tc>
          <w:tcPr>
            <w:tcW w:w="3652"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独立董事对公司衍生品投资及风险控制情况的专项意见</w:t>
            </w:r>
          </w:p>
        </w:tc>
        <w:tc>
          <w:tcPr>
            <w:tcW w:w="5987" w:type="dxa"/>
            <w:gridSpan w:val="5"/>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详见公司于</w:t>
            </w: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4</w:t>
            </w:r>
            <w:r>
              <w:rPr>
                <w:rFonts w:ascii="宋体" w:eastAsia="宋体" w:hAnsi="宋体" w:cs="宋体"/>
                <w:sz w:val="18"/>
                <w:szCs w:val="18"/>
              </w:rPr>
              <w:t>月</w:t>
            </w:r>
            <w:r>
              <w:rPr>
                <w:rFonts w:ascii="宋体" w:eastAsia="宋体" w:hAnsi="宋体" w:cs="宋体"/>
                <w:sz w:val="18"/>
                <w:szCs w:val="18"/>
              </w:rPr>
              <w:t>29</w:t>
            </w:r>
            <w:r>
              <w:rPr>
                <w:rFonts w:ascii="宋体" w:eastAsia="宋体" w:hAnsi="宋体" w:cs="宋体"/>
                <w:sz w:val="18"/>
                <w:szCs w:val="18"/>
              </w:rPr>
              <w:t>日披露在《证券时报》、《中国证券报》及巨潮资讯网的《独立董事关于第八届董事会第四</w:t>
            </w:r>
            <w:r>
              <w:rPr>
                <w:rFonts w:ascii="宋体" w:eastAsia="宋体" w:hAnsi="宋体" w:cs="宋体"/>
                <w:sz w:val="18"/>
                <w:szCs w:val="18"/>
              </w:rPr>
              <w:t>次会议相关事项的独立意见》。</w:t>
            </w:r>
          </w:p>
        </w:tc>
      </w:tr>
    </w:tbl>
    <w:p w:rsidR="00A067C6" w:rsidRDefault="005C4966">
      <w:pPr>
        <w:keepNext/>
        <w:keepLines/>
        <w:spacing w:before="300" w:after="300" w:line="280" w:lineRule="exact"/>
        <w:outlineLvl w:val="4"/>
        <w:rPr>
          <w:rFonts w:ascii="宋体" w:eastAsia="宋体" w:hAnsi="宋体" w:cs="宋体"/>
          <w:b/>
          <w:bCs/>
          <w:sz w:val="18"/>
          <w:szCs w:val="18"/>
        </w:rPr>
      </w:pPr>
      <w:bookmarkStart w:id="41" w:name="_Toc988930"/>
      <w:r>
        <w:rPr>
          <w:rFonts w:ascii="宋体" w:eastAsia="宋体" w:hAnsi="宋体" w:cs="宋体"/>
          <w:b/>
          <w:bCs/>
          <w:sz w:val="18"/>
          <w:szCs w:val="18"/>
        </w:rPr>
        <w:t>2</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报告期内以投机为目的的衍生品投资</w:t>
      </w:r>
      <w:bookmarkEnd w:id="41"/>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公司报告期不存在以投机为目的的衍生品投资。</w:t>
      </w:r>
    </w:p>
    <w:p w:rsidR="00A067C6" w:rsidRDefault="005C4966">
      <w:pPr>
        <w:pStyle w:val="3"/>
        <w:spacing w:line="280" w:lineRule="exact"/>
        <w:jc w:val="left"/>
        <w:rPr>
          <w:rFonts w:ascii="宋体" w:hAnsi="宋体" w:cs="宋体"/>
          <w:b/>
          <w:bCs/>
        </w:rPr>
      </w:pPr>
      <w:bookmarkStart w:id="42" w:name="_Toc988931"/>
      <w:r>
        <w:rPr>
          <w:rFonts w:ascii="宋体" w:hAnsi="宋体" w:cs="宋体"/>
          <w:b/>
          <w:bCs/>
        </w:rPr>
        <w:t>5</w:t>
      </w:r>
      <w:r>
        <w:rPr>
          <w:rFonts w:ascii="宋体" w:hAnsi="宋体" w:cs="宋体"/>
          <w:b/>
          <w:bCs/>
        </w:rPr>
        <w:t>、募集资金使用情况</w:t>
      </w:r>
      <w:bookmarkEnd w:id="42"/>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t>不适用</w:t>
      </w:r>
    </w:p>
    <w:p w:rsidR="00A067C6" w:rsidRDefault="005C4966">
      <w:pPr>
        <w:keepNext/>
        <w:keepLines/>
        <w:spacing w:before="300" w:after="300" w:line="280" w:lineRule="exact"/>
        <w:outlineLvl w:val="3"/>
        <w:rPr>
          <w:rFonts w:ascii="宋体" w:eastAsia="宋体" w:hAnsi="宋体" w:cs="宋体"/>
          <w:b/>
          <w:bCs/>
          <w:sz w:val="18"/>
          <w:szCs w:val="18"/>
        </w:rPr>
      </w:pPr>
      <w:bookmarkStart w:id="43" w:name="_Toc988932"/>
      <w:r>
        <w:rPr>
          <w:rFonts w:ascii="宋体" w:eastAsia="宋体" w:hAnsi="宋体" w:cs="宋体"/>
          <w:b/>
          <w:bCs/>
          <w:sz w:val="18"/>
          <w:szCs w:val="18"/>
        </w:rPr>
        <w:t>（</w:t>
      </w:r>
      <w:r>
        <w:rPr>
          <w:rFonts w:ascii="宋体" w:eastAsia="宋体" w:hAnsi="宋体" w:cs="宋体"/>
          <w:b/>
          <w:bCs/>
          <w:sz w:val="18"/>
          <w:szCs w:val="18"/>
        </w:rPr>
        <w:t>1</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募集资金总体使用情况</w:t>
      </w:r>
      <w:bookmarkEnd w:id="43"/>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t>不适用</w:t>
      </w:r>
    </w:p>
    <w:p w:rsidR="00A067C6" w:rsidRDefault="005C4966">
      <w:pPr>
        <w:spacing w:before="120" w:after="120" w:line="240" w:lineRule="exact"/>
        <w:jc w:val="right"/>
        <w:rPr>
          <w:rFonts w:ascii="宋体" w:eastAsia="宋体" w:hAnsi="宋体" w:cs="宋体"/>
          <w:sz w:val="18"/>
          <w:szCs w:val="18"/>
        </w:rPr>
      </w:pPr>
      <w:r>
        <w:rPr>
          <w:rFonts w:ascii="宋体" w:eastAsia="宋体" w:hAnsi="宋体" w:cs="宋体"/>
          <w:sz w:val="18"/>
          <w:szCs w:val="18"/>
        </w:rPr>
        <w:t>单位：万元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76"/>
        <w:gridCol w:w="876"/>
        <w:gridCol w:w="876"/>
        <w:gridCol w:w="876"/>
        <w:gridCol w:w="876"/>
        <w:gridCol w:w="876"/>
        <w:gridCol w:w="876"/>
        <w:gridCol w:w="876"/>
        <w:gridCol w:w="876"/>
        <w:gridCol w:w="876"/>
        <w:gridCol w:w="879"/>
      </w:tblGrid>
      <w:tr w:rsidR="00A067C6">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募集年份</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募集方式</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募集资金总额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本期已使用募集资金总额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已累计使用募集资金总额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报告期内变更用途的募集资金总额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累计变更用途的募集资金总额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累计变更用途的募集资金总额比例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尚未使用募集资金总额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尚未使用募集资金用途及去向</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闲置两年以上募集资金金额</w:t>
            </w:r>
          </w:p>
        </w:tc>
      </w:tr>
      <w:tr w:rsidR="00A067C6">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2021</w:t>
            </w:r>
            <w:r>
              <w:rPr>
                <w:rFonts w:ascii="宋体" w:eastAsia="宋体" w:hAnsi="宋体" w:cs="宋体"/>
                <w:sz w:val="18"/>
                <w:szCs w:val="18"/>
              </w:rPr>
              <w:t>年</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非公开发行</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112,637.54</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3,208.88</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112,667.94</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hint="eastAsia"/>
                <w:sz w:val="18"/>
                <w:szCs w:val="18"/>
              </w:rPr>
              <w:t>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hint="eastAsia"/>
                <w:sz w:val="18"/>
                <w:szCs w:val="18"/>
              </w:rPr>
              <w:t>78,846.28</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hint="eastAsia"/>
                <w:sz w:val="18"/>
                <w:szCs w:val="18"/>
              </w:rPr>
              <w:t>70.00</w:t>
            </w: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1,010.32</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存放于募集资金专户</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A067C6">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112,637.54</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3,208.88</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112,667.94</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hint="eastAsia"/>
                <w:sz w:val="18"/>
                <w:szCs w:val="18"/>
              </w:rPr>
              <w:t>78,846.28</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hint="eastAsia"/>
                <w:sz w:val="18"/>
                <w:szCs w:val="18"/>
              </w:rPr>
              <w:t>70</w:t>
            </w:r>
            <w:r>
              <w:rPr>
                <w:rFonts w:ascii="宋体" w:eastAsia="宋体" w:hAnsi="宋体" w:cs="宋体"/>
                <w:sz w:val="18"/>
                <w:szCs w:val="18"/>
              </w:rPr>
              <w:t>.</w:t>
            </w:r>
            <w:r>
              <w:rPr>
                <w:rFonts w:ascii="宋体" w:eastAsia="宋体" w:hAnsi="宋体" w:cs="宋体" w:hint="eastAsia"/>
                <w:sz w:val="18"/>
                <w:szCs w:val="18"/>
              </w:rPr>
              <w:t>00</w:t>
            </w: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1,010.32</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A067C6">
        <w:trPr>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募集资金总体使用情况说明</w:t>
            </w:r>
          </w:p>
        </w:tc>
      </w:tr>
      <w:tr w:rsidR="00A067C6">
        <w:trPr>
          <w:trHeight w:val="240"/>
        </w:trPr>
        <w:tc>
          <w:tcPr>
            <w:tcW w:w="9639" w:type="dxa"/>
            <w:gridSpan w:val="11"/>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详见</w:t>
            </w:r>
            <w:r>
              <w:rPr>
                <w:rFonts w:ascii="宋体" w:eastAsia="宋体" w:hAnsi="宋体" w:cs="宋体"/>
                <w:sz w:val="18"/>
                <w:szCs w:val="18"/>
              </w:rPr>
              <w:t xml:space="preserve">2023 </w:t>
            </w:r>
            <w:r>
              <w:rPr>
                <w:rFonts w:ascii="宋体" w:eastAsia="宋体" w:hAnsi="宋体" w:cs="宋体"/>
                <w:sz w:val="18"/>
                <w:szCs w:val="18"/>
              </w:rPr>
              <w:t>年</w:t>
            </w:r>
            <w:r>
              <w:rPr>
                <w:rFonts w:ascii="宋体" w:eastAsia="宋体" w:hAnsi="宋体" w:cs="宋体"/>
                <w:sz w:val="18"/>
                <w:szCs w:val="18"/>
              </w:rPr>
              <w:t xml:space="preserve">8 </w:t>
            </w:r>
            <w:r>
              <w:rPr>
                <w:rFonts w:ascii="宋体" w:eastAsia="宋体" w:hAnsi="宋体" w:cs="宋体"/>
                <w:sz w:val="18"/>
                <w:szCs w:val="18"/>
              </w:rPr>
              <w:t>月</w:t>
            </w:r>
            <w:r>
              <w:rPr>
                <w:rFonts w:ascii="宋体" w:eastAsia="宋体" w:hAnsi="宋体" w:cs="宋体"/>
                <w:sz w:val="18"/>
                <w:szCs w:val="18"/>
              </w:rPr>
              <w:t>30</w:t>
            </w:r>
            <w:r>
              <w:rPr>
                <w:rFonts w:ascii="宋体" w:eastAsia="宋体" w:hAnsi="宋体" w:cs="宋体"/>
                <w:sz w:val="18"/>
                <w:szCs w:val="18"/>
              </w:rPr>
              <w:t>日披露于巨潮资讯网（</w:t>
            </w:r>
            <w:r>
              <w:rPr>
                <w:rFonts w:ascii="宋体" w:eastAsia="宋体" w:hAnsi="宋体" w:cs="宋体"/>
                <w:sz w:val="18"/>
                <w:szCs w:val="18"/>
              </w:rPr>
              <w:t>www.cninfo.com.cn</w:t>
            </w:r>
            <w:r>
              <w:rPr>
                <w:rFonts w:ascii="宋体" w:eastAsia="宋体" w:hAnsi="宋体" w:cs="宋体"/>
                <w:sz w:val="18"/>
                <w:szCs w:val="18"/>
              </w:rPr>
              <w:t>）上的《公司</w:t>
            </w:r>
            <w:r>
              <w:rPr>
                <w:rFonts w:ascii="宋体" w:eastAsia="宋体" w:hAnsi="宋体" w:cs="宋体"/>
                <w:sz w:val="18"/>
                <w:szCs w:val="18"/>
              </w:rPr>
              <w:t xml:space="preserve"> 2023 </w:t>
            </w:r>
            <w:r>
              <w:rPr>
                <w:rFonts w:ascii="宋体" w:eastAsia="宋体" w:hAnsi="宋体" w:cs="宋体"/>
                <w:sz w:val="18"/>
                <w:szCs w:val="18"/>
              </w:rPr>
              <w:t>年半年度募集资金存放和实际使用情况的专项报告》。</w:t>
            </w:r>
          </w:p>
        </w:tc>
      </w:tr>
    </w:tbl>
    <w:p w:rsidR="00A067C6" w:rsidRDefault="005C4966">
      <w:pPr>
        <w:keepNext/>
        <w:keepLines/>
        <w:spacing w:before="300" w:after="300" w:line="280" w:lineRule="exact"/>
        <w:outlineLvl w:val="3"/>
        <w:rPr>
          <w:rFonts w:ascii="宋体" w:eastAsia="宋体" w:hAnsi="宋体" w:cs="宋体"/>
          <w:b/>
          <w:bCs/>
          <w:sz w:val="18"/>
          <w:szCs w:val="18"/>
        </w:rPr>
      </w:pPr>
      <w:bookmarkStart w:id="44" w:name="_Toc988933"/>
      <w:r>
        <w:rPr>
          <w:rFonts w:ascii="宋体" w:eastAsia="宋体" w:hAnsi="宋体" w:cs="宋体"/>
          <w:b/>
          <w:bCs/>
          <w:sz w:val="18"/>
          <w:szCs w:val="18"/>
        </w:rPr>
        <w:t>（</w:t>
      </w:r>
      <w:r>
        <w:rPr>
          <w:rFonts w:ascii="宋体" w:eastAsia="宋体" w:hAnsi="宋体" w:cs="宋体"/>
          <w:b/>
          <w:bCs/>
          <w:sz w:val="18"/>
          <w:szCs w:val="18"/>
        </w:rPr>
        <w:t>2</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募集资金承诺项目情况</w:t>
      </w:r>
      <w:bookmarkEnd w:id="44"/>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t>□</w:t>
      </w:r>
      <w:r>
        <w:rPr>
          <w:rFonts w:ascii="宋体" w:eastAsia="宋体" w:hAnsi="宋体" w:cs="宋体"/>
          <w:sz w:val="18"/>
          <w:szCs w:val="18"/>
        </w:rPr>
        <w:t>不适用</w:t>
      </w:r>
    </w:p>
    <w:p w:rsidR="00A067C6" w:rsidRDefault="005C4966">
      <w:pPr>
        <w:spacing w:before="120" w:after="120" w:line="240" w:lineRule="exact"/>
        <w:jc w:val="right"/>
        <w:rPr>
          <w:rFonts w:ascii="宋体" w:eastAsia="宋体" w:hAnsi="宋体" w:cs="宋体"/>
          <w:sz w:val="18"/>
          <w:szCs w:val="18"/>
        </w:rPr>
      </w:pPr>
      <w:r>
        <w:rPr>
          <w:rFonts w:ascii="宋体" w:eastAsia="宋体" w:hAnsi="宋体" w:cs="宋体"/>
          <w:sz w:val="18"/>
          <w:szCs w:val="18"/>
        </w:rPr>
        <w:t>单位：万元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76"/>
        <w:gridCol w:w="876"/>
        <w:gridCol w:w="876"/>
        <w:gridCol w:w="882"/>
        <w:gridCol w:w="870"/>
        <w:gridCol w:w="876"/>
        <w:gridCol w:w="876"/>
        <w:gridCol w:w="876"/>
        <w:gridCol w:w="876"/>
        <w:gridCol w:w="876"/>
        <w:gridCol w:w="879"/>
      </w:tblGrid>
      <w:tr w:rsidR="00A067C6">
        <w:trPr>
          <w:cantSplit/>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承诺投资项目和超募资金投向</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是否已变更项目</w:t>
            </w:r>
            <w:r>
              <w:rPr>
                <w:rFonts w:ascii="宋体" w:eastAsia="宋体" w:hAnsi="宋体" w:cs="宋体"/>
                <w:sz w:val="18"/>
                <w:szCs w:val="18"/>
              </w:rPr>
              <w:t>(</w:t>
            </w:r>
            <w:r>
              <w:rPr>
                <w:rFonts w:ascii="宋体" w:eastAsia="宋体" w:hAnsi="宋体" w:cs="宋体"/>
                <w:sz w:val="18"/>
                <w:szCs w:val="18"/>
              </w:rPr>
              <w:t>含部分变更</w:t>
            </w: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募集资金承诺投资总额</w:t>
            </w:r>
          </w:p>
        </w:tc>
        <w:tc>
          <w:tcPr>
            <w:tcW w:w="882"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调整后投资总额</w:t>
            </w:r>
            <w:r>
              <w:rPr>
                <w:rFonts w:ascii="宋体" w:eastAsia="宋体" w:hAnsi="宋体" w:cs="宋体"/>
                <w:sz w:val="18"/>
                <w:szCs w:val="18"/>
              </w:rPr>
              <w:t>(1)</w:t>
            </w:r>
          </w:p>
        </w:tc>
        <w:tc>
          <w:tcPr>
            <w:tcW w:w="87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本报告期投入金额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截至期末累计投入金额</w:t>
            </w:r>
            <w:r>
              <w:rPr>
                <w:rFonts w:ascii="宋体" w:eastAsia="宋体" w:hAnsi="宋体" w:cs="宋体"/>
                <w:sz w:val="18"/>
                <w:szCs w:val="18"/>
              </w:rPr>
              <w:t>(2)</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截至期末投资进度</w:t>
            </w:r>
            <w:r>
              <w:rPr>
                <w:rFonts w:ascii="宋体" w:eastAsia="宋体" w:hAnsi="宋体" w:cs="宋体"/>
                <w:sz w:val="18"/>
                <w:szCs w:val="18"/>
              </w:rPr>
              <w:t>(3)</w:t>
            </w:r>
            <w:r>
              <w:rPr>
                <w:rFonts w:ascii="宋体" w:eastAsia="宋体" w:hAnsi="宋体" w:cs="宋体"/>
                <w:sz w:val="18"/>
                <w:szCs w:val="18"/>
              </w:rPr>
              <w:t>＝</w:t>
            </w:r>
            <w:r>
              <w:rPr>
                <w:rFonts w:ascii="宋体" w:eastAsia="宋体" w:hAnsi="宋体" w:cs="宋体"/>
                <w:sz w:val="18"/>
                <w:szCs w:val="18"/>
              </w:rPr>
              <w:t>(2)/(1)</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项目达到预定可使用状态日期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本报告期实现的效益</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是否达到预计效益</w:t>
            </w:r>
          </w:p>
        </w:tc>
        <w:tc>
          <w:tcPr>
            <w:tcW w:w="87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项目可行性是否发生重大变化</w:t>
            </w:r>
          </w:p>
        </w:tc>
      </w:tr>
      <w:tr w:rsidR="00A067C6">
        <w:trPr>
          <w:cantSplit/>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承诺投资项目</w:t>
            </w:r>
          </w:p>
        </w:tc>
      </w:tr>
      <w:tr w:rsidR="00A067C6">
        <w:trPr>
          <w:cantSplit/>
          <w:trHeight w:val="240"/>
        </w:trPr>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、华孚（越南）</w:t>
            </w:r>
            <w:r>
              <w:rPr>
                <w:rFonts w:ascii="宋体" w:eastAsia="宋体" w:hAnsi="宋体" w:cs="宋体"/>
                <w:sz w:val="18"/>
                <w:szCs w:val="18"/>
              </w:rPr>
              <w:t>50</w:t>
            </w:r>
            <w:r>
              <w:rPr>
                <w:rFonts w:ascii="宋体" w:eastAsia="宋体" w:hAnsi="宋体" w:cs="宋体"/>
                <w:sz w:val="18"/>
                <w:szCs w:val="18"/>
              </w:rPr>
              <w:t>万锭新型纱线项目（一期</w:t>
            </w: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105,000</w:t>
            </w:r>
          </w:p>
        </w:tc>
        <w:tc>
          <w:tcPr>
            <w:tcW w:w="88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7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不适用</w:t>
            </w:r>
          </w:p>
        </w:tc>
        <w:tc>
          <w:tcPr>
            <w:tcW w:w="87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是</w:t>
            </w:r>
          </w:p>
        </w:tc>
      </w:tr>
      <w:tr w:rsidR="00A067C6">
        <w:trPr>
          <w:cantSplit/>
          <w:trHeight w:val="240"/>
        </w:trPr>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、淮北</w:t>
            </w:r>
            <w:r>
              <w:rPr>
                <w:rFonts w:ascii="宋体" w:eastAsia="宋体" w:hAnsi="宋体" w:cs="宋体"/>
                <w:sz w:val="18"/>
                <w:szCs w:val="18"/>
              </w:rPr>
              <w:t>30</w:t>
            </w:r>
            <w:r>
              <w:rPr>
                <w:rFonts w:ascii="宋体" w:eastAsia="宋体" w:hAnsi="宋体" w:cs="宋体"/>
                <w:sz w:val="18"/>
                <w:szCs w:val="18"/>
              </w:rPr>
              <w:t>万锭智能纺纱产业园项目</w:t>
            </w: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8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78,846.28</w:t>
            </w:r>
          </w:p>
        </w:tc>
        <w:tc>
          <w:tcPr>
            <w:tcW w:w="87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11,232.1</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56,899.9</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72.17%</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367</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是</w:t>
            </w:r>
          </w:p>
        </w:tc>
        <w:tc>
          <w:tcPr>
            <w:tcW w:w="87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cantSplit/>
          <w:trHeight w:val="240"/>
        </w:trPr>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、补充流动资金</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45,000</w:t>
            </w:r>
          </w:p>
        </w:tc>
        <w:tc>
          <w:tcPr>
            <w:tcW w:w="88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33,791.26</w:t>
            </w:r>
          </w:p>
        </w:tc>
        <w:tc>
          <w:tcPr>
            <w:tcW w:w="87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33,791.26</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不适用</w:t>
            </w:r>
          </w:p>
        </w:tc>
        <w:tc>
          <w:tcPr>
            <w:tcW w:w="87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cantSplit/>
          <w:trHeight w:val="240"/>
        </w:trPr>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4</w:t>
            </w:r>
            <w:r>
              <w:rPr>
                <w:rFonts w:ascii="宋体" w:eastAsia="宋体" w:hAnsi="宋体" w:cs="宋体"/>
                <w:sz w:val="18"/>
                <w:szCs w:val="18"/>
              </w:rPr>
              <w:t>、临时性补充流动资金</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是</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8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7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-8,023.22</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21,976.78</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不适用</w:t>
            </w:r>
          </w:p>
        </w:tc>
        <w:tc>
          <w:tcPr>
            <w:tcW w:w="87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cantSplit/>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承诺投资项目小计</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150,000</w:t>
            </w:r>
          </w:p>
        </w:tc>
        <w:tc>
          <w:tcPr>
            <w:tcW w:w="88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112,637.54</w:t>
            </w:r>
          </w:p>
        </w:tc>
        <w:tc>
          <w:tcPr>
            <w:tcW w:w="87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3,208.88</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112,667.94</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367</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87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r w:rsidR="00A067C6">
        <w:trPr>
          <w:cantSplit/>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超募资金投向</w:t>
            </w:r>
          </w:p>
        </w:tc>
      </w:tr>
      <w:tr w:rsidR="00A067C6">
        <w:trPr>
          <w:cantSplit/>
          <w:trHeight w:val="240"/>
        </w:trPr>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无</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8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7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879"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cantSplit/>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150,000</w:t>
            </w:r>
          </w:p>
        </w:tc>
        <w:tc>
          <w:tcPr>
            <w:tcW w:w="88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112,637.54</w:t>
            </w:r>
          </w:p>
        </w:tc>
        <w:tc>
          <w:tcPr>
            <w:tcW w:w="87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3,208.88</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112,667.94</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367</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87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r w:rsidR="00A067C6">
        <w:trPr>
          <w:cantSplit/>
          <w:trHeight w:val="240"/>
        </w:trPr>
        <w:tc>
          <w:tcPr>
            <w:tcW w:w="3510"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分项目说明未达到计划进度、预计收益的情况和原因（含</w:t>
            </w:r>
            <w:r>
              <w:rPr>
                <w:rFonts w:ascii="宋体" w:eastAsia="宋体" w:hAnsi="宋体" w:cs="宋体"/>
                <w:sz w:val="18"/>
                <w:szCs w:val="18"/>
              </w:rPr>
              <w:t>“</w:t>
            </w:r>
            <w:r>
              <w:rPr>
                <w:rFonts w:ascii="宋体" w:eastAsia="宋体" w:hAnsi="宋体" w:cs="宋体"/>
                <w:sz w:val="18"/>
                <w:szCs w:val="18"/>
              </w:rPr>
              <w:t>是否达到预计效益</w:t>
            </w:r>
            <w:r>
              <w:rPr>
                <w:rFonts w:ascii="宋体" w:eastAsia="宋体" w:hAnsi="宋体" w:cs="宋体"/>
                <w:sz w:val="18"/>
                <w:szCs w:val="18"/>
              </w:rPr>
              <w:t>”</w:t>
            </w:r>
            <w:r>
              <w:rPr>
                <w:rFonts w:ascii="宋体" w:eastAsia="宋体" w:hAnsi="宋体" w:cs="宋体"/>
                <w:sz w:val="18"/>
                <w:szCs w:val="18"/>
              </w:rPr>
              <w:t>选择</w:t>
            </w:r>
            <w:r>
              <w:rPr>
                <w:rFonts w:ascii="宋体" w:eastAsia="宋体" w:hAnsi="宋体" w:cs="宋体"/>
                <w:sz w:val="18"/>
                <w:szCs w:val="18"/>
              </w:rPr>
              <w:t>“</w:t>
            </w:r>
            <w:r>
              <w:rPr>
                <w:rFonts w:ascii="宋体" w:eastAsia="宋体" w:hAnsi="宋体" w:cs="宋体"/>
                <w:sz w:val="18"/>
                <w:szCs w:val="18"/>
              </w:rPr>
              <w:t>不适用</w:t>
            </w:r>
            <w:r>
              <w:rPr>
                <w:rFonts w:ascii="宋体" w:eastAsia="宋体" w:hAnsi="宋体" w:cs="宋体"/>
                <w:sz w:val="18"/>
                <w:szCs w:val="18"/>
              </w:rPr>
              <w:t>”</w:t>
            </w:r>
            <w:r>
              <w:rPr>
                <w:rFonts w:ascii="宋体" w:eastAsia="宋体" w:hAnsi="宋体" w:cs="宋体"/>
                <w:sz w:val="18"/>
                <w:szCs w:val="18"/>
              </w:rPr>
              <w:t>的原因）</w:t>
            </w:r>
          </w:p>
        </w:tc>
        <w:tc>
          <w:tcPr>
            <w:tcW w:w="6129" w:type="dxa"/>
            <w:gridSpan w:val="7"/>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hint="eastAsia"/>
                <w:sz w:val="18"/>
                <w:szCs w:val="18"/>
              </w:rPr>
              <w:t>无</w:t>
            </w:r>
          </w:p>
        </w:tc>
      </w:tr>
      <w:tr w:rsidR="00A067C6">
        <w:trPr>
          <w:cantSplit/>
          <w:trHeight w:val="240"/>
        </w:trPr>
        <w:tc>
          <w:tcPr>
            <w:tcW w:w="3510"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项目可行性发生重大变化的情况说明</w:t>
            </w:r>
          </w:p>
        </w:tc>
        <w:tc>
          <w:tcPr>
            <w:tcW w:w="6129" w:type="dxa"/>
            <w:gridSpan w:val="7"/>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因外部市场环境变化，华孚（越南）</w:t>
            </w:r>
            <w:r>
              <w:rPr>
                <w:rFonts w:ascii="宋体" w:eastAsia="宋体" w:hAnsi="宋体" w:cs="宋体"/>
                <w:sz w:val="18"/>
                <w:szCs w:val="18"/>
              </w:rPr>
              <w:t>50</w:t>
            </w:r>
            <w:r>
              <w:rPr>
                <w:rFonts w:ascii="宋体" w:eastAsia="宋体" w:hAnsi="宋体" w:cs="宋体"/>
                <w:sz w:val="18"/>
                <w:szCs w:val="18"/>
              </w:rPr>
              <w:t>万锭新型纱线项目（一期</w:t>
            </w:r>
            <w:r>
              <w:rPr>
                <w:rFonts w:ascii="宋体" w:eastAsia="宋体" w:hAnsi="宋体" w:cs="宋体"/>
                <w:sz w:val="18"/>
                <w:szCs w:val="18"/>
              </w:rPr>
              <w:t>)</w:t>
            </w:r>
            <w:r>
              <w:rPr>
                <w:rFonts w:ascii="宋体" w:eastAsia="宋体" w:hAnsi="宋体" w:cs="宋体"/>
                <w:sz w:val="18"/>
                <w:szCs w:val="18"/>
              </w:rPr>
              <w:t>建设进度有所延缓，实施周期被动拉长，存在投资收益不达预期的风险。因此，经公司于</w:t>
            </w:r>
            <w:r>
              <w:rPr>
                <w:rFonts w:ascii="宋体" w:eastAsia="宋体" w:hAnsi="宋体" w:cs="宋体"/>
                <w:sz w:val="18"/>
                <w:szCs w:val="18"/>
              </w:rPr>
              <w:t>2022</w:t>
            </w:r>
            <w:r>
              <w:rPr>
                <w:rFonts w:ascii="宋体" w:eastAsia="宋体" w:hAnsi="宋体" w:cs="宋体"/>
                <w:sz w:val="18"/>
                <w:szCs w:val="18"/>
              </w:rPr>
              <w:t>年</w:t>
            </w:r>
            <w:r>
              <w:rPr>
                <w:rFonts w:ascii="宋体" w:eastAsia="宋体" w:hAnsi="宋体" w:cs="宋体"/>
                <w:sz w:val="18"/>
                <w:szCs w:val="18"/>
              </w:rPr>
              <w:t>1</w:t>
            </w:r>
            <w:r>
              <w:rPr>
                <w:rFonts w:ascii="宋体" w:eastAsia="宋体" w:hAnsi="宋体" w:cs="宋体"/>
                <w:sz w:val="18"/>
                <w:szCs w:val="18"/>
              </w:rPr>
              <w:t>月</w:t>
            </w:r>
            <w:r>
              <w:rPr>
                <w:rFonts w:ascii="宋体" w:eastAsia="宋体" w:hAnsi="宋体" w:cs="宋体"/>
                <w:sz w:val="18"/>
                <w:szCs w:val="18"/>
              </w:rPr>
              <w:t>10</w:t>
            </w:r>
            <w:bookmarkStart w:id="45" w:name="_GoBack"/>
            <w:bookmarkEnd w:id="45"/>
            <w:r>
              <w:rPr>
                <w:rFonts w:ascii="宋体" w:eastAsia="宋体" w:hAnsi="宋体" w:cs="宋体"/>
                <w:sz w:val="18"/>
                <w:szCs w:val="18"/>
              </w:rPr>
              <w:t>日召开的</w:t>
            </w:r>
            <w:r>
              <w:rPr>
                <w:rFonts w:ascii="宋体" w:eastAsia="宋体" w:hAnsi="宋体" w:cs="宋体"/>
                <w:sz w:val="18"/>
                <w:szCs w:val="18"/>
              </w:rPr>
              <w:t>2022</w:t>
            </w:r>
            <w:r>
              <w:rPr>
                <w:rFonts w:ascii="宋体" w:eastAsia="宋体" w:hAnsi="宋体" w:cs="宋体"/>
                <w:sz w:val="18"/>
                <w:szCs w:val="18"/>
              </w:rPr>
              <w:t>年第一次股东大会审议通过，同意将公司</w:t>
            </w:r>
            <w:r>
              <w:rPr>
                <w:rFonts w:ascii="宋体" w:eastAsia="宋体" w:hAnsi="宋体" w:cs="宋体"/>
                <w:sz w:val="18"/>
                <w:szCs w:val="18"/>
              </w:rPr>
              <w:t>2021</w:t>
            </w:r>
            <w:r>
              <w:rPr>
                <w:rFonts w:ascii="宋体" w:eastAsia="宋体" w:hAnsi="宋体" w:cs="宋体"/>
                <w:sz w:val="18"/>
                <w:szCs w:val="18"/>
              </w:rPr>
              <w:t>年非公开发行股票募集资金投资项目华孚（越南）</w:t>
            </w:r>
            <w:r>
              <w:rPr>
                <w:rFonts w:ascii="宋体" w:eastAsia="宋体" w:hAnsi="宋体" w:cs="宋体"/>
                <w:sz w:val="18"/>
                <w:szCs w:val="18"/>
              </w:rPr>
              <w:t>50</w:t>
            </w:r>
            <w:r>
              <w:rPr>
                <w:rFonts w:ascii="宋体" w:eastAsia="宋体" w:hAnsi="宋体" w:cs="宋体"/>
                <w:sz w:val="18"/>
                <w:szCs w:val="18"/>
              </w:rPr>
              <w:t>万锭新型纱线项目（一期）变更为</w:t>
            </w:r>
            <w:r>
              <w:rPr>
                <w:rFonts w:ascii="宋体" w:eastAsia="宋体" w:hAnsi="宋体" w:cs="宋体"/>
                <w:sz w:val="18"/>
                <w:szCs w:val="18"/>
              </w:rPr>
              <w:t>30</w:t>
            </w:r>
            <w:r>
              <w:rPr>
                <w:rFonts w:ascii="宋体" w:eastAsia="宋体" w:hAnsi="宋体" w:cs="宋体"/>
                <w:sz w:val="18"/>
                <w:szCs w:val="18"/>
              </w:rPr>
              <w:t>万锭智能纺纱产业园项目（项目实施地在安徽省淮北市）。</w:t>
            </w:r>
          </w:p>
        </w:tc>
      </w:tr>
      <w:tr w:rsidR="00A067C6">
        <w:trPr>
          <w:cantSplit/>
          <w:trHeight w:val="240"/>
        </w:trPr>
        <w:tc>
          <w:tcPr>
            <w:tcW w:w="3510"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超募资金的金额、用途及使用进展情况</w:t>
            </w:r>
          </w:p>
        </w:tc>
        <w:tc>
          <w:tcPr>
            <w:tcW w:w="6129" w:type="dxa"/>
            <w:gridSpan w:val="7"/>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不适用</w:t>
            </w:r>
          </w:p>
        </w:tc>
      </w:tr>
      <w:tr w:rsidR="00A067C6">
        <w:trPr>
          <w:cantSplit/>
          <w:trHeight w:val="240"/>
        </w:trPr>
        <w:tc>
          <w:tcPr>
            <w:tcW w:w="3510"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募集资金投资项目实施地点变更情况</w:t>
            </w:r>
          </w:p>
        </w:tc>
        <w:tc>
          <w:tcPr>
            <w:tcW w:w="6129" w:type="dxa"/>
            <w:gridSpan w:val="7"/>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不适用</w:t>
            </w:r>
          </w:p>
        </w:tc>
      </w:tr>
      <w:tr w:rsidR="00A067C6">
        <w:trPr>
          <w:cantSplit/>
          <w:trHeight w:val="240"/>
        </w:trPr>
        <w:tc>
          <w:tcPr>
            <w:tcW w:w="3510"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募集资金投资项目实施方式调整情况</w:t>
            </w:r>
          </w:p>
        </w:tc>
        <w:tc>
          <w:tcPr>
            <w:tcW w:w="6129" w:type="dxa"/>
            <w:gridSpan w:val="7"/>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不适用</w:t>
            </w:r>
          </w:p>
        </w:tc>
      </w:tr>
      <w:tr w:rsidR="00A067C6">
        <w:trPr>
          <w:cantSplit/>
          <w:trHeight w:val="240"/>
        </w:trPr>
        <w:tc>
          <w:tcPr>
            <w:tcW w:w="3510" w:type="dxa"/>
            <w:gridSpan w:val="4"/>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募集资金投资项目先期投入</w:t>
            </w:r>
            <w:r>
              <w:rPr>
                <w:rFonts w:ascii="宋体" w:eastAsia="宋体" w:hAnsi="宋体" w:cs="宋体"/>
                <w:sz w:val="18"/>
                <w:szCs w:val="18"/>
              </w:rPr>
              <w:t>及置换情况</w:t>
            </w:r>
          </w:p>
        </w:tc>
        <w:tc>
          <w:tcPr>
            <w:tcW w:w="6129" w:type="dxa"/>
            <w:gridSpan w:val="7"/>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适用</w:t>
            </w:r>
          </w:p>
        </w:tc>
      </w:tr>
      <w:tr w:rsidR="00A067C6">
        <w:trPr>
          <w:cantSplit/>
          <w:trHeight w:val="240"/>
        </w:trPr>
        <w:tc>
          <w:tcPr>
            <w:tcW w:w="3510" w:type="dxa"/>
            <w:gridSpan w:val="4"/>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6129" w:type="dxa"/>
            <w:gridSpan w:val="7"/>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公司于</w:t>
            </w:r>
            <w:r>
              <w:rPr>
                <w:rFonts w:ascii="宋体" w:eastAsia="宋体" w:hAnsi="宋体" w:cs="宋体"/>
                <w:sz w:val="18"/>
                <w:szCs w:val="18"/>
              </w:rPr>
              <w:t>2022</w:t>
            </w:r>
            <w:r>
              <w:rPr>
                <w:rFonts w:ascii="宋体" w:eastAsia="宋体" w:hAnsi="宋体" w:cs="宋体"/>
                <w:sz w:val="18"/>
                <w:szCs w:val="18"/>
              </w:rPr>
              <w:t>年</w:t>
            </w:r>
            <w:r>
              <w:rPr>
                <w:rFonts w:ascii="宋体" w:eastAsia="宋体" w:hAnsi="宋体" w:cs="宋体"/>
                <w:sz w:val="18"/>
                <w:szCs w:val="18"/>
              </w:rPr>
              <w:t>1</w:t>
            </w:r>
            <w:r>
              <w:rPr>
                <w:rFonts w:ascii="宋体" w:eastAsia="宋体" w:hAnsi="宋体" w:cs="宋体"/>
                <w:sz w:val="18"/>
                <w:szCs w:val="18"/>
              </w:rPr>
              <w:t>月</w:t>
            </w:r>
            <w:r>
              <w:rPr>
                <w:rFonts w:ascii="宋体" w:eastAsia="宋体" w:hAnsi="宋体" w:cs="宋体"/>
                <w:sz w:val="18"/>
                <w:szCs w:val="18"/>
              </w:rPr>
              <w:t>19</w:t>
            </w:r>
            <w:r>
              <w:rPr>
                <w:rFonts w:ascii="宋体" w:eastAsia="宋体" w:hAnsi="宋体" w:cs="宋体"/>
                <w:sz w:val="18"/>
                <w:szCs w:val="18"/>
              </w:rPr>
              <w:t>日召开了第八届董事会</w:t>
            </w:r>
            <w:r>
              <w:rPr>
                <w:rFonts w:ascii="宋体" w:eastAsia="宋体" w:hAnsi="宋体" w:cs="宋体"/>
                <w:sz w:val="18"/>
                <w:szCs w:val="18"/>
              </w:rPr>
              <w:t>2022</w:t>
            </w:r>
            <w:r>
              <w:rPr>
                <w:rFonts w:ascii="宋体" w:eastAsia="宋体" w:hAnsi="宋体" w:cs="宋体"/>
                <w:sz w:val="18"/>
                <w:szCs w:val="18"/>
              </w:rPr>
              <w:t>年第一次临时会议和第八届监事会第二次会议</w:t>
            </w:r>
            <w:r>
              <w:rPr>
                <w:rFonts w:ascii="宋体" w:eastAsia="宋体" w:hAnsi="宋体" w:cs="宋体"/>
                <w:sz w:val="18"/>
                <w:szCs w:val="18"/>
              </w:rPr>
              <w:t>,</w:t>
            </w:r>
            <w:r>
              <w:rPr>
                <w:rFonts w:ascii="宋体" w:eastAsia="宋体" w:hAnsi="宋体" w:cs="宋体"/>
                <w:sz w:val="18"/>
                <w:szCs w:val="18"/>
              </w:rPr>
              <w:t>审议通过《关于使用募集资金置换先期投入自有资金的议案》</w:t>
            </w:r>
            <w:r>
              <w:rPr>
                <w:rFonts w:ascii="宋体" w:eastAsia="宋体" w:hAnsi="宋体" w:cs="宋体"/>
                <w:sz w:val="18"/>
                <w:szCs w:val="18"/>
              </w:rPr>
              <w:t>,</w:t>
            </w:r>
            <w:r>
              <w:rPr>
                <w:rFonts w:ascii="宋体" w:eastAsia="宋体" w:hAnsi="宋体" w:cs="宋体"/>
                <w:sz w:val="18"/>
                <w:szCs w:val="18"/>
              </w:rPr>
              <w:t>同意公司以非公开发行股票募集资金的</w:t>
            </w:r>
            <w:r>
              <w:rPr>
                <w:rFonts w:ascii="宋体" w:eastAsia="宋体" w:hAnsi="宋体" w:cs="宋体"/>
                <w:sz w:val="18"/>
                <w:szCs w:val="18"/>
              </w:rPr>
              <w:t>28,272.94</w:t>
            </w:r>
            <w:r>
              <w:rPr>
                <w:rFonts w:ascii="宋体" w:eastAsia="宋体" w:hAnsi="宋体" w:cs="宋体"/>
                <w:sz w:val="18"/>
                <w:szCs w:val="18"/>
              </w:rPr>
              <w:t>万元置换先期已投入相关项目的自有资金，详见公司于</w:t>
            </w:r>
            <w:r>
              <w:rPr>
                <w:rFonts w:ascii="宋体" w:eastAsia="宋体" w:hAnsi="宋体" w:cs="宋体"/>
                <w:sz w:val="18"/>
                <w:szCs w:val="18"/>
              </w:rPr>
              <w:t>2022</w:t>
            </w:r>
            <w:r>
              <w:rPr>
                <w:rFonts w:ascii="宋体" w:eastAsia="宋体" w:hAnsi="宋体" w:cs="宋体"/>
                <w:sz w:val="18"/>
                <w:szCs w:val="18"/>
              </w:rPr>
              <w:t>年</w:t>
            </w:r>
            <w:r>
              <w:rPr>
                <w:rFonts w:ascii="宋体" w:eastAsia="宋体" w:hAnsi="宋体" w:cs="宋体"/>
                <w:sz w:val="18"/>
                <w:szCs w:val="18"/>
              </w:rPr>
              <w:t>1</w:t>
            </w:r>
            <w:r>
              <w:rPr>
                <w:rFonts w:ascii="宋体" w:eastAsia="宋体" w:hAnsi="宋体" w:cs="宋体"/>
                <w:sz w:val="18"/>
                <w:szCs w:val="18"/>
              </w:rPr>
              <w:t>月</w:t>
            </w:r>
            <w:r>
              <w:rPr>
                <w:rFonts w:ascii="宋体" w:eastAsia="宋体" w:hAnsi="宋体" w:cs="宋体"/>
                <w:sz w:val="18"/>
                <w:szCs w:val="18"/>
              </w:rPr>
              <w:t>21</w:t>
            </w:r>
            <w:r>
              <w:rPr>
                <w:rFonts w:ascii="宋体" w:eastAsia="宋体" w:hAnsi="宋体" w:cs="宋体"/>
                <w:sz w:val="18"/>
                <w:szCs w:val="18"/>
              </w:rPr>
              <w:t>日披露的《关于使用募集资金置换先期投入自有资金的公告》。</w:t>
            </w:r>
          </w:p>
        </w:tc>
      </w:tr>
      <w:tr w:rsidR="00A067C6">
        <w:trPr>
          <w:cantSplit/>
          <w:trHeight w:val="240"/>
        </w:trPr>
        <w:tc>
          <w:tcPr>
            <w:tcW w:w="3510" w:type="dxa"/>
            <w:gridSpan w:val="4"/>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用闲置募集资金暂时补充流动资金情况</w:t>
            </w:r>
          </w:p>
        </w:tc>
        <w:tc>
          <w:tcPr>
            <w:tcW w:w="6129" w:type="dxa"/>
            <w:gridSpan w:val="7"/>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适用</w:t>
            </w:r>
          </w:p>
        </w:tc>
      </w:tr>
      <w:tr w:rsidR="00A067C6">
        <w:trPr>
          <w:cantSplit/>
          <w:trHeight w:val="240"/>
        </w:trPr>
        <w:tc>
          <w:tcPr>
            <w:tcW w:w="3510" w:type="dxa"/>
            <w:gridSpan w:val="4"/>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6129" w:type="dxa"/>
            <w:gridSpan w:val="7"/>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2022</w:t>
            </w:r>
            <w:r>
              <w:rPr>
                <w:rFonts w:ascii="宋体" w:eastAsia="宋体" w:hAnsi="宋体" w:cs="宋体"/>
                <w:sz w:val="18"/>
                <w:szCs w:val="18"/>
              </w:rPr>
              <w:t>年</w:t>
            </w:r>
            <w:r>
              <w:rPr>
                <w:rFonts w:ascii="宋体" w:eastAsia="宋体" w:hAnsi="宋体" w:cs="宋体"/>
                <w:sz w:val="18"/>
                <w:szCs w:val="18"/>
              </w:rPr>
              <w:t>9</w:t>
            </w:r>
            <w:r>
              <w:rPr>
                <w:rFonts w:ascii="宋体" w:eastAsia="宋体" w:hAnsi="宋体" w:cs="宋体"/>
                <w:sz w:val="18"/>
                <w:szCs w:val="18"/>
              </w:rPr>
              <w:t>月</w:t>
            </w:r>
            <w:r>
              <w:rPr>
                <w:rFonts w:ascii="宋体" w:eastAsia="宋体" w:hAnsi="宋体" w:cs="宋体"/>
                <w:sz w:val="18"/>
                <w:szCs w:val="18"/>
              </w:rPr>
              <w:t>26</w:t>
            </w:r>
            <w:r>
              <w:rPr>
                <w:rFonts w:ascii="宋体" w:eastAsia="宋体" w:hAnsi="宋体" w:cs="宋体"/>
                <w:sz w:val="18"/>
                <w:szCs w:val="18"/>
              </w:rPr>
              <w:t>日召开第八届董事会</w:t>
            </w:r>
            <w:r>
              <w:rPr>
                <w:rFonts w:ascii="宋体" w:eastAsia="宋体" w:hAnsi="宋体" w:cs="宋体"/>
                <w:sz w:val="18"/>
                <w:szCs w:val="18"/>
              </w:rPr>
              <w:t>2022</w:t>
            </w:r>
            <w:r>
              <w:rPr>
                <w:rFonts w:ascii="宋体" w:eastAsia="宋体" w:hAnsi="宋体" w:cs="宋体"/>
                <w:sz w:val="18"/>
                <w:szCs w:val="18"/>
              </w:rPr>
              <w:t>年第四次临时会议、第八届监事会第七次会议，审议通过了《关于使用部分闲置募集资金暂时补充流动资金的议案》，同意公司使用不超过</w:t>
            </w:r>
            <w:r>
              <w:rPr>
                <w:rFonts w:ascii="宋体" w:eastAsia="宋体" w:hAnsi="宋体" w:cs="宋体"/>
                <w:sz w:val="18"/>
                <w:szCs w:val="18"/>
              </w:rPr>
              <w:t>3</w:t>
            </w:r>
            <w:r>
              <w:rPr>
                <w:rFonts w:ascii="宋体" w:eastAsia="宋体" w:hAnsi="宋体" w:cs="宋体"/>
                <w:sz w:val="18"/>
                <w:szCs w:val="18"/>
              </w:rPr>
              <w:t>亿元人民币的闲置募集资金暂时补充流动资金，使用期限自董事会审议通过之日起不超过十二个月。</w:t>
            </w:r>
          </w:p>
        </w:tc>
      </w:tr>
      <w:tr w:rsidR="00A067C6">
        <w:trPr>
          <w:cantSplit/>
          <w:trHeight w:val="240"/>
        </w:trPr>
        <w:tc>
          <w:tcPr>
            <w:tcW w:w="3510"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项目实施出现募集资金结余的金额及原因</w:t>
            </w:r>
          </w:p>
        </w:tc>
        <w:tc>
          <w:tcPr>
            <w:tcW w:w="6129" w:type="dxa"/>
            <w:gridSpan w:val="7"/>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不适用</w:t>
            </w:r>
          </w:p>
        </w:tc>
      </w:tr>
      <w:tr w:rsidR="00A067C6">
        <w:trPr>
          <w:cantSplit/>
          <w:trHeight w:val="240"/>
        </w:trPr>
        <w:tc>
          <w:tcPr>
            <w:tcW w:w="3510"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尚未使用的募集资金用途及去向</w:t>
            </w:r>
          </w:p>
        </w:tc>
        <w:tc>
          <w:tcPr>
            <w:tcW w:w="6129" w:type="dxa"/>
            <w:gridSpan w:val="7"/>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未使用的募集资金以银行存款方式存放于募集资金专户。</w:t>
            </w:r>
          </w:p>
        </w:tc>
      </w:tr>
      <w:tr w:rsidR="00A067C6">
        <w:trPr>
          <w:cantSplit/>
          <w:trHeight w:val="240"/>
        </w:trPr>
        <w:tc>
          <w:tcPr>
            <w:tcW w:w="3510"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募集资金使用及披露中存在的问题或其他情况</w:t>
            </w:r>
          </w:p>
        </w:tc>
        <w:tc>
          <w:tcPr>
            <w:tcW w:w="6129" w:type="dxa"/>
            <w:gridSpan w:val="7"/>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无</w:t>
            </w:r>
          </w:p>
        </w:tc>
      </w:tr>
    </w:tbl>
    <w:p w:rsidR="00A067C6" w:rsidRDefault="005C4966">
      <w:pPr>
        <w:keepNext/>
        <w:keepLines/>
        <w:spacing w:before="300" w:after="300" w:line="280" w:lineRule="exact"/>
        <w:outlineLvl w:val="3"/>
        <w:rPr>
          <w:rFonts w:ascii="宋体" w:eastAsia="宋体" w:hAnsi="宋体" w:cs="宋体"/>
          <w:b/>
          <w:bCs/>
          <w:sz w:val="18"/>
          <w:szCs w:val="18"/>
        </w:rPr>
      </w:pPr>
      <w:bookmarkStart w:id="46" w:name="_Toc988934"/>
      <w:r>
        <w:rPr>
          <w:rFonts w:ascii="宋体" w:eastAsia="宋体" w:hAnsi="宋体" w:cs="宋体"/>
          <w:b/>
          <w:bCs/>
          <w:sz w:val="18"/>
          <w:szCs w:val="18"/>
        </w:rPr>
        <w:t>（</w:t>
      </w:r>
      <w:r>
        <w:rPr>
          <w:rFonts w:ascii="宋体" w:eastAsia="宋体" w:hAnsi="宋体" w:cs="宋体"/>
          <w:b/>
          <w:bCs/>
          <w:sz w:val="18"/>
          <w:szCs w:val="18"/>
        </w:rPr>
        <w:t>3</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募集资金变更项目情况</w:t>
      </w:r>
      <w:bookmarkEnd w:id="46"/>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t>不适用</w:t>
      </w:r>
    </w:p>
    <w:p w:rsidR="00A067C6" w:rsidRDefault="005C4966">
      <w:pPr>
        <w:spacing w:before="120" w:after="120" w:line="240" w:lineRule="exact"/>
        <w:jc w:val="right"/>
        <w:rPr>
          <w:rFonts w:ascii="宋体" w:eastAsia="宋体" w:hAnsi="宋体" w:cs="宋体"/>
          <w:sz w:val="18"/>
          <w:szCs w:val="18"/>
        </w:rPr>
      </w:pPr>
      <w:r>
        <w:rPr>
          <w:rFonts w:ascii="宋体" w:eastAsia="宋体" w:hAnsi="宋体" w:cs="宋体"/>
          <w:sz w:val="18"/>
          <w:szCs w:val="18"/>
        </w:rPr>
        <w:t>单位：万元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63"/>
        <w:gridCol w:w="964"/>
        <w:gridCol w:w="964"/>
        <w:gridCol w:w="964"/>
        <w:gridCol w:w="964"/>
        <w:gridCol w:w="964"/>
        <w:gridCol w:w="964"/>
        <w:gridCol w:w="964"/>
        <w:gridCol w:w="964"/>
        <w:gridCol w:w="964"/>
      </w:tblGrid>
      <w:tr w:rsidR="00A067C6">
        <w:trPr>
          <w:cantSplit/>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变更后的项目</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对应的原承诺项目</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变更后项目拟投入募集资金总额</w:t>
            </w:r>
            <w:r>
              <w:rPr>
                <w:rFonts w:ascii="宋体" w:eastAsia="宋体" w:hAnsi="宋体" w:cs="宋体"/>
                <w:sz w:val="18"/>
                <w:szCs w:val="18"/>
              </w:rPr>
              <w:t>(1)</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本报告期实际投入金额</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截至期末实际累计投入金额</w:t>
            </w:r>
            <w:r>
              <w:rPr>
                <w:rFonts w:ascii="宋体" w:eastAsia="宋体" w:hAnsi="宋体" w:cs="宋体"/>
                <w:sz w:val="18"/>
                <w:szCs w:val="18"/>
              </w:rPr>
              <w:t>(2)</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截至期末投资进度</w:t>
            </w:r>
            <w:r>
              <w:rPr>
                <w:rFonts w:ascii="宋体" w:eastAsia="宋体" w:hAnsi="宋体" w:cs="宋体"/>
                <w:sz w:val="18"/>
                <w:szCs w:val="18"/>
              </w:rPr>
              <w:t>(3)=(2)/(1)</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项目达到预定可使用状态日期</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本报告期实现的效益</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是否达到预计效益</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变更后的项目可行性是否发生重大变化</w:t>
            </w:r>
          </w:p>
        </w:tc>
      </w:tr>
      <w:tr w:rsidR="00A067C6">
        <w:trPr>
          <w:cantSplit/>
          <w:trHeight w:val="240"/>
        </w:trPr>
        <w:tc>
          <w:tcPr>
            <w:tcW w:w="9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淮北</w:t>
            </w:r>
            <w:r>
              <w:rPr>
                <w:rFonts w:ascii="宋体" w:eastAsia="宋体" w:hAnsi="宋体" w:cs="宋体"/>
                <w:sz w:val="18"/>
                <w:szCs w:val="18"/>
              </w:rPr>
              <w:t>30</w:t>
            </w:r>
            <w:r>
              <w:rPr>
                <w:rFonts w:ascii="宋体" w:eastAsia="宋体" w:hAnsi="宋体" w:cs="宋体"/>
                <w:sz w:val="18"/>
                <w:szCs w:val="18"/>
              </w:rPr>
              <w:t>万锭智能纺纱产业园项目</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华孚（越南）</w:t>
            </w:r>
            <w:r>
              <w:rPr>
                <w:rFonts w:ascii="宋体" w:eastAsia="宋体" w:hAnsi="宋体" w:cs="宋体"/>
                <w:sz w:val="18"/>
                <w:szCs w:val="18"/>
              </w:rPr>
              <w:t>50</w:t>
            </w:r>
            <w:r>
              <w:rPr>
                <w:rFonts w:ascii="宋体" w:eastAsia="宋体" w:hAnsi="宋体" w:cs="宋体"/>
                <w:sz w:val="18"/>
                <w:szCs w:val="18"/>
              </w:rPr>
              <w:t>万锭新型纱线项目（一期</w:t>
            </w:r>
            <w:r>
              <w:rPr>
                <w:rFonts w:ascii="宋体" w:eastAsia="宋体" w:hAnsi="宋体" w:cs="宋体"/>
                <w:sz w:val="18"/>
                <w:szCs w:val="18"/>
              </w:rPr>
              <w:t>)</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78,846.28</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11,232.1</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56,899.9</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72.17%</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2024</w:t>
            </w:r>
            <w:r>
              <w:rPr>
                <w:rFonts w:ascii="宋体" w:eastAsia="宋体" w:hAnsi="宋体" w:cs="宋体"/>
                <w:sz w:val="18"/>
                <w:szCs w:val="18"/>
              </w:rPr>
              <w:t>年</w:t>
            </w:r>
            <w:r>
              <w:rPr>
                <w:rFonts w:ascii="宋体" w:eastAsia="宋体" w:hAnsi="宋体" w:cs="宋体"/>
                <w:sz w:val="18"/>
                <w:szCs w:val="18"/>
              </w:rPr>
              <w:t>12</w:t>
            </w:r>
            <w:r>
              <w:rPr>
                <w:rFonts w:ascii="宋体" w:eastAsia="宋体" w:hAnsi="宋体" w:cs="宋体"/>
                <w:sz w:val="18"/>
                <w:szCs w:val="18"/>
              </w:rPr>
              <w:t>月</w:t>
            </w:r>
            <w:r>
              <w:rPr>
                <w:rFonts w:ascii="宋体" w:eastAsia="宋体" w:hAnsi="宋体" w:cs="宋体"/>
                <w:sz w:val="18"/>
                <w:szCs w:val="18"/>
              </w:rPr>
              <w:t>31</w:t>
            </w:r>
            <w:r>
              <w:rPr>
                <w:rFonts w:ascii="宋体" w:eastAsia="宋体" w:hAnsi="宋体" w:cs="宋体"/>
                <w:sz w:val="18"/>
                <w:szCs w:val="18"/>
              </w:rPr>
              <w:t>日</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367</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是</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cantSplit/>
          <w:trHeight w:val="240"/>
        </w:trPr>
        <w:tc>
          <w:tcPr>
            <w:tcW w:w="9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临时性补充流动资金</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-8,023.22</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21,976.78</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不适用</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cantSplit/>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78,846.28</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3,208.88</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78,876.68</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367</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r w:rsidR="00A067C6">
        <w:trPr>
          <w:cantSplit/>
          <w:trHeight w:val="240"/>
        </w:trPr>
        <w:tc>
          <w:tcPr>
            <w:tcW w:w="2892"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变更原因、决策程序及信息披露情况说明</w:t>
            </w:r>
            <w:r>
              <w:rPr>
                <w:rFonts w:ascii="宋体" w:eastAsia="宋体" w:hAnsi="宋体" w:cs="宋体"/>
                <w:sz w:val="18"/>
                <w:szCs w:val="18"/>
              </w:rPr>
              <w:t>(</w:t>
            </w:r>
            <w:r>
              <w:rPr>
                <w:rFonts w:ascii="宋体" w:eastAsia="宋体" w:hAnsi="宋体" w:cs="宋体"/>
                <w:sz w:val="18"/>
                <w:szCs w:val="18"/>
              </w:rPr>
              <w:t>分具体项目</w:t>
            </w:r>
            <w:r>
              <w:rPr>
                <w:rFonts w:ascii="宋体" w:eastAsia="宋体" w:hAnsi="宋体" w:cs="宋体"/>
                <w:sz w:val="18"/>
                <w:szCs w:val="18"/>
              </w:rPr>
              <w:t>)</w:t>
            </w:r>
          </w:p>
        </w:tc>
        <w:tc>
          <w:tcPr>
            <w:tcW w:w="6747" w:type="dxa"/>
            <w:gridSpan w:val="7"/>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、因外部市场环境变化，原项目建设进度有所延缓，实施周期被动拉长，存在投资收益不达预期的风险。因此，经公司于</w:t>
            </w:r>
            <w:r>
              <w:rPr>
                <w:rFonts w:ascii="宋体" w:eastAsia="宋体" w:hAnsi="宋体" w:cs="宋体"/>
                <w:sz w:val="18"/>
                <w:szCs w:val="18"/>
              </w:rPr>
              <w:t xml:space="preserve"> 2022</w:t>
            </w:r>
            <w:r>
              <w:rPr>
                <w:rFonts w:ascii="宋体" w:eastAsia="宋体" w:hAnsi="宋体" w:cs="宋体"/>
                <w:sz w:val="18"/>
                <w:szCs w:val="18"/>
              </w:rPr>
              <w:t>年</w:t>
            </w:r>
            <w:r>
              <w:rPr>
                <w:rFonts w:ascii="宋体" w:eastAsia="宋体" w:hAnsi="宋体" w:cs="宋体"/>
                <w:sz w:val="18"/>
                <w:szCs w:val="18"/>
              </w:rPr>
              <w:t xml:space="preserve">1 </w:t>
            </w:r>
            <w:r>
              <w:rPr>
                <w:rFonts w:ascii="宋体" w:eastAsia="宋体" w:hAnsi="宋体" w:cs="宋体"/>
                <w:sz w:val="18"/>
                <w:szCs w:val="18"/>
              </w:rPr>
              <w:t>月</w:t>
            </w:r>
            <w:r>
              <w:rPr>
                <w:rFonts w:ascii="宋体" w:eastAsia="宋体" w:hAnsi="宋体" w:cs="宋体"/>
                <w:sz w:val="18"/>
                <w:szCs w:val="18"/>
              </w:rPr>
              <w:t>10</w:t>
            </w:r>
            <w:r>
              <w:rPr>
                <w:rFonts w:ascii="宋体" w:eastAsia="宋体" w:hAnsi="宋体" w:cs="宋体"/>
                <w:sz w:val="18"/>
                <w:szCs w:val="18"/>
              </w:rPr>
              <w:t>日召开的</w:t>
            </w:r>
            <w:r>
              <w:rPr>
                <w:rFonts w:ascii="宋体" w:eastAsia="宋体" w:hAnsi="宋体" w:cs="宋体"/>
                <w:sz w:val="18"/>
                <w:szCs w:val="18"/>
              </w:rPr>
              <w:t>2022</w:t>
            </w:r>
            <w:r>
              <w:rPr>
                <w:rFonts w:ascii="宋体" w:eastAsia="宋体" w:hAnsi="宋体" w:cs="宋体"/>
                <w:sz w:val="18"/>
                <w:szCs w:val="18"/>
              </w:rPr>
              <w:t>年第一次股东大会审议通过，同意将公司</w:t>
            </w:r>
            <w:r>
              <w:rPr>
                <w:rFonts w:ascii="宋体" w:eastAsia="宋体" w:hAnsi="宋体" w:cs="宋体"/>
                <w:sz w:val="18"/>
                <w:szCs w:val="18"/>
              </w:rPr>
              <w:t>2021</w:t>
            </w:r>
            <w:r>
              <w:rPr>
                <w:rFonts w:ascii="宋体" w:eastAsia="宋体" w:hAnsi="宋体" w:cs="宋体"/>
                <w:sz w:val="18"/>
                <w:szCs w:val="18"/>
              </w:rPr>
              <w:t>年非公开发行股票募集资金投资项目华孚（越南）</w:t>
            </w:r>
            <w:r>
              <w:rPr>
                <w:rFonts w:ascii="宋体" w:eastAsia="宋体" w:hAnsi="宋体" w:cs="宋体"/>
                <w:sz w:val="18"/>
                <w:szCs w:val="18"/>
              </w:rPr>
              <w:t xml:space="preserve">50 </w:t>
            </w:r>
            <w:r>
              <w:rPr>
                <w:rFonts w:ascii="宋体" w:eastAsia="宋体" w:hAnsi="宋体" w:cs="宋体"/>
                <w:sz w:val="18"/>
                <w:szCs w:val="18"/>
              </w:rPr>
              <w:t>万锭新型纱线项目（一期）变更为</w:t>
            </w:r>
            <w:r>
              <w:rPr>
                <w:rFonts w:ascii="宋体" w:eastAsia="宋体" w:hAnsi="宋体" w:cs="宋体"/>
                <w:sz w:val="18"/>
                <w:szCs w:val="18"/>
              </w:rPr>
              <w:t>30</w:t>
            </w:r>
            <w:r>
              <w:rPr>
                <w:rFonts w:ascii="宋体" w:eastAsia="宋体" w:hAnsi="宋体" w:cs="宋体"/>
                <w:sz w:val="18"/>
                <w:szCs w:val="18"/>
              </w:rPr>
              <w:t>万锭智能纺纱产业园项目（项目实施地在安徽省淮北市）。</w:t>
            </w:r>
          </w:p>
          <w:p w:rsidR="00A067C6" w:rsidRDefault="005C4966">
            <w:pPr>
              <w:spacing w:line="240" w:lineRule="exact"/>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w:t>
            </w:r>
            <w:r>
              <w:rPr>
                <w:rFonts w:ascii="宋体" w:eastAsia="宋体" w:hAnsi="宋体" w:cs="宋体"/>
                <w:sz w:val="18"/>
                <w:szCs w:val="18"/>
              </w:rPr>
              <w:t>2022</w:t>
            </w:r>
            <w:r>
              <w:rPr>
                <w:rFonts w:ascii="宋体" w:eastAsia="宋体" w:hAnsi="宋体" w:cs="宋体"/>
                <w:sz w:val="18"/>
                <w:szCs w:val="18"/>
              </w:rPr>
              <w:t>年</w:t>
            </w:r>
            <w:r>
              <w:rPr>
                <w:rFonts w:ascii="宋体" w:eastAsia="宋体" w:hAnsi="宋体" w:cs="宋体"/>
                <w:sz w:val="18"/>
                <w:szCs w:val="18"/>
              </w:rPr>
              <w:t>9</w:t>
            </w:r>
            <w:r>
              <w:rPr>
                <w:rFonts w:ascii="宋体" w:eastAsia="宋体" w:hAnsi="宋体" w:cs="宋体"/>
                <w:sz w:val="18"/>
                <w:szCs w:val="18"/>
              </w:rPr>
              <w:t>月</w:t>
            </w:r>
            <w:r>
              <w:rPr>
                <w:rFonts w:ascii="宋体" w:eastAsia="宋体" w:hAnsi="宋体" w:cs="宋体"/>
                <w:sz w:val="18"/>
                <w:szCs w:val="18"/>
              </w:rPr>
              <w:t>26</w:t>
            </w:r>
            <w:r>
              <w:rPr>
                <w:rFonts w:ascii="宋体" w:eastAsia="宋体" w:hAnsi="宋体" w:cs="宋体"/>
                <w:sz w:val="18"/>
                <w:szCs w:val="18"/>
              </w:rPr>
              <w:t>日召开第八届董事会</w:t>
            </w:r>
            <w:r>
              <w:rPr>
                <w:rFonts w:ascii="宋体" w:eastAsia="宋体" w:hAnsi="宋体" w:cs="宋体"/>
                <w:sz w:val="18"/>
                <w:szCs w:val="18"/>
              </w:rPr>
              <w:t>2022</w:t>
            </w:r>
            <w:r>
              <w:rPr>
                <w:rFonts w:ascii="宋体" w:eastAsia="宋体" w:hAnsi="宋体" w:cs="宋体"/>
                <w:sz w:val="18"/>
                <w:szCs w:val="18"/>
              </w:rPr>
              <w:t>年第四次临时会议、第八届监事会第七次会议，审议通过了《关于使用部分闲置募集资金暂时补充流动资金的议案》，同意公司使用不超过</w:t>
            </w:r>
            <w:r>
              <w:rPr>
                <w:rFonts w:ascii="宋体" w:eastAsia="宋体" w:hAnsi="宋体" w:cs="宋体"/>
                <w:sz w:val="18"/>
                <w:szCs w:val="18"/>
              </w:rPr>
              <w:t>3</w:t>
            </w:r>
            <w:r>
              <w:rPr>
                <w:rFonts w:ascii="宋体" w:eastAsia="宋体" w:hAnsi="宋体" w:cs="宋体"/>
                <w:sz w:val="18"/>
                <w:szCs w:val="18"/>
              </w:rPr>
              <w:t>亿元人民币的闲置募集资金暂时补充流动资金，使用期限自董事会审议通过之日起不超过十二个月。</w:t>
            </w:r>
          </w:p>
        </w:tc>
      </w:tr>
      <w:tr w:rsidR="00A067C6">
        <w:trPr>
          <w:cantSplit/>
          <w:trHeight w:val="240"/>
        </w:trPr>
        <w:tc>
          <w:tcPr>
            <w:tcW w:w="2892"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未达到计划进度或预计收益的情况和原因</w:t>
            </w:r>
            <w:r>
              <w:rPr>
                <w:rFonts w:ascii="宋体" w:eastAsia="宋体" w:hAnsi="宋体" w:cs="宋体"/>
                <w:sz w:val="18"/>
                <w:szCs w:val="18"/>
              </w:rPr>
              <w:t>(</w:t>
            </w:r>
            <w:r>
              <w:rPr>
                <w:rFonts w:ascii="宋体" w:eastAsia="宋体" w:hAnsi="宋体" w:cs="宋体"/>
                <w:sz w:val="18"/>
                <w:szCs w:val="18"/>
              </w:rPr>
              <w:t>分具体项目</w:t>
            </w:r>
            <w:r>
              <w:rPr>
                <w:rFonts w:ascii="宋体" w:eastAsia="宋体" w:hAnsi="宋体" w:cs="宋体"/>
                <w:sz w:val="18"/>
                <w:szCs w:val="18"/>
              </w:rPr>
              <w:t>)</w:t>
            </w:r>
          </w:p>
        </w:tc>
        <w:tc>
          <w:tcPr>
            <w:tcW w:w="6747" w:type="dxa"/>
            <w:gridSpan w:val="7"/>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不适用</w:t>
            </w:r>
          </w:p>
        </w:tc>
      </w:tr>
      <w:tr w:rsidR="00A067C6">
        <w:trPr>
          <w:cantSplit/>
          <w:trHeight w:val="240"/>
        </w:trPr>
        <w:tc>
          <w:tcPr>
            <w:tcW w:w="2892"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变更后的项目可行性发生重大变化的情况说明</w:t>
            </w:r>
          </w:p>
        </w:tc>
        <w:tc>
          <w:tcPr>
            <w:tcW w:w="6747" w:type="dxa"/>
            <w:gridSpan w:val="7"/>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不适用</w:t>
            </w:r>
          </w:p>
        </w:tc>
      </w:tr>
    </w:tbl>
    <w:p w:rsidR="00A067C6" w:rsidRDefault="005C4966">
      <w:pPr>
        <w:pStyle w:val="2"/>
        <w:spacing w:before="300" w:after="300" w:line="320" w:lineRule="exact"/>
        <w:rPr>
          <w:rFonts w:ascii="宋体" w:eastAsia="宋体" w:hAnsi="宋体" w:cs="宋体"/>
          <w:b/>
          <w:bCs/>
          <w:sz w:val="24"/>
          <w:szCs w:val="24"/>
        </w:rPr>
      </w:pPr>
      <w:bookmarkStart w:id="47" w:name="_Toc988935"/>
      <w:r>
        <w:rPr>
          <w:rFonts w:ascii="宋体" w:eastAsia="宋体" w:hAnsi="宋体" w:cs="宋体"/>
          <w:b/>
          <w:bCs/>
          <w:sz w:val="24"/>
          <w:szCs w:val="24"/>
        </w:rPr>
        <w:t>八、重大资产和股权出售</w:t>
      </w:r>
      <w:bookmarkEnd w:id="47"/>
    </w:p>
    <w:p w:rsidR="00A067C6" w:rsidRDefault="005C4966">
      <w:pPr>
        <w:pStyle w:val="3"/>
        <w:spacing w:line="280" w:lineRule="exact"/>
        <w:jc w:val="left"/>
        <w:rPr>
          <w:rFonts w:ascii="宋体" w:hAnsi="宋体" w:cs="宋体"/>
          <w:b/>
          <w:bCs/>
        </w:rPr>
      </w:pPr>
      <w:bookmarkStart w:id="48" w:name="_Toc988936"/>
      <w:r>
        <w:rPr>
          <w:rFonts w:ascii="宋体" w:hAnsi="宋体" w:cs="宋体"/>
          <w:b/>
          <w:bCs/>
        </w:rPr>
        <w:t>1</w:t>
      </w:r>
      <w:r>
        <w:rPr>
          <w:rFonts w:ascii="宋体" w:hAnsi="宋体" w:cs="宋体"/>
          <w:b/>
          <w:bCs/>
        </w:rPr>
        <w:t>、出售重大资产情况</w:t>
      </w:r>
      <w:bookmarkEnd w:id="48"/>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公司报告期未出售重大资产。</w:t>
      </w:r>
    </w:p>
    <w:p w:rsidR="00A067C6" w:rsidRDefault="005C4966">
      <w:pPr>
        <w:pStyle w:val="3"/>
        <w:spacing w:line="280" w:lineRule="exact"/>
        <w:jc w:val="left"/>
        <w:rPr>
          <w:rFonts w:ascii="宋体" w:hAnsi="宋体" w:cs="宋体"/>
          <w:b/>
          <w:bCs/>
        </w:rPr>
      </w:pPr>
      <w:bookmarkStart w:id="49" w:name="_Toc988937"/>
      <w:r>
        <w:rPr>
          <w:rFonts w:ascii="宋体" w:hAnsi="宋体" w:cs="宋体"/>
          <w:b/>
          <w:bCs/>
        </w:rPr>
        <w:t>2</w:t>
      </w:r>
      <w:r>
        <w:rPr>
          <w:rFonts w:ascii="宋体" w:hAnsi="宋体" w:cs="宋体"/>
          <w:b/>
          <w:bCs/>
        </w:rPr>
        <w:t>、出售重大股权情况</w:t>
      </w:r>
      <w:bookmarkEnd w:id="49"/>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pStyle w:val="2"/>
        <w:spacing w:before="300" w:after="300" w:line="320" w:lineRule="exact"/>
        <w:rPr>
          <w:rFonts w:ascii="宋体" w:eastAsia="宋体" w:hAnsi="宋体" w:cs="宋体"/>
          <w:b/>
          <w:bCs/>
          <w:sz w:val="24"/>
          <w:szCs w:val="24"/>
        </w:rPr>
      </w:pPr>
      <w:bookmarkStart w:id="50" w:name="_Toc988938"/>
      <w:r>
        <w:rPr>
          <w:rFonts w:ascii="宋体" w:eastAsia="宋体" w:hAnsi="宋体" w:cs="宋体"/>
          <w:b/>
          <w:bCs/>
          <w:sz w:val="24"/>
          <w:szCs w:val="24"/>
        </w:rPr>
        <w:t>九、主要控股参股公司分析</w:t>
      </w:r>
      <w:bookmarkEnd w:id="50"/>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t>不适用</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主要子公司及对公司净利润影响达</w:t>
      </w:r>
      <w:r>
        <w:rPr>
          <w:rFonts w:ascii="宋体" w:eastAsia="宋体" w:hAnsi="宋体" w:cs="宋体"/>
          <w:sz w:val="18"/>
          <w:szCs w:val="18"/>
        </w:rPr>
        <w:t>10%</w:t>
      </w:r>
      <w:r>
        <w:rPr>
          <w:rFonts w:ascii="宋体" w:eastAsia="宋体" w:hAnsi="宋体" w:cs="宋体"/>
          <w:sz w:val="18"/>
          <w:szCs w:val="18"/>
        </w:rPr>
        <w:t>以上的参股公司情况</w:t>
      </w:r>
    </w:p>
    <w:p w:rsidR="00A067C6" w:rsidRDefault="005C4966">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71"/>
        <w:gridCol w:w="1071"/>
        <w:gridCol w:w="1071"/>
        <w:gridCol w:w="1071"/>
        <w:gridCol w:w="1071"/>
        <w:gridCol w:w="1071"/>
        <w:gridCol w:w="1071"/>
        <w:gridCol w:w="1071"/>
        <w:gridCol w:w="1071"/>
      </w:tblGrid>
      <w:tr w:rsidR="00A067C6">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公司名称</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公司类型</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主要业务</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注册资本</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总资产</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净资产</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营业利润</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净利润</w:t>
            </w:r>
          </w:p>
        </w:tc>
      </w:tr>
      <w:tr w:rsidR="00A067C6">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深圳市华孚进出口有限公司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子公司</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国内商业、物资供销业</w:t>
            </w:r>
            <w:r>
              <w:rPr>
                <w:rFonts w:ascii="宋体" w:eastAsia="宋体" w:hAnsi="宋体" w:cs="宋体"/>
                <w:sz w:val="18"/>
                <w:szCs w:val="18"/>
              </w:rPr>
              <w:t>(</w:t>
            </w:r>
            <w:r>
              <w:rPr>
                <w:rFonts w:ascii="宋体" w:eastAsia="宋体" w:hAnsi="宋体" w:cs="宋体"/>
                <w:sz w:val="18"/>
                <w:szCs w:val="18"/>
              </w:rPr>
              <w:t>不含专营、专控、专卖商品</w:t>
            </w:r>
            <w:r>
              <w:rPr>
                <w:rFonts w:ascii="宋体" w:eastAsia="宋体" w:hAnsi="宋体" w:cs="宋体"/>
                <w:sz w:val="18"/>
                <w:szCs w:val="18"/>
              </w:rPr>
              <w:t>)</w:t>
            </w:r>
            <w:r>
              <w:rPr>
                <w:rFonts w:ascii="宋体" w:eastAsia="宋体" w:hAnsi="宋体" w:cs="宋体"/>
                <w:sz w:val="18"/>
                <w:szCs w:val="18"/>
              </w:rPr>
              <w:t>；进出口业务</w:t>
            </w:r>
            <w:r>
              <w:rPr>
                <w:rFonts w:ascii="宋体" w:eastAsia="宋体" w:hAnsi="宋体" w:cs="宋体"/>
                <w:sz w:val="18"/>
                <w:szCs w:val="18"/>
              </w:rPr>
              <w:t>(</w:t>
            </w:r>
            <w:r>
              <w:rPr>
                <w:rFonts w:ascii="宋体" w:eastAsia="宋体" w:hAnsi="宋体" w:cs="宋体"/>
                <w:sz w:val="18"/>
                <w:szCs w:val="18"/>
              </w:rPr>
              <w:t>按深贸管审证字第</w:t>
            </w:r>
            <w:r>
              <w:rPr>
                <w:rFonts w:ascii="宋体" w:eastAsia="宋体" w:hAnsi="宋体" w:cs="宋体"/>
                <w:sz w:val="18"/>
                <w:szCs w:val="18"/>
              </w:rPr>
              <w:t>628</w:t>
            </w:r>
            <w:r>
              <w:rPr>
                <w:rFonts w:ascii="宋体" w:eastAsia="宋体" w:hAnsi="宋体" w:cs="宋体"/>
                <w:sz w:val="18"/>
                <w:szCs w:val="18"/>
              </w:rPr>
              <w:t>号文办理</w:t>
            </w:r>
            <w:r>
              <w:rPr>
                <w:rFonts w:ascii="宋体" w:eastAsia="宋体" w:hAnsi="宋体" w:cs="宋体"/>
                <w:sz w:val="18"/>
                <w:szCs w:val="18"/>
              </w:rPr>
              <w:t>)</w:t>
            </w:r>
            <w:r>
              <w:rPr>
                <w:rFonts w:ascii="宋体" w:eastAsia="宋体" w:hAnsi="宋体" w:cs="宋体"/>
                <w:sz w:val="18"/>
                <w:szCs w:val="18"/>
              </w:rPr>
              <w:t>。企业信息咨询</w:t>
            </w:r>
            <w:r>
              <w:rPr>
                <w:rFonts w:ascii="宋体" w:eastAsia="宋体" w:hAnsi="宋体" w:cs="宋体"/>
                <w:sz w:val="18"/>
                <w:szCs w:val="18"/>
              </w:rPr>
              <w:t>(</w:t>
            </w:r>
            <w:r>
              <w:rPr>
                <w:rFonts w:ascii="宋体" w:eastAsia="宋体" w:hAnsi="宋体" w:cs="宋体"/>
                <w:sz w:val="18"/>
                <w:szCs w:val="18"/>
              </w:rPr>
              <w:t>不含限制项目</w:t>
            </w:r>
            <w:r>
              <w:rPr>
                <w:rFonts w:ascii="宋体" w:eastAsia="宋体" w:hAnsi="宋体" w:cs="宋体"/>
                <w:sz w:val="18"/>
                <w:szCs w:val="18"/>
              </w:rPr>
              <w:t>)</w:t>
            </w:r>
            <w:r>
              <w:rPr>
                <w:rFonts w:ascii="宋体" w:eastAsia="宋体" w:hAnsi="宋体" w:cs="宋体"/>
                <w:sz w:val="18"/>
                <w:szCs w:val="18"/>
              </w:rPr>
              <w:t>。</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1,500,000,000.00</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7,605,306,316.52</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1,859,266,078.89</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1,955,074,288.16</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127,091,419.79</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127,009,794.16</w:t>
            </w:r>
          </w:p>
        </w:tc>
      </w:tr>
      <w:tr w:rsidR="00A067C6">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浙江华孚色纺有限公司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子公司</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高档织物面料的织染及后整理加工，特种纤维、纱线、面料、混色纺纱线、染色纤维、染色筒纱、服装的生产、加工、销售</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1,387,638,224.00</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3,495,042,656.51</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1,649,278,969.13</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618,465,608.60</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14,118,903.78</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13,747,021.89</w:t>
            </w:r>
          </w:p>
        </w:tc>
      </w:tr>
      <w:tr w:rsidR="00A067C6">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阿克苏华孚色纺有限公司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子公司</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纺织品、纺织器材的制造销售，纺织技术培训，出口本企业的纺织品和服装，进口企业所需的原料、机器设备、仪器和配件，棉麻收购及销售</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2,634,516,140.00</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5,675,089,162.75</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2,420,786,902.39</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2,001,326,868.28</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74,916,779.52</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70,532,677.77</w:t>
            </w:r>
          </w:p>
        </w:tc>
      </w:tr>
      <w:tr w:rsidR="00A067C6">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宁波华孚东浩实业有限公司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子公司</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色纺纱、高新坯纱、</w:t>
            </w:r>
            <w:r>
              <w:rPr>
                <w:rFonts w:ascii="宋体" w:eastAsia="宋体" w:hAnsi="宋体" w:cs="宋体"/>
                <w:sz w:val="18"/>
                <w:szCs w:val="18"/>
              </w:rPr>
              <w:t>OE</w:t>
            </w:r>
            <w:r>
              <w:rPr>
                <w:rFonts w:ascii="宋体" w:eastAsia="宋体" w:hAnsi="宋体" w:cs="宋体"/>
                <w:sz w:val="18"/>
                <w:szCs w:val="18"/>
              </w:rPr>
              <w:t>纱等棉纺织品的批发，进出口业务</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50,000,000.00</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2,126,461,579.18</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-171,508,362.62</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1,821,293,594.54</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-139,370,416.76</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-139,302,496.50</w:t>
            </w:r>
          </w:p>
        </w:tc>
      </w:tr>
      <w:tr w:rsidR="00A067C6">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顺道</w:t>
            </w:r>
            <w:r>
              <w:rPr>
                <w:rFonts w:ascii="宋体" w:eastAsia="宋体" w:hAnsi="宋体" w:cs="宋体"/>
                <w:sz w:val="18"/>
                <w:szCs w:val="18"/>
              </w:rPr>
              <w:t>(</w:t>
            </w:r>
            <w:r>
              <w:rPr>
                <w:rFonts w:ascii="宋体" w:eastAsia="宋体" w:hAnsi="宋体" w:cs="宋体"/>
                <w:sz w:val="18"/>
                <w:szCs w:val="18"/>
              </w:rPr>
              <w:t>越南</w:t>
            </w:r>
            <w:r>
              <w:rPr>
                <w:rFonts w:ascii="宋体" w:eastAsia="宋体" w:hAnsi="宋体" w:cs="宋体"/>
                <w:sz w:val="18"/>
                <w:szCs w:val="18"/>
              </w:rPr>
              <w:t>)</w:t>
            </w:r>
            <w:r>
              <w:rPr>
                <w:rFonts w:ascii="宋体" w:eastAsia="宋体" w:hAnsi="宋体" w:cs="宋体"/>
                <w:sz w:val="18"/>
                <w:szCs w:val="18"/>
              </w:rPr>
              <w:t>实业独资有限公司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子公司</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生产色纺纱，具体生产加工各类色纺纱线</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1,035,330,796.00</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2,191,865,750.59</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1,483,761,826.73</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658,830,073.79</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28,693,937.45</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28,557,532.63</w:t>
            </w:r>
          </w:p>
        </w:tc>
      </w:tr>
      <w:tr w:rsidR="00A067C6">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新疆六孚纺织工业园有限公司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子公司</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特种纤维、纱线、混色纺纱线、染色纤维、染色筒纱的生产、加工销售；污水处理；一般货物与技术进出口；棉花纺织原料的购进与销售；棉花加工；废棉销售；机器设备与零配件的购进与销售。</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676,500,000.00</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1,058,730,311.49</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682,458,314.87</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231,501,739.05</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22,936,556.50</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23,583,054.84</w:t>
            </w:r>
          </w:p>
        </w:tc>
      </w:tr>
      <w:tr w:rsidR="00A067C6">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新疆华孚纺织有限公司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子公司</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许可项目：棉花加工；道路货物运输（不含危险货物）。（依法须经批准的项目，经相关部门批准后方可开展经营活动，具体经营项目以相关部门批准文件或许可证件为准）一般项目：棉花收购；棉、麻销售；针纺织品销售；纺织专用设备制造；纺织专用设备销售；业务培训（不含教育培训、职业技能培训等需取得许可的培训）；货物进出口；仪器仪表销售；机械设备销售；棉花加工机械销售；塑料制品销售；塑料制品制造；塑料包装箱及容器制造；合成纤维销售。（除依法须经批准的项目外，凭营业执照依法自主开展经营活动）</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50,000,000.00</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116,620,759.41</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-11,358,014.25</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195,840,468.62</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-32,579,119.84</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-32,578,937.05</w:t>
            </w:r>
          </w:p>
        </w:tc>
      </w:tr>
      <w:tr w:rsidR="00A067C6">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新疆华孚棉业集团有限公司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子公司</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农产品初加工服务；社会经济咨询；股权投资；棉花种植，谷物种植，货物与技术的进出口（国家禁止或涉及行政审批的货物和技术进出口除外）；销售：食品、农副产品，纺织品、针织品及原料，服装鞋帽，纸浆，棉花，橡胶制品，棉纱，化工产品（危险化学品除外）（涉及许可经营项目，应取得相关部门许可后方可经营）</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1,000,000,000.00</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,259,340,538.80</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1,108,566,772.83</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1,687,532,890.69</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117,837,731.92</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117,753,453.91</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报告期内取得和处置子公司的情况</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t>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公司名称</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报告期内取得和处置子公司方式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对整体生产经营和业绩的影响</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浙江果实设计有限公司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新设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浙江其实科技有限公司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新设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浙江艾思其品牌管理有限公司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新设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浙江达米安品牌管理有限公司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新设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呼图壁县宏盛棉业有限公司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转让</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主要控股参股公司情况说明</w:t>
      </w:r>
    </w:p>
    <w:p w:rsidR="00A067C6" w:rsidRDefault="005C4966">
      <w:pPr>
        <w:spacing w:before="40" w:after="40" w:line="240" w:lineRule="exact"/>
        <w:rPr>
          <w:rFonts w:ascii="宋体" w:eastAsia="宋体" w:hAnsi="宋体" w:cs="宋体"/>
          <w:sz w:val="18"/>
          <w:szCs w:val="18"/>
        </w:rPr>
      </w:pPr>
      <w:r>
        <w:rPr>
          <w:rFonts w:ascii="宋体" w:eastAsia="宋体" w:hAnsi="宋体" w:cs="宋体" w:hint="eastAsia"/>
          <w:sz w:val="18"/>
          <w:szCs w:val="18"/>
        </w:rPr>
        <w:t>无。</w:t>
      </w:r>
    </w:p>
    <w:p w:rsidR="00A067C6" w:rsidRDefault="005C4966">
      <w:pPr>
        <w:pStyle w:val="2"/>
        <w:spacing w:before="300" w:after="300" w:line="320" w:lineRule="exact"/>
        <w:rPr>
          <w:rFonts w:ascii="宋体" w:eastAsia="宋体" w:hAnsi="宋体" w:cs="宋体"/>
          <w:b/>
          <w:bCs/>
          <w:sz w:val="24"/>
          <w:szCs w:val="24"/>
        </w:rPr>
      </w:pPr>
      <w:bookmarkStart w:id="51" w:name="_Toc988939"/>
      <w:r>
        <w:rPr>
          <w:rFonts w:ascii="宋体" w:eastAsia="宋体" w:hAnsi="宋体" w:cs="宋体"/>
          <w:b/>
          <w:bCs/>
          <w:sz w:val="24"/>
          <w:szCs w:val="24"/>
        </w:rPr>
        <w:t>十、公司控制的结构化主体情况</w:t>
      </w:r>
      <w:bookmarkEnd w:id="51"/>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pStyle w:val="2"/>
        <w:spacing w:before="300" w:after="300" w:line="320" w:lineRule="exact"/>
        <w:rPr>
          <w:rFonts w:ascii="宋体" w:eastAsia="宋体" w:hAnsi="宋体" w:cs="宋体"/>
          <w:b/>
          <w:bCs/>
          <w:sz w:val="24"/>
          <w:szCs w:val="24"/>
        </w:rPr>
      </w:pPr>
      <w:bookmarkStart w:id="52" w:name="_Toc988940"/>
      <w:r>
        <w:rPr>
          <w:rFonts w:ascii="宋体" w:eastAsia="宋体" w:hAnsi="宋体" w:cs="宋体"/>
          <w:b/>
          <w:bCs/>
          <w:sz w:val="24"/>
          <w:szCs w:val="24"/>
        </w:rPr>
        <w:t>十一、公司面临的风险和应对措施</w:t>
      </w:r>
      <w:bookmarkEnd w:id="52"/>
    </w:p>
    <w:p w:rsidR="00A067C6" w:rsidRDefault="005C4966">
      <w:pPr>
        <w:pStyle w:val="a6"/>
        <w:spacing w:before="0" w:beforeAutospacing="0" w:after="0" w:afterAutospacing="0"/>
        <w:ind w:firstLine="360"/>
        <w:jc w:val="both"/>
        <w:rPr>
          <w:rFonts w:ascii="Times New Roman" w:hAnsi="Times New Roman" w:cs="Times New Roman"/>
          <w:sz w:val="21"/>
          <w:szCs w:val="21"/>
        </w:rPr>
      </w:pPr>
      <w:r>
        <w:rPr>
          <w:rFonts w:cs="Times New Roman" w:hint="eastAsia"/>
          <w:sz w:val="18"/>
          <w:szCs w:val="18"/>
        </w:rPr>
        <w:t>（一）可能面临的风险</w:t>
      </w:r>
    </w:p>
    <w:p w:rsidR="00A067C6" w:rsidRDefault="005C4966">
      <w:pPr>
        <w:pStyle w:val="a6"/>
        <w:spacing w:before="0" w:beforeAutospacing="0" w:after="0" w:afterAutospacing="0"/>
        <w:ind w:firstLine="360"/>
        <w:jc w:val="both"/>
        <w:rPr>
          <w:rFonts w:ascii="Times New Roman" w:hAnsi="Times New Roman" w:cs="Times New Roman"/>
          <w:sz w:val="21"/>
          <w:szCs w:val="21"/>
        </w:rPr>
      </w:pPr>
      <w:r>
        <w:rPr>
          <w:rFonts w:cs="Times New Roman" w:hint="eastAsia"/>
          <w:sz w:val="18"/>
          <w:szCs w:val="18"/>
        </w:rPr>
        <w:t>1</w:t>
      </w:r>
      <w:r>
        <w:rPr>
          <w:rFonts w:cs="Times New Roman" w:hint="eastAsia"/>
          <w:sz w:val="18"/>
          <w:szCs w:val="18"/>
        </w:rPr>
        <w:t>、原材料价格波动风险：棉花成本占总成本</w:t>
      </w:r>
      <w:r>
        <w:rPr>
          <w:rFonts w:cs="Times New Roman" w:hint="eastAsia"/>
          <w:sz w:val="18"/>
          <w:szCs w:val="18"/>
        </w:rPr>
        <w:t>60%</w:t>
      </w:r>
      <w:r>
        <w:rPr>
          <w:rFonts w:cs="Times New Roman" w:hint="eastAsia"/>
          <w:sz w:val="18"/>
          <w:szCs w:val="18"/>
        </w:rPr>
        <w:t>以上，棉花等原料的金融属性加强，价格波动幅度增大。</w:t>
      </w:r>
    </w:p>
    <w:p w:rsidR="00A067C6" w:rsidRDefault="005C4966">
      <w:pPr>
        <w:pStyle w:val="a6"/>
        <w:spacing w:before="0" w:beforeAutospacing="0" w:after="0" w:afterAutospacing="0"/>
        <w:ind w:firstLine="360"/>
        <w:jc w:val="both"/>
        <w:rPr>
          <w:rFonts w:ascii="Times New Roman" w:hAnsi="Times New Roman" w:cs="Times New Roman"/>
          <w:sz w:val="21"/>
          <w:szCs w:val="21"/>
        </w:rPr>
      </w:pPr>
      <w:r>
        <w:rPr>
          <w:rFonts w:cs="Times New Roman" w:hint="eastAsia"/>
          <w:sz w:val="18"/>
          <w:szCs w:val="18"/>
        </w:rPr>
        <w:t>2</w:t>
      </w:r>
      <w:r>
        <w:rPr>
          <w:rFonts w:cs="Times New Roman" w:hint="eastAsia"/>
          <w:sz w:val="18"/>
          <w:szCs w:val="18"/>
        </w:rPr>
        <w:t>、人民币汇率风险：本公司棉花部分为从国际市场采购、纺织产品部分以直接或间接方式出口海外，利用境外融资平台配置有美元外债，公司也有境外项目投资，人民币汇率的波动将对公司生产成本、营业收入以及汇兑损益产生一定影响。</w:t>
      </w:r>
    </w:p>
    <w:p w:rsidR="00A067C6" w:rsidRDefault="005C4966">
      <w:pPr>
        <w:pStyle w:val="a6"/>
        <w:spacing w:before="0" w:beforeAutospacing="0" w:after="0" w:afterAutospacing="0"/>
        <w:ind w:firstLine="360"/>
        <w:jc w:val="both"/>
        <w:rPr>
          <w:rFonts w:ascii="Times New Roman" w:hAnsi="Times New Roman" w:cs="Times New Roman"/>
          <w:sz w:val="21"/>
          <w:szCs w:val="21"/>
        </w:rPr>
      </w:pPr>
      <w:r>
        <w:rPr>
          <w:rFonts w:cs="Times New Roman" w:hint="eastAsia"/>
          <w:sz w:val="18"/>
          <w:szCs w:val="18"/>
        </w:rPr>
        <w:t>3</w:t>
      </w:r>
      <w:r>
        <w:rPr>
          <w:rFonts w:cs="Times New Roman" w:hint="eastAsia"/>
          <w:sz w:val="18"/>
          <w:szCs w:val="18"/>
        </w:rPr>
        <w:t>、政治博弈带来订单波动的风险：地缘政治冲突、中美博弈、阿克苏华孚被美国商务部列入实体清单事件将导</w:t>
      </w:r>
      <w:r>
        <w:rPr>
          <w:rFonts w:cs="Times New Roman" w:hint="eastAsia"/>
          <w:sz w:val="18"/>
          <w:szCs w:val="18"/>
        </w:rPr>
        <w:t>致外部经营环境不确定性增加，带来订单波动加大的风险。公司通过积极开发国内及非美市场，以规避订单波动带来的风险。</w:t>
      </w:r>
    </w:p>
    <w:p w:rsidR="00A067C6" w:rsidRDefault="005C4966">
      <w:pPr>
        <w:pStyle w:val="a6"/>
        <w:spacing w:before="0" w:beforeAutospacing="0" w:after="0" w:afterAutospacing="0"/>
        <w:ind w:firstLine="360"/>
        <w:jc w:val="both"/>
        <w:rPr>
          <w:rFonts w:ascii="Times New Roman" w:hAnsi="Times New Roman" w:cs="Times New Roman"/>
          <w:sz w:val="21"/>
          <w:szCs w:val="21"/>
        </w:rPr>
      </w:pPr>
      <w:r>
        <w:rPr>
          <w:rFonts w:cs="Times New Roman" w:hint="eastAsia"/>
          <w:sz w:val="18"/>
          <w:szCs w:val="18"/>
        </w:rPr>
        <w:t>（二）公司的应对措施</w:t>
      </w:r>
    </w:p>
    <w:p w:rsidR="00A067C6" w:rsidRDefault="005C4966">
      <w:pPr>
        <w:pStyle w:val="a6"/>
        <w:spacing w:before="0" w:beforeAutospacing="0" w:after="0" w:afterAutospacing="0"/>
        <w:ind w:firstLine="360"/>
        <w:jc w:val="both"/>
        <w:rPr>
          <w:rFonts w:ascii="Times New Roman" w:hAnsi="Times New Roman" w:cs="Times New Roman"/>
          <w:sz w:val="21"/>
          <w:szCs w:val="21"/>
        </w:rPr>
      </w:pPr>
      <w:r>
        <w:rPr>
          <w:rFonts w:cs="Times New Roman" w:hint="eastAsia"/>
          <w:sz w:val="18"/>
          <w:szCs w:val="18"/>
        </w:rPr>
        <w:t>1</w:t>
      </w:r>
      <w:r>
        <w:rPr>
          <w:rFonts w:cs="Times New Roman" w:hint="eastAsia"/>
          <w:sz w:val="18"/>
          <w:szCs w:val="18"/>
        </w:rPr>
        <w:t>、保持战略定力。继续实行“坚持主业，共享产业”的发展战略，在棉花、布衣、纱线领域继续发力。以纱线贯穿纺织服装产业，以产业互联网与柔性供应链实现产业转型，实现“原材料</w:t>
      </w:r>
      <w:r>
        <w:rPr>
          <w:rFonts w:cs="Times New Roman" w:hint="eastAsia"/>
          <w:sz w:val="18"/>
          <w:szCs w:val="18"/>
        </w:rPr>
        <w:t>-</w:t>
      </w:r>
      <w:r>
        <w:rPr>
          <w:rFonts w:cs="Times New Roman" w:hint="eastAsia"/>
          <w:sz w:val="18"/>
          <w:szCs w:val="18"/>
        </w:rPr>
        <w:t>纺纱</w:t>
      </w:r>
      <w:r>
        <w:rPr>
          <w:rFonts w:cs="Times New Roman" w:hint="eastAsia"/>
          <w:sz w:val="18"/>
          <w:szCs w:val="18"/>
        </w:rPr>
        <w:t>-</w:t>
      </w:r>
      <w:r>
        <w:rPr>
          <w:rFonts w:cs="Times New Roman" w:hint="eastAsia"/>
          <w:sz w:val="18"/>
          <w:szCs w:val="18"/>
        </w:rPr>
        <w:t>面料</w:t>
      </w:r>
      <w:r>
        <w:rPr>
          <w:rFonts w:cs="Times New Roman" w:hint="eastAsia"/>
          <w:sz w:val="18"/>
          <w:szCs w:val="18"/>
        </w:rPr>
        <w:t>-</w:t>
      </w:r>
      <w:r>
        <w:rPr>
          <w:rFonts w:cs="Times New Roman" w:hint="eastAsia"/>
          <w:sz w:val="18"/>
          <w:szCs w:val="18"/>
        </w:rPr>
        <w:t>成衣”全产业链覆盖，实现从时尚制造商向时尚运营商的转型。</w:t>
      </w:r>
    </w:p>
    <w:p w:rsidR="00A067C6" w:rsidRDefault="005C4966">
      <w:pPr>
        <w:pStyle w:val="a6"/>
        <w:spacing w:before="0" w:beforeAutospacing="0" w:after="0" w:afterAutospacing="0"/>
        <w:ind w:firstLine="360"/>
        <w:jc w:val="both"/>
        <w:rPr>
          <w:rFonts w:ascii="Times New Roman" w:hAnsi="Times New Roman" w:cs="Times New Roman"/>
          <w:sz w:val="21"/>
          <w:szCs w:val="21"/>
        </w:rPr>
      </w:pPr>
      <w:r>
        <w:rPr>
          <w:rFonts w:cs="Times New Roman" w:hint="eastAsia"/>
          <w:sz w:val="18"/>
          <w:szCs w:val="18"/>
        </w:rPr>
        <w:t>2</w:t>
      </w:r>
      <w:r>
        <w:rPr>
          <w:rFonts w:cs="Times New Roman" w:hint="eastAsia"/>
          <w:sz w:val="18"/>
          <w:szCs w:val="18"/>
        </w:rPr>
        <w:t>、实施双循环战略，实现海外、国内市场均衡发展。抓住中国市场规模大、消费升级的历史机遇，发挥公司创新快反、优良服务、资源整合的优势，系统对接</w:t>
      </w:r>
      <w:r>
        <w:rPr>
          <w:rFonts w:cs="Times New Roman" w:hint="eastAsia"/>
          <w:sz w:val="18"/>
          <w:szCs w:val="18"/>
        </w:rPr>
        <w:t>头部国潮品牌、电商新锐品牌、专项市场供应链，深化区域市场开发、深耕细分市场，挖掘价值客户，持续巩固和扩大国内市场占有率。</w:t>
      </w:r>
    </w:p>
    <w:p w:rsidR="00A067C6" w:rsidRDefault="005C4966">
      <w:pPr>
        <w:pStyle w:val="a6"/>
        <w:spacing w:before="0" w:beforeAutospacing="0" w:after="0" w:afterAutospacing="0"/>
        <w:ind w:firstLine="360"/>
        <w:jc w:val="both"/>
        <w:rPr>
          <w:rFonts w:ascii="Times New Roman" w:hAnsi="Times New Roman" w:cs="Times New Roman"/>
          <w:sz w:val="21"/>
          <w:szCs w:val="21"/>
        </w:rPr>
      </w:pPr>
      <w:r>
        <w:rPr>
          <w:rFonts w:cs="Times New Roman" w:hint="eastAsia"/>
          <w:sz w:val="18"/>
          <w:szCs w:val="18"/>
        </w:rPr>
        <w:t>3</w:t>
      </w:r>
      <w:r>
        <w:rPr>
          <w:rFonts w:cs="Times New Roman" w:hint="eastAsia"/>
          <w:sz w:val="18"/>
          <w:szCs w:val="18"/>
        </w:rPr>
        <w:t>、数智化升级。完成其余可以数字化升级的产能改造。积极推行生产数据化管理，充分挖掘数据价值，扩大应用广度深度，通过流程再造、组织变革、标准改进、操作优化，提质、提效、降耗。同时，积极推进贯通产业的网链业务数智化平台建设，为共享产业打下基础。</w:t>
      </w:r>
    </w:p>
    <w:p w:rsidR="00A067C6" w:rsidRDefault="005C4966">
      <w:pPr>
        <w:pStyle w:val="a6"/>
        <w:spacing w:before="0" w:beforeAutospacing="0" w:after="0" w:afterAutospacing="0"/>
        <w:ind w:firstLine="360"/>
        <w:jc w:val="both"/>
        <w:rPr>
          <w:rFonts w:ascii="Times New Roman" w:hAnsi="Times New Roman" w:cs="Times New Roman"/>
          <w:sz w:val="21"/>
          <w:szCs w:val="21"/>
        </w:rPr>
      </w:pPr>
      <w:r>
        <w:rPr>
          <w:rFonts w:cs="Times New Roman" w:hint="eastAsia"/>
          <w:sz w:val="18"/>
          <w:szCs w:val="18"/>
        </w:rPr>
        <w:t>4</w:t>
      </w:r>
      <w:r>
        <w:rPr>
          <w:rFonts w:cs="Times New Roman" w:hint="eastAsia"/>
          <w:sz w:val="18"/>
          <w:szCs w:val="18"/>
        </w:rPr>
        <w:t>、实施绿色低碳战略。从原料替代、产品开发、循环利用、能效提升等维度全面推进绿色低碳战略实施，办好华孚新能源公司，按既定计划推进清洁用能。</w:t>
      </w:r>
    </w:p>
    <w:p w:rsidR="00A067C6" w:rsidRDefault="005C4966">
      <w:pPr>
        <w:pStyle w:val="a6"/>
        <w:spacing w:before="0" w:beforeAutospacing="0" w:after="0" w:afterAutospacing="0"/>
        <w:ind w:firstLine="360"/>
        <w:jc w:val="both"/>
        <w:rPr>
          <w:rFonts w:ascii="Times New Roman" w:hAnsi="Times New Roman" w:cs="Times New Roman"/>
          <w:sz w:val="21"/>
          <w:szCs w:val="21"/>
        </w:rPr>
      </w:pPr>
      <w:r>
        <w:rPr>
          <w:rFonts w:cs="Times New Roman" w:hint="eastAsia"/>
          <w:sz w:val="18"/>
          <w:szCs w:val="18"/>
        </w:rPr>
        <w:t>5</w:t>
      </w:r>
      <w:r>
        <w:rPr>
          <w:rFonts w:cs="Times New Roman" w:hint="eastAsia"/>
          <w:sz w:val="18"/>
          <w:szCs w:val="18"/>
        </w:rPr>
        <w:t>、创新</w:t>
      </w:r>
      <w:r>
        <w:rPr>
          <w:rFonts w:cs="Times New Roman" w:hint="eastAsia"/>
          <w:sz w:val="18"/>
          <w:szCs w:val="18"/>
        </w:rPr>
        <w:t>产品。坚定执行公司纱线主业三纱合一的产品战略，围绕功能科技、时尚快反、可持续发展、高质量发展四条主线，做全品类的供应商。</w:t>
      </w:r>
    </w:p>
    <w:p w:rsidR="00A067C6" w:rsidRDefault="005C4966">
      <w:r>
        <w:br w:type="page"/>
      </w:r>
    </w:p>
    <w:p w:rsidR="00A067C6" w:rsidRDefault="005C4966">
      <w:pPr>
        <w:pStyle w:val="headingh1"/>
        <w:spacing w:before="340" w:after="330" w:line="773" w:lineRule="exact"/>
        <w:jc w:val="center"/>
        <w:rPr>
          <w:rFonts w:ascii="宋体" w:eastAsia="宋体" w:hAnsi="宋体" w:cs="宋体"/>
          <w:b/>
          <w:bCs/>
          <w:sz w:val="32"/>
          <w:szCs w:val="32"/>
        </w:rPr>
      </w:pPr>
      <w:bookmarkStart w:id="53" w:name="_Toc988941"/>
      <w:r>
        <w:rPr>
          <w:rFonts w:ascii="宋体" w:eastAsia="宋体" w:hAnsi="宋体" w:cs="宋体"/>
          <w:b/>
          <w:bCs/>
          <w:sz w:val="32"/>
          <w:szCs w:val="32"/>
        </w:rPr>
        <w:t>第四节</w:t>
      </w:r>
      <w:r>
        <w:rPr>
          <w:rFonts w:ascii="宋体" w:eastAsia="宋体" w:hAnsi="宋体" w:cs="宋体"/>
          <w:b/>
          <w:bCs/>
          <w:sz w:val="32"/>
          <w:szCs w:val="32"/>
        </w:rPr>
        <w:t xml:space="preserve"> </w:t>
      </w:r>
      <w:r>
        <w:rPr>
          <w:rFonts w:ascii="宋体" w:eastAsia="宋体" w:hAnsi="宋体" w:cs="宋体"/>
          <w:b/>
          <w:bCs/>
          <w:sz w:val="32"/>
          <w:szCs w:val="32"/>
        </w:rPr>
        <w:t>公司治理</w:t>
      </w:r>
      <w:bookmarkEnd w:id="53"/>
    </w:p>
    <w:p w:rsidR="00A067C6" w:rsidRDefault="005C4966">
      <w:pPr>
        <w:pStyle w:val="2"/>
        <w:spacing w:before="300" w:after="300" w:line="320" w:lineRule="exact"/>
        <w:rPr>
          <w:rFonts w:ascii="宋体" w:eastAsia="宋体" w:hAnsi="宋体" w:cs="宋体"/>
          <w:b/>
          <w:bCs/>
          <w:sz w:val="24"/>
          <w:szCs w:val="24"/>
        </w:rPr>
      </w:pPr>
      <w:bookmarkStart w:id="54" w:name="_Toc988942"/>
      <w:r>
        <w:rPr>
          <w:rFonts w:ascii="宋体" w:eastAsia="宋体" w:hAnsi="宋体" w:cs="宋体"/>
          <w:b/>
          <w:bCs/>
          <w:sz w:val="24"/>
          <w:szCs w:val="24"/>
        </w:rPr>
        <w:t>一、报告期内召开的年度股东大会和临时股东大会的有关情况</w:t>
      </w:r>
      <w:bookmarkEnd w:id="54"/>
    </w:p>
    <w:p w:rsidR="00A067C6" w:rsidRDefault="005C4966">
      <w:pPr>
        <w:pStyle w:val="3"/>
        <w:spacing w:line="280" w:lineRule="exact"/>
        <w:jc w:val="left"/>
        <w:rPr>
          <w:rFonts w:ascii="宋体" w:hAnsi="宋体" w:cs="宋体"/>
          <w:b/>
          <w:bCs/>
        </w:rPr>
      </w:pPr>
      <w:bookmarkStart w:id="55" w:name="_Toc988943"/>
      <w:r>
        <w:rPr>
          <w:rFonts w:ascii="宋体" w:hAnsi="宋体" w:cs="宋体"/>
          <w:b/>
          <w:bCs/>
        </w:rPr>
        <w:t>1</w:t>
      </w:r>
      <w:r>
        <w:rPr>
          <w:rFonts w:ascii="宋体" w:hAnsi="宋体" w:cs="宋体"/>
          <w:b/>
          <w:bCs/>
        </w:rPr>
        <w:t>、本报告期股东大会情况</w:t>
      </w:r>
      <w:bookmarkEnd w:id="55"/>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69"/>
        <w:gridCol w:w="1269"/>
        <w:gridCol w:w="1269"/>
        <w:gridCol w:w="1269"/>
        <w:gridCol w:w="1269"/>
        <w:gridCol w:w="3294"/>
      </w:tblGrid>
      <w:tr w:rsidR="00A067C6">
        <w:trPr>
          <w:trHeight w:val="240"/>
        </w:trPr>
        <w:tc>
          <w:tcPr>
            <w:tcW w:w="126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会议届次</w:t>
            </w:r>
          </w:p>
        </w:tc>
        <w:tc>
          <w:tcPr>
            <w:tcW w:w="126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会议类型</w:t>
            </w:r>
          </w:p>
        </w:tc>
        <w:tc>
          <w:tcPr>
            <w:tcW w:w="126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投资者参与比例</w:t>
            </w:r>
          </w:p>
        </w:tc>
        <w:tc>
          <w:tcPr>
            <w:tcW w:w="126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召开日期</w:t>
            </w:r>
          </w:p>
        </w:tc>
        <w:tc>
          <w:tcPr>
            <w:tcW w:w="126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披露日期</w:t>
            </w:r>
          </w:p>
        </w:tc>
        <w:tc>
          <w:tcPr>
            <w:tcW w:w="329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会议决议</w:t>
            </w:r>
          </w:p>
        </w:tc>
      </w:tr>
      <w:tr w:rsidR="00A067C6">
        <w:trPr>
          <w:trHeight w:val="240"/>
        </w:trPr>
        <w:tc>
          <w:tcPr>
            <w:tcW w:w="126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2022</w:t>
            </w:r>
            <w:r>
              <w:rPr>
                <w:rFonts w:ascii="宋体" w:eastAsia="宋体" w:hAnsi="宋体" w:cs="宋体"/>
                <w:sz w:val="18"/>
                <w:szCs w:val="18"/>
              </w:rPr>
              <w:t>年年度股东大会</w:t>
            </w:r>
          </w:p>
        </w:tc>
        <w:tc>
          <w:tcPr>
            <w:tcW w:w="126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年度股东大会</w:t>
            </w:r>
          </w:p>
        </w:tc>
        <w:tc>
          <w:tcPr>
            <w:tcW w:w="126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42.49%</w:t>
            </w:r>
          </w:p>
        </w:tc>
        <w:tc>
          <w:tcPr>
            <w:tcW w:w="126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05</w:t>
            </w:r>
            <w:r>
              <w:rPr>
                <w:rFonts w:ascii="宋体" w:eastAsia="宋体" w:hAnsi="宋体" w:cs="宋体"/>
                <w:sz w:val="18"/>
                <w:szCs w:val="18"/>
              </w:rPr>
              <w:t>月</w:t>
            </w:r>
            <w:r>
              <w:rPr>
                <w:rFonts w:ascii="宋体" w:eastAsia="宋体" w:hAnsi="宋体" w:cs="宋体"/>
                <w:sz w:val="18"/>
                <w:szCs w:val="18"/>
              </w:rPr>
              <w:t>19</w:t>
            </w:r>
            <w:r>
              <w:rPr>
                <w:rFonts w:ascii="宋体" w:eastAsia="宋体" w:hAnsi="宋体" w:cs="宋体"/>
                <w:sz w:val="18"/>
                <w:szCs w:val="18"/>
              </w:rPr>
              <w:t>日</w:t>
            </w:r>
          </w:p>
        </w:tc>
        <w:tc>
          <w:tcPr>
            <w:tcW w:w="126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05</w:t>
            </w:r>
            <w:r>
              <w:rPr>
                <w:rFonts w:ascii="宋体" w:eastAsia="宋体" w:hAnsi="宋体" w:cs="宋体"/>
                <w:sz w:val="18"/>
                <w:szCs w:val="18"/>
              </w:rPr>
              <w:t>月</w:t>
            </w:r>
            <w:r>
              <w:rPr>
                <w:rFonts w:ascii="宋体" w:eastAsia="宋体" w:hAnsi="宋体" w:cs="宋体"/>
                <w:sz w:val="18"/>
                <w:szCs w:val="18"/>
              </w:rPr>
              <w:t>20</w:t>
            </w:r>
            <w:r>
              <w:rPr>
                <w:rFonts w:ascii="宋体" w:eastAsia="宋体" w:hAnsi="宋体" w:cs="宋体"/>
                <w:sz w:val="18"/>
                <w:szCs w:val="18"/>
              </w:rPr>
              <w:t>日</w:t>
            </w:r>
          </w:p>
        </w:tc>
        <w:tc>
          <w:tcPr>
            <w:tcW w:w="329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详见公司于</w:t>
            </w: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5</w:t>
            </w:r>
            <w:r>
              <w:rPr>
                <w:rFonts w:ascii="宋体" w:eastAsia="宋体" w:hAnsi="宋体" w:cs="宋体"/>
                <w:sz w:val="18"/>
                <w:szCs w:val="18"/>
              </w:rPr>
              <w:t>月</w:t>
            </w:r>
            <w:r>
              <w:rPr>
                <w:rFonts w:ascii="宋体" w:eastAsia="宋体" w:hAnsi="宋体" w:cs="宋体"/>
                <w:sz w:val="18"/>
                <w:szCs w:val="18"/>
              </w:rPr>
              <w:t>20</w:t>
            </w:r>
            <w:r>
              <w:rPr>
                <w:rFonts w:ascii="宋体" w:eastAsia="宋体" w:hAnsi="宋体" w:cs="宋体"/>
                <w:sz w:val="18"/>
                <w:szCs w:val="18"/>
              </w:rPr>
              <w:t>日刊登在指定信息披露媒体《证券时报》、《中国证券报》和巨潮资讯网（</w:t>
            </w:r>
            <w:r>
              <w:rPr>
                <w:rFonts w:ascii="宋体" w:eastAsia="宋体" w:hAnsi="宋体" w:cs="宋体"/>
                <w:sz w:val="18"/>
                <w:szCs w:val="18"/>
              </w:rPr>
              <w:t>http://www.cninfo.com.cn</w:t>
            </w:r>
            <w:r>
              <w:rPr>
                <w:rFonts w:ascii="宋体" w:eastAsia="宋体" w:hAnsi="宋体" w:cs="宋体"/>
                <w:sz w:val="18"/>
                <w:szCs w:val="18"/>
              </w:rPr>
              <w:t>）的</w:t>
            </w:r>
            <w:r>
              <w:rPr>
                <w:rFonts w:ascii="宋体" w:eastAsia="宋体" w:hAnsi="宋体" w:cs="宋体"/>
                <w:sz w:val="18"/>
                <w:szCs w:val="18"/>
              </w:rPr>
              <w:t>2023-29</w:t>
            </w:r>
            <w:r>
              <w:rPr>
                <w:rFonts w:ascii="宋体" w:eastAsia="宋体" w:hAnsi="宋体" w:cs="宋体"/>
                <w:sz w:val="18"/>
                <w:szCs w:val="18"/>
              </w:rPr>
              <w:t>号公告。</w:t>
            </w:r>
          </w:p>
        </w:tc>
      </w:tr>
    </w:tbl>
    <w:p w:rsidR="00A067C6" w:rsidRDefault="005C4966">
      <w:pPr>
        <w:pStyle w:val="3"/>
        <w:spacing w:line="280" w:lineRule="exact"/>
        <w:jc w:val="left"/>
        <w:rPr>
          <w:rFonts w:ascii="宋体" w:hAnsi="宋体" w:cs="宋体"/>
          <w:b/>
          <w:bCs/>
        </w:rPr>
      </w:pPr>
      <w:bookmarkStart w:id="56" w:name="_Toc988944"/>
      <w:r>
        <w:rPr>
          <w:rFonts w:ascii="宋体" w:hAnsi="宋体" w:cs="宋体"/>
          <w:b/>
          <w:bCs/>
        </w:rPr>
        <w:t>2</w:t>
      </w:r>
      <w:r>
        <w:rPr>
          <w:rFonts w:ascii="宋体" w:hAnsi="宋体" w:cs="宋体"/>
          <w:b/>
          <w:bCs/>
        </w:rPr>
        <w:t>、表决权恢复的优先股股东请求召开临时股东大会</w:t>
      </w:r>
      <w:bookmarkEnd w:id="56"/>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pStyle w:val="2"/>
        <w:spacing w:before="300" w:after="300" w:line="320" w:lineRule="exact"/>
        <w:rPr>
          <w:rFonts w:ascii="宋体" w:eastAsia="宋体" w:hAnsi="宋体" w:cs="宋体"/>
          <w:b/>
          <w:bCs/>
          <w:sz w:val="24"/>
          <w:szCs w:val="24"/>
        </w:rPr>
      </w:pPr>
      <w:bookmarkStart w:id="57" w:name="_Toc988945"/>
      <w:r>
        <w:rPr>
          <w:rFonts w:ascii="宋体" w:eastAsia="宋体" w:hAnsi="宋体" w:cs="宋体"/>
          <w:b/>
          <w:bCs/>
          <w:sz w:val="24"/>
          <w:szCs w:val="24"/>
        </w:rPr>
        <w:t>二、公司董事、监事、高级管理人员变动情况</w:t>
      </w:r>
      <w:bookmarkEnd w:id="57"/>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公司董事、监事和高级管理人员在报告期没有发生变动，具体可参见</w:t>
      </w:r>
      <w:r>
        <w:rPr>
          <w:rFonts w:ascii="宋体" w:eastAsia="宋体" w:hAnsi="宋体" w:cs="宋体"/>
          <w:sz w:val="18"/>
          <w:szCs w:val="18"/>
        </w:rPr>
        <w:t>2022</w:t>
      </w:r>
      <w:r>
        <w:rPr>
          <w:rFonts w:ascii="宋体" w:eastAsia="宋体" w:hAnsi="宋体" w:cs="宋体"/>
          <w:sz w:val="18"/>
          <w:szCs w:val="18"/>
        </w:rPr>
        <w:t>年年报。</w:t>
      </w:r>
    </w:p>
    <w:p w:rsidR="00A067C6" w:rsidRDefault="005C4966">
      <w:pPr>
        <w:pStyle w:val="2"/>
        <w:spacing w:before="300" w:after="300" w:line="320" w:lineRule="exact"/>
        <w:rPr>
          <w:rFonts w:ascii="宋体" w:eastAsia="宋体" w:hAnsi="宋体" w:cs="宋体"/>
          <w:b/>
          <w:bCs/>
          <w:sz w:val="24"/>
          <w:szCs w:val="24"/>
        </w:rPr>
      </w:pPr>
      <w:bookmarkStart w:id="58" w:name="_Toc988946"/>
      <w:r>
        <w:rPr>
          <w:rFonts w:ascii="宋体" w:eastAsia="宋体" w:hAnsi="宋体" w:cs="宋体"/>
          <w:b/>
          <w:bCs/>
          <w:sz w:val="24"/>
          <w:szCs w:val="24"/>
        </w:rPr>
        <w:t>三、本报告期利润分配及资本公积金转增股本情况</w:t>
      </w:r>
      <w:bookmarkEnd w:id="58"/>
    </w:p>
    <w:p w:rsidR="00A067C6" w:rsidRDefault="005C4966">
      <w:pPr>
        <w:spacing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公司计划半年度不派发现金红利，不送红股，不以公积金转增股本。</w:t>
      </w:r>
    </w:p>
    <w:p w:rsidR="00A067C6" w:rsidRDefault="005C4966">
      <w:pPr>
        <w:pStyle w:val="2"/>
        <w:spacing w:before="300" w:after="300" w:line="320" w:lineRule="exact"/>
        <w:rPr>
          <w:rFonts w:ascii="宋体" w:eastAsia="宋体" w:hAnsi="宋体" w:cs="宋体"/>
          <w:b/>
          <w:bCs/>
          <w:sz w:val="24"/>
          <w:szCs w:val="24"/>
        </w:rPr>
      </w:pPr>
      <w:bookmarkStart w:id="59" w:name="_Toc988947"/>
      <w:r>
        <w:rPr>
          <w:rFonts w:ascii="宋体" w:eastAsia="宋体" w:hAnsi="宋体" w:cs="宋体"/>
          <w:b/>
          <w:bCs/>
          <w:sz w:val="24"/>
          <w:szCs w:val="24"/>
        </w:rPr>
        <w:t>四、公司股</w:t>
      </w:r>
      <w:r>
        <w:rPr>
          <w:rFonts w:ascii="宋体" w:eastAsia="宋体" w:hAnsi="宋体" w:cs="宋体"/>
          <w:b/>
          <w:bCs/>
          <w:sz w:val="24"/>
          <w:szCs w:val="24"/>
        </w:rPr>
        <w:t>权激励计划、员工持股计划或其他员工激励措施的实施情况</w:t>
      </w:r>
      <w:bookmarkEnd w:id="59"/>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t>不适用</w:t>
      </w:r>
    </w:p>
    <w:p w:rsidR="00A067C6" w:rsidRDefault="005C4966">
      <w:pPr>
        <w:pStyle w:val="3"/>
        <w:spacing w:line="280" w:lineRule="exact"/>
        <w:jc w:val="left"/>
        <w:rPr>
          <w:rFonts w:ascii="宋体" w:hAnsi="宋体" w:cs="宋体"/>
          <w:b/>
          <w:bCs/>
        </w:rPr>
      </w:pPr>
      <w:bookmarkStart w:id="60" w:name="_Toc988948"/>
      <w:r>
        <w:rPr>
          <w:rFonts w:ascii="宋体" w:hAnsi="宋体" w:cs="宋体"/>
          <w:b/>
          <w:bCs/>
        </w:rPr>
        <w:t>1</w:t>
      </w:r>
      <w:r>
        <w:rPr>
          <w:rFonts w:ascii="宋体" w:hAnsi="宋体" w:cs="宋体"/>
          <w:b/>
          <w:bCs/>
        </w:rPr>
        <w:t>、股权激励</w:t>
      </w:r>
      <w:bookmarkEnd w:id="60"/>
    </w:p>
    <w:p w:rsidR="00A067C6" w:rsidRDefault="005C4966">
      <w:pPr>
        <w:pStyle w:val="a6"/>
        <w:spacing w:before="0" w:beforeAutospacing="0" w:after="0" w:afterAutospacing="0"/>
        <w:ind w:firstLine="360"/>
        <w:jc w:val="both"/>
        <w:rPr>
          <w:rFonts w:asciiTheme="minorEastAsia" w:eastAsiaTheme="minorEastAsia" w:hAnsiTheme="minorEastAsia"/>
        </w:rPr>
      </w:pPr>
      <w:r>
        <w:rPr>
          <w:rFonts w:asciiTheme="minorEastAsia" w:eastAsiaTheme="minorEastAsia" w:hAnsiTheme="minorEastAsia" w:hint="eastAsia"/>
          <w:color w:val="000000"/>
          <w:sz w:val="18"/>
          <w:szCs w:val="18"/>
        </w:rPr>
        <w:t>1</w:t>
      </w:r>
      <w:r>
        <w:rPr>
          <w:rFonts w:asciiTheme="minorEastAsia" w:eastAsiaTheme="minorEastAsia" w:hAnsiTheme="minorEastAsia" w:hint="eastAsia"/>
          <w:color w:val="000000"/>
          <w:sz w:val="18"/>
          <w:szCs w:val="18"/>
        </w:rPr>
        <w:t>、公司于</w:t>
      </w:r>
      <w:r>
        <w:rPr>
          <w:rFonts w:asciiTheme="minorEastAsia" w:eastAsiaTheme="minorEastAsia" w:hAnsiTheme="minorEastAsia" w:hint="eastAsia"/>
          <w:sz w:val="18"/>
          <w:szCs w:val="18"/>
        </w:rPr>
        <w:t>2021</w:t>
      </w:r>
      <w:r>
        <w:rPr>
          <w:rFonts w:asciiTheme="minorEastAsia" w:eastAsiaTheme="minorEastAsia" w:hAnsiTheme="minorEastAsia" w:hint="eastAsia"/>
          <w:sz w:val="18"/>
          <w:szCs w:val="18"/>
        </w:rPr>
        <w:t>年</w:t>
      </w:r>
      <w:r>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月</w:t>
      </w:r>
      <w:r>
        <w:rPr>
          <w:rFonts w:asciiTheme="minorEastAsia" w:eastAsiaTheme="minorEastAsia" w:hAnsiTheme="minorEastAsia" w:hint="eastAsia"/>
          <w:sz w:val="18"/>
          <w:szCs w:val="18"/>
        </w:rPr>
        <w:t>12</w:t>
      </w:r>
      <w:r>
        <w:rPr>
          <w:rFonts w:asciiTheme="minorEastAsia" w:eastAsiaTheme="minorEastAsia" w:hAnsiTheme="minorEastAsia" w:hint="eastAsia"/>
          <w:sz w:val="18"/>
          <w:szCs w:val="18"/>
        </w:rPr>
        <w:t>日召开第七届董事会</w:t>
      </w:r>
      <w:r>
        <w:rPr>
          <w:rFonts w:asciiTheme="minorEastAsia" w:eastAsiaTheme="minorEastAsia" w:hAnsiTheme="minorEastAsia" w:hint="eastAsia"/>
          <w:sz w:val="18"/>
          <w:szCs w:val="18"/>
        </w:rPr>
        <w:t>2021</w:t>
      </w:r>
      <w:r>
        <w:rPr>
          <w:rFonts w:asciiTheme="minorEastAsia" w:eastAsiaTheme="minorEastAsia" w:hAnsiTheme="minorEastAsia" w:hint="eastAsia"/>
          <w:sz w:val="18"/>
          <w:szCs w:val="18"/>
        </w:rPr>
        <w:t>年第一次临时会议，第七届监事会第十六次会议，审议通过了《关于公司</w:t>
      </w:r>
      <w:r>
        <w:rPr>
          <w:rFonts w:asciiTheme="minorEastAsia" w:eastAsiaTheme="minorEastAsia" w:hAnsiTheme="minorEastAsia" w:hint="eastAsia"/>
          <w:sz w:val="18"/>
          <w:szCs w:val="18"/>
        </w:rPr>
        <w:t>2021</w:t>
      </w:r>
      <w:r>
        <w:rPr>
          <w:rFonts w:asciiTheme="minorEastAsia" w:eastAsiaTheme="minorEastAsia" w:hAnsiTheme="minorEastAsia" w:hint="eastAsia"/>
          <w:sz w:val="18"/>
          <w:szCs w:val="18"/>
        </w:rPr>
        <w:t>年股权激励计划（草案）及其摘要的议案》、《关于公司</w:t>
      </w:r>
      <w:r>
        <w:rPr>
          <w:rFonts w:asciiTheme="minorEastAsia" w:eastAsiaTheme="minorEastAsia" w:hAnsiTheme="minorEastAsia" w:hint="eastAsia"/>
          <w:sz w:val="18"/>
          <w:szCs w:val="18"/>
        </w:rPr>
        <w:t>2021</w:t>
      </w:r>
      <w:r>
        <w:rPr>
          <w:rFonts w:asciiTheme="minorEastAsia" w:eastAsiaTheme="minorEastAsia" w:hAnsiTheme="minorEastAsia" w:hint="eastAsia"/>
          <w:sz w:val="18"/>
          <w:szCs w:val="18"/>
        </w:rPr>
        <w:t>年股权激励计划实施考核管理办法的议案》、《关于提请股东大会授权董事会办理公司</w:t>
      </w:r>
      <w:r>
        <w:rPr>
          <w:rFonts w:asciiTheme="minorEastAsia" w:eastAsiaTheme="minorEastAsia" w:hAnsiTheme="minorEastAsia" w:hint="eastAsia"/>
          <w:sz w:val="18"/>
          <w:szCs w:val="18"/>
        </w:rPr>
        <w:t>2021</w:t>
      </w:r>
      <w:r>
        <w:rPr>
          <w:rFonts w:asciiTheme="minorEastAsia" w:eastAsiaTheme="minorEastAsia" w:hAnsiTheme="minorEastAsia" w:hint="eastAsia"/>
          <w:sz w:val="18"/>
          <w:szCs w:val="18"/>
        </w:rPr>
        <w:t>年股权激励计划相关事宜的议案》，公司监事会及独立董事已对本次股权激励计划发表的相关意见，北京市君泽君（上海）律师事务所就公司本次股权激励事项发表了法律意见书，详情可参见公司于</w:t>
      </w:r>
      <w:r>
        <w:rPr>
          <w:rFonts w:asciiTheme="minorEastAsia" w:eastAsiaTheme="minorEastAsia" w:hAnsiTheme="minorEastAsia" w:hint="eastAsia"/>
          <w:sz w:val="18"/>
          <w:szCs w:val="18"/>
        </w:rPr>
        <w:t>2021</w:t>
      </w:r>
      <w:r>
        <w:rPr>
          <w:rFonts w:asciiTheme="minorEastAsia" w:eastAsiaTheme="minorEastAsia" w:hAnsiTheme="minorEastAsia" w:hint="eastAsia"/>
          <w:sz w:val="18"/>
          <w:szCs w:val="18"/>
        </w:rPr>
        <w:t>年</w:t>
      </w:r>
      <w:r>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月</w:t>
      </w:r>
      <w:r>
        <w:rPr>
          <w:rFonts w:asciiTheme="minorEastAsia" w:eastAsiaTheme="minorEastAsia" w:hAnsiTheme="minorEastAsia" w:hint="eastAsia"/>
          <w:sz w:val="18"/>
          <w:szCs w:val="18"/>
        </w:rPr>
        <w:t>13</w:t>
      </w:r>
      <w:r>
        <w:rPr>
          <w:rFonts w:asciiTheme="minorEastAsia" w:eastAsiaTheme="minorEastAsia" w:hAnsiTheme="minorEastAsia" w:hint="eastAsia"/>
          <w:sz w:val="18"/>
          <w:szCs w:val="18"/>
        </w:rPr>
        <w:t>日公告在《证券时报》，《中国证券报》及巨潮资讯网</w:t>
      </w:r>
      <w:r>
        <w:rPr>
          <w:rFonts w:asciiTheme="minorEastAsia" w:eastAsiaTheme="minorEastAsia" w:hAnsiTheme="minorEastAsia" w:hint="eastAsia"/>
          <w:sz w:val="18"/>
          <w:szCs w:val="18"/>
        </w:rPr>
        <w:t> </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http:</w:t>
      </w:r>
      <w:r>
        <w:rPr>
          <w:rFonts w:asciiTheme="minorEastAsia" w:eastAsiaTheme="minorEastAsia" w:hAnsiTheme="minorEastAsia" w:hint="eastAsia"/>
          <w:sz w:val="18"/>
          <w:szCs w:val="18"/>
        </w:rPr>
        <w:t>//www.cninfo.com.cn</w:t>
      </w:r>
      <w:r>
        <w:rPr>
          <w:rFonts w:asciiTheme="minorEastAsia" w:eastAsiaTheme="minorEastAsia" w:hAnsiTheme="minorEastAsia" w:hint="eastAsia"/>
          <w:sz w:val="18"/>
          <w:szCs w:val="18"/>
        </w:rPr>
        <w:t>）上的相关公告。</w:t>
      </w:r>
    </w:p>
    <w:p w:rsidR="00A067C6" w:rsidRDefault="005C4966">
      <w:pPr>
        <w:pStyle w:val="a6"/>
        <w:spacing w:before="0" w:beforeAutospacing="0" w:after="0" w:afterAutospacing="0"/>
        <w:ind w:firstLine="360"/>
        <w:jc w:val="both"/>
        <w:rPr>
          <w:rFonts w:asciiTheme="minorEastAsia" w:eastAsiaTheme="minorEastAsia" w:hAnsiTheme="minorEastAsia"/>
        </w:rPr>
      </w:pPr>
      <w:r>
        <w:rPr>
          <w:rFonts w:asciiTheme="minorEastAsia" w:eastAsiaTheme="minorEastAsia" w:hAnsiTheme="minorEastAsia" w:hint="eastAsia"/>
          <w:color w:val="000000"/>
          <w:sz w:val="18"/>
          <w:szCs w:val="18"/>
        </w:rPr>
        <w:t>2</w:t>
      </w:r>
      <w:r>
        <w:rPr>
          <w:rFonts w:asciiTheme="minorEastAsia" w:eastAsiaTheme="minorEastAsia" w:hAnsiTheme="minorEastAsia" w:hint="eastAsia"/>
          <w:color w:val="000000"/>
          <w:sz w:val="18"/>
          <w:szCs w:val="18"/>
        </w:rPr>
        <w:t>、公司于</w:t>
      </w:r>
      <w:r>
        <w:rPr>
          <w:rFonts w:asciiTheme="minorEastAsia" w:eastAsiaTheme="minorEastAsia" w:hAnsiTheme="minorEastAsia" w:hint="eastAsia"/>
          <w:sz w:val="18"/>
          <w:szCs w:val="18"/>
        </w:rPr>
        <w:t>2021</w:t>
      </w:r>
      <w:r>
        <w:rPr>
          <w:rFonts w:asciiTheme="minorEastAsia" w:eastAsiaTheme="minorEastAsia" w:hAnsiTheme="minorEastAsia" w:hint="eastAsia"/>
          <w:sz w:val="18"/>
          <w:szCs w:val="18"/>
        </w:rPr>
        <w:t>年</w:t>
      </w:r>
      <w:r>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月</w:t>
      </w:r>
      <w:r>
        <w:rPr>
          <w:rFonts w:asciiTheme="minorEastAsia" w:eastAsiaTheme="minorEastAsia" w:hAnsiTheme="minorEastAsia" w:hint="eastAsia"/>
          <w:sz w:val="18"/>
          <w:szCs w:val="18"/>
        </w:rPr>
        <w:t>23</w:t>
      </w:r>
      <w:r>
        <w:rPr>
          <w:rFonts w:asciiTheme="minorEastAsia" w:eastAsiaTheme="minorEastAsia" w:hAnsiTheme="minorEastAsia" w:hint="eastAsia"/>
          <w:sz w:val="18"/>
          <w:szCs w:val="18"/>
        </w:rPr>
        <w:t>日在《证券时报》，《中国证券报》及巨潮资讯网</w:t>
      </w:r>
      <w:r>
        <w:rPr>
          <w:rFonts w:asciiTheme="minorEastAsia" w:eastAsiaTheme="minorEastAsia" w:hAnsiTheme="minorEastAsia" w:hint="eastAsia"/>
          <w:sz w:val="18"/>
          <w:szCs w:val="18"/>
        </w:rPr>
        <w:t> </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http://www.cninfo.com.cn</w:t>
      </w:r>
      <w:r>
        <w:rPr>
          <w:rFonts w:asciiTheme="minorEastAsia" w:eastAsiaTheme="minorEastAsia" w:hAnsiTheme="minorEastAsia" w:hint="eastAsia"/>
          <w:sz w:val="18"/>
          <w:szCs w:val="18"/>
        </w:rPr>
        <w:t>）公告了《监事会关于</w:t>
      </w:r>
      <w:r>
        <w:rPr>
          <w:rFonts w:asciiTheme="minorEastAsia" w:eastAsiaTheme="minorEastAsia" w:hAnsiTheme="minorEastAsia" w:hint="eastAsia"/>
          <w:sz w:val="18"/>
          <w:szCs w:val="18"/>
        </w:rPr>
        <w:t>2021</w:t>
      </w:r>
      <w:r>
        <w:rPr>
          <w:rFonts w:asciiTheme="minorEastAsia" w:eastAsiaTheme="minorEastAsia" w:hAnsiTheme="minorEastAsia" w:hint="eastAsia"/>
          <w:sz w:val="18"/>
          <w:szCs w:val="18"/>
        </w:rPr>
        <w:t>年股票期权激励对象名单的公示情况说明及核查意见》（</w:t>
      </w:r>
      <w:r>
        <w:rPr>
          <w:rFonts w:asciiTheme="minorEastAsia" w:eastAsiaTheme="minorEastAsia" w:hAnsiTheme="minorEastAsia" w:hint="eastAsia"/>
          <w:sz w:val="18"/>
          <w:szCs w:val="18"/>
        </w:rPr>
        <w:t>2021-06</w:t>
      </w:r>
      <w:r>
        <w:rPr>
          <w:rFonts w:asciiTheme="minorEastAsia" w:eastAsiaTheme="minorEastAsia" w:hAnsiTheme="minorEastAsia" w:hint="eastAsia"/>
          <w:sz w:val="18"/>
          <w:szCs w:val="18"/>
        </w:rPr>
        <w:t>）。公司对本次股权激励计划的激励对象名单进行了公示，公示期为</w:t>
      </w:r>
      <w:r>
        <w:rPr>
          <w:rFonts w:asciiTheme="minorEastAsia" w:eastAsiaTheme="minorEastAsia" w:hAnsiTheme="minorEastAsia" w:hint="eastAsia"/>
          <w:sz w:val="18"/>
          <w:szCs w:val="18"/>
        </w:rPr>
        <w:t>2021</w:t>
      </w:r>
      <w:r>
        <w:rPr>
          <w:rFonts w:asciiTheme="minorEastAsia" w:eastAsiaTheme="minorEastAsia" w:hAnsiTheme="minorEastAsia" w:hint="eastAsia"/>
          <w:sz w:val="18"/>
          <w:szCs w:val="18"/>
        </w:rPr>
        <w:t>年</w:t>
      </w:r>
      <w:r>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月</w:t>
      </w:r>
      <w:r>
        <w:rPr>
          <w:rFonts w:asciiTheme="minorEastAsia" w:eastAsiaTheme="minorEastAsia" w:hAnsiTheme="minorEastAsia" w:hint="eastAsia"/>
          <w:sz w:val="18"/>
          <w:szCs w:val="18"/>
        </w:rPr>
        <w:t>12</w:t>
      </w:r>
      <w:r>
        <w:rPr>
          <w:rFonts w:asciiTheme="minorEastAsia" w:eastAsiaTheme="minorEastAsia" w:hAnsiTheme="minorEastAsia" w:hint="eastAsia"/>
          <w:sz w:val="18"/>
          <w:szCs w:val="18"/>
        </w:rPr>
        <w:t>日至</w:t>
      </w:r>
      <w:r>
        <w:rPr>
          <w:rFonts w:asciiTheme="minorEastAsia" w:eastAsiaTheme="minorEastAsia" w:hAnsiTheme="minorEastAsia" w:hint="eastAsia"/>
          <w:sz w:val="18"/>
          <w:szCs w:val="18"/>
        </w:rPr>
        <w:t>2021</w:t>
      </w:r>
      <w:r>
        <w:rPr>
          <w:rFonts w:asciiTheme="minorEastAsia" w:eastAsiaTheme="minorEastAsia" w:hAnsiTheme="minorEastAsia" w:hint="eastAsia"/>
          <w:sz w:val="18"/>
          <w:szCs w:val="18"/>
        </w:rPr>
        <w:t>年</w:t>
      </w:r>
      <w:r>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月</w:t>
      </w:r>
      <w:r>
        <w:rPr>
          <w:rFonts w:asciiTheme="minorEastAsia" w:eastAsiaTheme="minorEastAsia" w:hAnsiTheme="minorEastAsia" w:hint="eastAsia"/>
          <w:sz w:val="18"/>
          <w:szCs w:val="18"/>
        </w:rPr>
        <w:t>22</w:t>
      </w:r>
      <w:r>
        <w:rPr>
          <w:rFonts w:asciiTheme="minorEastAsia" w:eastAsiaTheme="minorEastAsia" w:hAnsiTheme="minorEastAsia" w:hint="eastAsia"/>
          <w:sz w:val="18"/>
          <w:szCs w:val="18"/>
        </w:rPr>
        <w:t>日，公示期间公司未收到员工对本激励计划激励对象提出的异议。</w:t>
      </w:r>
    </w:p>
    <w:p w:rsidR="00A067C6" w:rsidRDefault="005C4966">
      <w:pPr>
        <w:pStyle w:val="a6"/>
        <w:spacing w:before="0" w:beforeAutospacing="0" w:after="0" w:afterAutospacing="0"/>
        <w:ind w:firstLine="360"/>
        <w:jc w:val="both"/>
        <w:rPr>
          <w:rFonts w:asciiTheme="minorEastAsia" w:eastAsiaTheme="minorEastAsia" w:hAnsiTheme="minorEastAsia"/>
        </w:rPr>
      </w:pPr>
      <w:r>
        <w:rPr>
          <w:rFonts w:asciiTheme="minorEastAsia" w:eastAsiaTheme="minorEastAsia" w:hAnsiTheme="minorEastAsia" w:hint="eastAsia"/>
          <w:color w:val="000000"/>
          <w:sz w:val="18"/>
          <w:szCs w:val="18"/>
        </w:rPr>
        <w:t>3</w:t>
      </w:r>
      <w:r>
        <w:rPr>
          <w:rFonts w:asciiTheme="minorEastAsia" w:eastAsiaTheme="minorEastAsia" w:hAnsiTheme="minorEastAsia" w:hint="eastAsia"/>
          <w:color w:val="000000"/>
          <w:sz w:val="18"/>
          <w:szCs w:val="18"/>
        </w:rPr>
        <w:t>、公司于</w:t>
      </w:r>
      <w:r>
        <w:rPr>
          <w:rFonts w:asciiTheme="minorEastAsia" w:eastAsiaTheme="minorEastAsia" w:hAnsiTheme="minorEastAsia" w:hint="eastAsia"/>
          <w:sz w:val="18"/>
          <w:szCs w:val="18"/>
        </w:rPr>
        <w:t>2021</w:t>
      </w:r>
      <w:r>
        <w:rPr>
          <w:rFonts w:asciiTheme="minorEastAsia" w:eastAsiaTheme="minorEastAsia" w:hAnsiTheme="minorEastAsia" w:hint="eastAsia"/>
          <w:sz w:val="18"/>
          <w:szCs w:val="18"/>
        </w:rPr>
        <w:t>年</w:t>
      </w:r>
      <w:r>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月</w:t>
      </w:r>
      <w:r>
        <w:rPr>
          <w:rFonts w:asciiTheme="minorEastAsia" w:eastAsiaTheme="minorEastAsia" w:hAnsiTheme="minorEastAsia" w:hint="eastAsia"/>
          <w:sz w:val="18"/>
          <w:szCs w:val="18"/>
        </w:rPr>
        <w:t>29</w:t>
      </w:r>
      <w:r>
        <w:rPr>
          <w:rFonts w:asciiTheme="minorEastAsia" w:eastAsiaTheme="minorEastAsia" w:hAnsiTheme="minorEastAsia" w:hint="eastAsia"/>
          <w:sz w:val="18"/>
          <w:szCs w:val="18"/>
        </w:rPr>
        <w:t>日召开</w:t>
      </w:r>
      <w:r>
        <w:rPr>
          <w:rFonts w:asciiTheme="minorEastAsia" w:eastAsiaTheme="minorEastAsia" w:hAnsiTheme="minorEastAsia" w:hint="eastAsia"/>
          <w:sz w:val="18"/>
          <w:szCs w:val="18"/>
        </w:rPr>
        <w:t>2021</w:t>
      </w:r>
      <w:r>
        <w:rPr>
          <w:rFonts w:asciiTheme="minorEastAsia" w:eastAsiaTheme="minorEastAsia" w:hAnsiTheme="minorEastAsia" w:hint="eastAsia"/>
          <w:sz w:val="18"/>
          <w:szCs w:val="18"/>
        </w:rPr>
        <w:t>年第一次临时股东大会，审议通过了《关于</w:t>
      </w:r>
      <w:r>
        <w:rPr>
          <w:rFonts w:asciiTheme="minorEastAsia" w:eastAsiaTheme="minorEastAsia" w:hAnsiTheme="minorEastAsia" w:hint="eastAsia"/>
          <w:sz w:val="18"/>
          <w:szCs w:val="18"/>
        </w:rPr>
        <w:t>公司</w:t>
      </w:r>
      <w:r>
        <w:rPr>
          <w:rFonts w:asciiTheme="minorEastAsia" w:eastAsiaTheme="minorEastAsia" w:hAnsiTheme="minorEastAsia" w:hint="eastAsia"/>
          <w:sz w:val="18"/>
          <w:szCs w:val="18"/>
        </w:rPr>
        <w:t>2021</w:t>
      </w:r>
      <w:r>
        <w:rPr>
          <w:rFonts w:asciiTheme="minorEastAsia" w:eastAsiaTheme="minorEastAsia" w:hAnsiTheme="minorEastAsia" w:hint="eastAsia"/>
          <w:sz w:val="18"/>
          <w:szCs w:val="18"/>
        </w:rPr>
        <w:t>年股权激励计划（草案）及其摘要的议案》、《关于公司</w:t>
      </w:r>
      <w:r>
        <w:rPr>
          <w:rFonts w:asciiTheme="minorEastAsia" w:eastAsiaTheme="minorEastAsia" w:hAnsiTheme="minorEastAsia" w:hint="eastAsia"/>
          <w:sz w:val="18"/>
          <w:szCs w:val="18"/>
        </w:rPr>
        <w:t>2021</w:t>
      </w:r>
      <w:r>
        <w:rPr>
          <w:rFonts w:asciiTheme="minorEastAsia" w:eastAsiaTheme="minorEastAsia" w:hAnsiTheme="minorEastAsia" w:hint="eastAsia"/>
          <w:sz w:val="18"/>
          <w:szCs w:val="18"/>
        </w:rPr>
        <w:t>年股权激励计划实施考核管理办法的议案》、《关于提请股东大会授权董事会办理公司</w:t>
      </w:r>
      <w:r>
        <w:rPr>
          <w:rFonts w:asciiTheme="minorEastAsia" w:eastAsiaTheme="minorEastAsia" w:hAnsiTheme="minorEastAsia" w:hint="eastAsia"/>
          <w:sz w:val="18"/>
          <w:szCs w:val="18"/>
        </w:rPr>
        <w:t>2021</w:t>
      </w:r>
      <w:r>
        <w:rPr>
          <w:rFonts w:asciiTheme="minorEastAsia" w:eastAsiaTheme="minorEastAsia" w:hAnsiTheme="minorEastAsia" w:hint="eastAsia"/>
          <w:sz w:val="18"/>
          <w:szCs w:val="18"/>
        </w:rPr>
        <w:t>年股权激励计划相关事宜的议案》，并在《证券时报》，《中国证券报》及巨潮资讯网（</w:t>
      </w:r>
      <w:r>
        <w:rPr>
          <w:rFonts w:asciiTheme="minorEastAsia" w:eastAsiaTheme="minorEastAsia" w:hAnsiTheme="minorEastAsia" w:hint="eastAsia"/>
          <w:sz w:val="18"/>
          <w:szCs w:val="18"/>
        </w:rPr>
        <w:t>http://www.cninfo.com.cn</w:t>
      </w:r>
      <w:r>
        <w:rPr>
          <w:rFonts w:asciiTheme="minorEastAsia" w:eastAsiaTheme="minorEastAsia" w:hAnsiTheme="minorEastAsia" w:hint="eastAsia"/>
          <w:sz w:val="18"/>
          <w:szCs w:val="18"/>
        </w:rPr>
        <w:t>）公告了《华孚时尚股份有限公司</w:t>
      </w:r>
      <w:r>
        <w:rPr>
          <w:rFonts w:asciiTheme="minorEastAsia" w:eastAsiaTheme="minorEastAsia" w:hAnsiTheme="minorEastAsia" w:hint="eastAsia"/>
          <w:sz w:val="18"/>
          <w:szCs w:val="18"/>
        </w:rPr>
        <w:t>2021</w:t>
      </w:r>
      <w:r>
        <w:rPr>
          <w:rFonts w:asciiTheme="minorEastAsia" w:eastAsiaTheme="minorEastAsia" w:hAnsiTheme="minorEastAsia" w:hint="eastAsia"/>
          <w:sz w:val="18"/>
          <w:szCs w:val="18"/>
        </w:rPr>
        <w:t>年第一次临时股东大会决议公告》（</w:t>
      </w:r>
      <w:r>
        <w:rPr>
          <w:rFonts w:asciiTheme="minorEastAsia" w:eastAsiaTheme="minorEastAsia" w:hAnsiTheme="minorEastAsia" w:hint="eastAsia"/>
          <w:sz w:val="18"/>
          <w:szCs w:val="18"/>
        </w:rPr>
        <w:t>2021-09</w:t>
      </w:r>
      <w:r>
        <w:rPr>
          <w:rFonts w:asciiTheme="minorEastAsia" w:eastAsiaTheme="minorEastAsia" w:hAnsiTheme="minorEastAsia" w:hint="eastAsia"/>
          <w:sz w:val="18"/>
          <w:szCs w:val="18"/>
        </w:rPr>
        <w:t>）及《关于</w:t>
      </w:r>
      <w:r>
        <w:rPr>
          <w:rFonts w:asciiTheme="minorEastAsia" w:eastAsiaTheme="minorEastAsia" w:hAnsiTheme="minorEastAsia" w:hint="eastAsia"/>
          <w:sz w:val="18"/>
          <w:szCs w:val="18"/>
        </w:rPr>
        <w:t>2021</w:t>
      </w:r>
      <w:r>
        <w:rPr>
          <w:rFonts w:asciiTheme="minorEastAsia" w:eastAsiaTheme="minorEastAsia" w:hAnsiTheme="minorEastAsia" w:hint="eastAsia"/>
          <w:sz w:val="18"/>
          <w:szCs w:val="18"/>
        </w:rPr>
        <w:t>年股权激励计划激励对象及内幕信息知情人买卖股票情况自查报告》（</w:t>
      </w:r>
      <w:r>
        <w:rPr>
          <w:rFonts w:asciiTheme="minorEastAsia" w:eastAsiaTheme="minorEastAsia" w:hAnsiTheme="minorEastAsia" w:hint="eastAsia"/>
          <w:sz w:val="18"/>
          <w:szCs w:val="18"/>
        </w:rPr>
        <w:t>2021-08</w:t>
      </w:r>
      <w:r>
        <w:rPr>
          <w:rFonts w:asciiTheme="minorEastAsia" w:eastAsiaTheme="minorEastAsia" w:hAnsiTheme="minorEastAsia" w:hint="eastAsia"/>
          <w:sz w:val="18"/>
          <w:szCs w:val="18"/>
        </w:rPr>
        <w:t>）。</w:t>
      </w:r>
    </w:p>
    <w:p w:rsidR="00A067C6" w:rsidRDefault="005C4966">
      <w:pPr>
        <w:pStyle w:val="a6"/>
        <w:spacing w:before="0" w:beforeAutospacing="0" w:after="0" w:afterAutospacing="0"/>
        <w:ind w:firstLine="360"/>
        <w:jc w:val="both"/>
        <w:rPr>
          <w:rFonts w:asciiTheme="minorEastAsia" w:eastAsiaTheme="minorEastAsia" w:hAnsiTheme="minorEastAsia"/>
        </w:rPr>
      </w:pPr>
      <w:r>
        <w:rPr>
          <w:rFonts w:asciiTheme="minorEastAsia" w:eastAsiaTheme="minorEastAsia" w:hAnsiTheme="minorEastAsia" w:hint="eastAsia"/>
          <w:color w:val="000000"/>
          <w:sz w:val="18"/>
          <w:szCs w:val="18"/>
        </w:rPr>
        <w:t>4</w:t>
      </w:r>
      <w:r>
        <w:rPr>
          <w:rFonts w:asciiTheme="minorEastAsia" w:eastAsiaTheme="minorEastAsia" w:hAnsiTheme="minorEastAsia" w:hint="eastAsia"/>
          <w:color w:val="000000"/>
          <w:sz w:val="18"/>
          <w:szCs w:val="18"/>
        </w:rPr>
        <w:t>、公司于</w:t>
      </w:r>
      <w:r>
        <w:rPr>
          <w:rFonts w:asciiTheme="minorEastAsia" w:eastAsiaTheme="minorEastAsia" w:hAnsiTheme="minorEastAsia" w:hint="eastAsia"/>
          <w:sz w:val="18"/>
          <w:szCs w:val="18"/>
        </w:rPr>
        <w:t>2021</w:t>
      </w:r>
      <w:r>
        <w:rPr>
          <w:rFonts w:asciiTheme="minorEastAsia" w:eastAsiaTheme="minorEastAsia" w:hAnsiTheme="minorEastAsia" w:hint="eastAsia"/>
          <w:sz w:val="18"/>
          <w:szCs w:val="18"/>
        </w:rPr>
        <w:t>年</w:t>
      </w:r>
      <w:r>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月</w:t>
      </w:r>
      <w:r>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日召开第七届董事会</w:t>
      </w:r>
      <w:r>
        <w:rPr>
          <w:rFonts w:asciiTheme="minorEastAsia" w:eastAsiaTheme="minorEastAsia" w:hAnsiTheme="minorEastAsia" w:hint="eastAsia"/>
          <w:sz w:val="18"/>
          <w:szCs w:val="18"/>
        </w:rPr>
        <w:t>20</w:t>
      </w:r>
      <w:r>
        <w:rPr>
          <w:rFonts w:asciiTheme="minorEastAsia" w:eastAsiaTheme="minorEastAsia" w:hAnsiTheme="minorEastAsia" w:hint="eastAsia"/>
          <w:sz w:val="18"/>
          <w:szCs w:val="18"/>
        </w:rPr>
        <w:t>21</w:t>
      </w:r>
      <w:r>
        <w:rPr>
          <w:rFonts w:asciiTheme="minorEastAsia" w:eastAsiaTheme="minorEastAsia" w:hAnsiTheme="minorEastAsia" w:hint="eastAsia"/>
          <w:sz w:val="18"/>
          <w:szCs w:val="18"/>
        </w:rPr>
        <w:t>年第二次临时会议，审议通过《关于向激励对象授予股票期权的议案》，根据公司《</w:t>
      </w:r>
      <w:r>
        <w:rPr>
          <w:rFonts w:asciiTheme="minorEastAsia" w:eastAsiaTheme="minorEastAsia" w:hAnsiTheme="minorEastAsia" w:hint="eastAsia"/>
          <w:sz w:val="18"/>
          <w:szCs w:val="18"/>
        </w:rPr>
        <w:t>2021</w:t>
      </w:r>
      <w:r>
        <w:rPr>
          <w:rFonts w:asciiTheme="minorEastAsia" w:eastAsiaTheme="minorEastAsia" w:hAnsiTheme="minorEastAsia" w:hint="eastAsia"/>
          <w:sz w:val="18"/>
          <w:szCs w:val="18"/>
        </w:rPr>
        <w:t>年股票期权激励计划（草案）》</w:t>
      </w:r>
      <w:r>
        <w:rPr>
          <w:rFonts w:asciiTheme="minorEastAsia" w:eastAsiaTheme="minorEastAsia" w:hAnsiTheme="minorEastAsia" w:hint="eastAsia"/>
          <w:sz w:val="18"/>
          <w:szCs w:val="18"/>
        </w:rPr>
        <w:t> </w:t>
      </w:r>
      <w:r>
        <w:rPr>
          <w:rFonts w:asciiTheme="minorEastAsia" w:eastAsiaTheme="minorEastAsia" w:hAnsiTheme="minorEastAsia" w:hint="eastAsia"/>
          <w:sz w:val="18"/>
          <w:szCs w:val="18"/>
        </w:rPr>
        <w:t>的规定和公司</w:t>
      </w:r>
      <w:r>
        <w:rPr>
          <w:rFonts w:asciiTheme="minorEastAsia" w:eastAsiaTheme="minorEastAsia" w:hAnsiTheme="minorEastAsia" w:hint="eastAsia"/>
          <w:sz w:val="18"/>
          <w:szCs w:val="18"/>
        </w:rPr>
        <w:t>2021</w:t>
      </w:r>
      <w:r>
        <w:rPr>
          <w:rFonts w:asciiTheme="minorEastAsia" w:eastAsiaTheme="minorEastAsia" w:hAnsiTheme="minorEastAsia" w:hint="eastAsia"/>
          <w:sz w:val="18"/>
          <w:szCs w:val="18"/>
        </w:rPr>
        <w:t>年第一次临时股东大会的授权，公司董事会确定公司</w:t>
      </w:r>
      <w:r>
        <w:rPr>
          <w:rFonts w:asciiTheme="minorEastAsia" w:eastAsiaTheme="minorEastAsia" w:hAnsiTheme="minorEastAsia" w:hint="eastAsia"/>
          <w:sz w:val="18"/>
          <w:szCs w:val="18"/>
        </w:rPr>
        <w:t>2021</w:t>
      </w:r>
      <w:r>
        <w:rPr>
          <w:rFonts w:asciiTheme="minorEastAsia" w:eastAsiaTheme="minorEastAsia" w:hAnsiTheme="minorEastAsia" w:hint="eastAsia"/>
          <w:sz w:val="18"/>
          <w:szCs w:val="18"/>
        </w:rPr>
        <w:t>年股票期权的首次授予日为</w:t>
      </w:r>
      <w:r>
        <w:rPr>
          <w:rFonts w:asciiTheme="minorEastAsia" w:eastAsiaTheme="minorEastAsia" w:hAnsiTheme="minorEastAsia" w:hint="eastAsia"/>
          <w:sz w:val="18"/>
          <w:szCs w:val="18"/>
        </w:rPr>
        <w:t>2021</w:t>
      </w:r>
      <w:r>
        <w:rPr>
          <w:rFonts w:asciiTheme="minorEastAsia" w:eastAsiaTheme="minorEastAsia" w:hAnsiTheme="minorEastAsia" w:hint="eastAsia"/>
          <w:sz w:val="18"/>
          <w:szCs w:val="18"/>
        </w:rPr>
        <w:t>年</w:t>
      </w:r>
      <w:r>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月</w:t>
      </w:r>
      <w:r>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日，向</w:t>
      </w:r>
      <w:r>
        <w:rPr>
          <w:rFonts w:asciiTheme="minorEastAsia" w:eastAsiaTheme="minorEastAsia" w:hAnsiTheme="minorEastAsia" w:hint="eastAsia"/>
          <w:sz w:val="18"/>
          <w:szCs w:val="18"/>
        </w:rPr>
        <w:t>178</w:t>
      </w:r>
      <w:r>
        <w:rPr>
          <w:rFonts w:asciiTheme="minorEastAsia" w:eastAsiaTheme="minorEastAsia" w:hAnsiTheme="minorEastAsia" w:hint="eastAsia"/>
          <w:sz w:val="18"/>
          <w:szCs w:val="18"/>
        </w:rPr>
        <w:t>名激励对象授予股票期权</w:t>
      </w:r>
      <w:r>
        <w:rPr>
          <w:rFonts w:asciiTheme="minorEastAsia" w:eastAsiaTheme="minorEastAsia" w:hAnsiTheme="minorEastAsia" w:hint="eastAsia"/>
          <w:sz w:val="18"/>
          <w:szCs w:val="18"/>
        </w:rPr>
        <w:t>4,500</w:t>
      </w:r>
      <w:r>
        <w:rPr>
          <w:rFonts w:asciiTheme="minorEastAsia" w:eastAsiaTheme="minorEastAsia" w:hAnsiTheme="minorEastAsia" w:hint="eastAsia"/>
          <w:sz w:val="18"/>
          <w:szCs w:val="18"/>
        </w:rPr>
        <w:t>万份，占目前公司总股本的</w:t>
      </w:r>
      <w:r>
        <w:rPr>
          <w:rFonts w:asciiTheme="minorEastAsia" w:eastAsiaTheme="minorEastAsia" w:hAnsiTheme="minorEastAsia" w:hint="eastAsia"/>
          <w:sz w:val="18"/>
          <w:szCs w:val="18"/>
        </w:rPr>
        <w:t>2.51%</w:t>
      </w:r>
      <w:r>
        <w:rPr>
          <w:rFonts w:asciiTheme="minorEastAsia" w:eastAsiaTheme="minorEastAsia" w:hAnsiTheme="minorEastAsia" w:hint="eastAsia"/>
          <w:sz w:val="18"/>
          <w:szCs w:val="18"/>
        </w:rPr>
        <w:t>。</w:t>
      </w:r>
    </w:p>
    <w:p w:rsidR="00A067C6" w:rsidRDefault="005C4966">
      <w:pPr>
        <w:pStyle w:val="a6"/>
        <w:spacing w:before="0" w:beforeAutospacing="0" w:after="0" w:afterAutospacing="0"/>
        <w:ind w:firstLine="360"/>
        <w:jc w:val="both"/>
        <w:rPr>
          <w:rFonts w:asciiTheme="minorEastAsia" w:eastAsiaTheme="minorEastAsia" w:hAnsiTheme="minorEastAsia"/>
        </w:rPr>
      </w:pPr>
      <w:r>
        <w:rPr>
          <w:rFonts w:asciiTheme="minorEastAsia" w:eastAsiaTheme="minorEastAsia" w:hAnsiTheme="minorEastAsia" w:hint="eastAsia"/>
          <w:color w:val="000000"/>
          <w:sz w:val="18"/>
          <w:szCs w:val="18"/>
        </w:rPr>
        <w:t>5</w:t>
      </w:r>
      <w:r>
        <w:rPr>
          <w:rFonts w:asciiTheme="minorEastAsia" w:eastAsiaTheme="minorEastAsia" w:hAnsiTheme="minorEastAsia" w:hint="eastAsia"/>
          <w:color w:val="000000"/>
          <w:sz w:val="18"/>
          <w:szCs w:val="18"/>
        </w:rPr>
        <w:t>、公司于</w:t>
      </w:r>
      <w:r>
        <w:rPr>
          <w:rFonts w:asciiTheme="minorEastAsia" w:eastAsiaTheme="minorEastAsia" w:hAnsiTheme="minorEastAsia" w:hint="eastAsia"/>
          <w:sz w:val="18"/>
          <w:szCs w:val="18"/>
        </w:rPr>
        <w:t>2021</w:t>
      </w:r>
      <w:r>
        <w:rPr>
          <w:rFonts w:asciiTheme="minorEastAsia" w:eastAsiaTheme="minorEastAsia" w:hAnsiTheme="minorEastAsia" w:hint="eastAsia"/>
          <w:sz w:val="18"/>
          <w:szCs w:val="18"/>
        </w:rPr>
        <w:t>年</w:t>
      </w:r>
      <w:r>
        <w:rPr>
          <w:rFonts w:asciiTheme="minorEastAsia" w:eastAsiaTheme="minorEastAsia" w:hAnsiTheme="minorEastAsia" w:hint="eastAsia"/>
          <w:sz w:val="18"/>
          <w:szCs w:val="18"/>
        </w:rPr>
        <w:t>11</w:t>
      </w:r>
      <w:r>
        <w:rPr>
          <w:rFonts w:asciiTheme="minorEastAsia" w:eastAsiaTheme="minorEastAsia" w:hAnsiTheme="minorEastAsia" w:hint="eastAsia"/>
          <w:sz w:val="18"/>
          <w:szCs w:val="18"/>
        </w:rPr>
        <w:t>月</w:t>
      </w:r>
      <w:r>
        <w:rPr>
          <w:rFonts w:asciiTheme="minorEastAsia" w:eastAsiaTheme="minorEastAsia" w:hAnsiTheme="minorEastAsia" w:hint="eastAsia"/>
          <w:sz w:val="18"/>
          <w:szCs w:val="18"/>
        </w:rPr>
        <w:t>30</w:t>
      </w:r>
      <w:r>
        <w:rPr>
          <w:rFonts w:asciiTheme="minorEastAsia" w:eastAsiaTheme="minorEastAsia" w:hAnsiTheme="minorEastAsia" w:hint="eastAsia"/>
          <w:sz w:val="18"/>
          <w:szCs w:val="18"/>
        </w:rPr>
        <w:t>日召开第七届董事会</w:t>
      </w:r>
      <w:r>
        <w:rPr>
          <w:rFonts w:asciiTheme="minorEastAsia" w:eastAsiaTheme="minorEastAsia" w:hAnsiTheme="minorEastAsia" w:hint="eastAsia"/>
          <w:sz w:val="18"/>
          <w:szCs w:val="18"/>
        </w:rPr>
        <w:t>2021</w:t>
      </w:r>
      <w:r>
        <w:rPr>
          <w:rFonts w:asciiTheme="minorEastAsia" w:eastAsiaTheme="minorEastAsia" w:hAnsiTheme="minorEastAsia" w:hint="eastAsia"/>
          <w:sz w:val="18"/>
          <w:szCs w:val="18"/>
        </w:rPr>
        <w:t>年第四次临时会议，会议审议通过了《关于调整</w:t>
      </w:r>
      <w:r>
        <w:rPr>
          <w:rFonts w:asciiTheme="minorEastAsia" w:eastAsiaTheme="minorEastAsia" w:hAnsiTheme="minorEastAsia" w:hint="eastAsia"/>
          <w:sz w:val="18"/>
          <w:szCs w:val="18"/>
        </w:rPr>
        <w:t>2021</w:t>
      </w:r>
      <w:r>
        <w:rPr>
          <w:rFonts w:asciiTheme="minorEastAsia" w:eastAsiaTheme="minorEastAsia" w:hAnsiTheme="minorEastAsia" w:hint="eastAsia"/>
          <w:sz w:val="18"/>
          <w:szCs w:val="18"/>
        </w:rPr>
        <w:t>年股票期权行权价格的议案》，根据公司</w:t>
      </w:r>
      <w:r>
        <w:rPr>
          <w:rFonts w:asciiTheme="minorEastAsia" w:eastAsiaTheme="minorEastAsia" w:hAnsiTheme="minorEastAsia" w:hint="eastAsia"/>
          <w:sz w:val="18"/>
          <w:szCs w:val="18"/>
        </w:rPr>
        <w:t>2021</w:t>
      </w:r>
      <w:r>
        <w:rPr>
          <w:rFonts w:asciiTheme="minorEastAsia" w:eastAsiaTheme="minorEastAsia" w:hAnsiTheme="minorEastAsia" w:hint="eastAsia"/>
          <w:sz w:val="18"/>
          <w:szCs w:val="18"/>
        </w:rPr>
        <w:t>年股票期权激励计划的有关规定及公司</w:t>
      </w:r>
      <w:r>
        <w:rPr>
          <w:rFonts w:asciiTheme="minorEastAsia" w:eastAsiaTheme="minorEastAsia" w:hAnsiTheme="minorEastAsia" w:hint="eastAsia"/>
          <w:sz w:val="18"/>
          <w:szCs w:val="18"/>
        </w:rPr>
        <w:t>2021</w:t>
      </w:r>
      <w:r>
        <w:rPr>
          <w:rFonts w:asciiTheme="minorEastAsia" w:eastAsiaTheme="minorEastAsia" w:hAnsiTheme="minorEastAsia" w:hint="eastAsia"/>
          <w:sz w:val="18"/>
          <w:szCs w:val="18"/>
        </w:rPr>
        <w:t>年前三季</w:t>
      </w:r>
      <w:r>
        <w:rPr>
          <w:rFonts w:asciiTheme="minorEastAsia" w:eastAsiaTheme="minorEastAsia" w:hAnsiTheme="minorEastAsia" w:hint="eastAsia"/>
          <w:sz w:val="18"/>
          <w:szCs w:val="18"/>
        </w:rPr>
        <w:t>度利润分配实施情况，公司将</w:t>
      </w:r>
      <w:r>
        <w:rPr>
          <w:rFonts w:asciiTheme="minorEastAsia" w:eastAsiaTheme="minorEastAsia" w:hAnsiTheme="minorEastAsia" w:hint="eastAsia"/>
          <w:sz w:val="18"/>
          <w:szCs w:val="18"/>
        </w:rPr>
        <w:t>2021</w:t>
      </w:r>
      <w:r>
        <w:rPr>
          <w:rFonts w:asciiTheme="minorEastAsia" w:eastAsiaTheme="minorEastAsia" w:hAnsiTheme="minorEastAsia" w:hint="eastAsia"/>
          <w:sz w:val="18"/>
          <w:szCs w:val="18"/>
        </w:rPr>
        <w:t>年股票期权激励计划首次授予股票期权行权价格应由</w:t>
      </w:r>
      <w:r>
        <w:rPr>
          <w:rFonts w:asciiTheme="minorEastAsia" w:eastAsiaTheme="minorEastAsia" w:hAnsiTheme="minorEastAsia" w:hint="eastAsia"/>
          <w:sz w:val="18"/>
          <w:szCs w:val="18"/>
        </w:rPr>
        <w:t>4.41</w:t>
      </w:r>
      <w:r>
        <w:rPr>
          <w:rFonts w:asciiTheme="minorEastAsia" w:eastAsiaTheme="minorEastAsia" w:hAnsiTheme="minorEastAsia" w:hint="eastAsia"/>
          <w:sz w:val="18"/>
          <w:szCs w:val="18"/>
        </w:rPr>
        <w:t>元</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股调整为</w:t>
      </w:r>
      <w:r>
        <w:rPr>
          <w:rFonts w:asciiTheme="minorEastAsia" w:eastAsiaTheme="minorEastAsia" w:hAnsiTheme="minorEastAsia" w:hint="eastAsia"/>
          <w:sz w:val="18"/>
          <w:szCs w:val="18"/>
        </w:rPr>
        <w:t> 4.23</w:t>
      </w:r>
      <w:r>
        <w:rPr>
          <w:rFonts w:asciiTheme="minorEastAsia" w:eastAsiaTheme="minorEastAsia" w:hAnsiTheme="minorEastAsia" w:hint="eastAsia"/>
          <w:sz w:val="18"/>
          <w:szCs w:val="18"/>
        </w:rPr>
        <w:t>元</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股。</w:t>
      </w:r>
    </w:p>
    <w:p w:rsidR="00A067C6" w:rsidRDefault="005C4966">
      <w:pPr>
        <w:pStyle w:val="a6"/>
        <w:spacing w:before="0" w:beforeAutospacing="0" w:after="0" w:afterAutospacing="0"/>
        <w:ind w:firstLine="360"/>
        <w:jc w:val="both"/>
        <w:rPr>
          <w:rFonts w:asciiTheme="minorEastAsia" w:eastAsiaTheme="minorEastAsia" w:hAnsiTheme="minorEastAsia"/>
        </w:rPr>
      </w:pPr>
      <w:r>
        <w:rPr>
          <w:rFonts w:asciiTheme="minorEastAsia" w:eastAsiaTheme="minorEastAsia" w:hAnsiTheme="minorEastAsia" w:hint="eastAsia"/>
          <w:color w:val="000000"/>
          <w:sz w:val="18"/>
          <w:szCs w:val="18"/>
        </w:rPr>
        <w:t>6</w:t>
      </w:r>
      <w:r>
        <w:rPr>
          <w:rFonts w:asciiTheme="minorEastAsia" w:eastAsiaTheme="minorEastAsia" w:hAnsiTheme="minorEastAsia" w:hint="eastAsia"/>
          <w:color w:val="000000"/>
          <w:sz w:val="18"/>
          <w:szCs w:val="18"/>
        </w:rPr>
        <w:t>、公司董事会于</w:t>
      </w:r>
      <w:r>
        <w:rPr>
          <w:rFonts w:asciiTheme="minorEastAsia" w:eastAsiaTheme="minorEastAsia" w:hAnsiTheme="minorEastAsia" w:hint="eastAsia"/>
          <w:sz w:val="18"/>
          <w:szCs w:val="18"/>
        </w:rPr>
        <w:t>2021</w:t>
      </w:r>
      <w:r>
        <w:rPr>
          <w:rFonts w:asciiTheme="minorEastAsia" w:eastAsiaTheme="minorEastAsia" w:hAnsiTheme="minorEastAsia" w:hint="eastAsia"/>
          <w:sz w:val="18"/>
          <w:szCs w:val="18"/>
        </w:rPr>
        <w:t>年</w:t>
      </w:r>
      <w:r>
        <w:rPr>
          <w:rFonts w:asciiTheme="minorEastAsia" w:eastAsiaTheme="minorEastAsia" w:hAnsiTheme="minorEastAsia" w:hint="eastAsia"/>
          <w:sz w:val="18"/>
          <w:szCs w:val="18"/>
        </w:rPr>
        <w:t>12</w:t>
      </w:r>
      <w:r>
        <w:rPr>
          <w:rFonts w:asciiTheme="minorEastAsia" w:eastAsiaTheme="minorEastAsia" w:hAnsiTheme="minorEastAsia" w:hint="eastAsia"/>
          <w:sz w:val="18"/>
          <w:szCs w:val="18"/>
        </w:rPr>
        <w:t>月</w:t>
      </w:r>
      <w:r>
        <w:rPr>
          <w:rFonts w:asciiTheme="minorEastAsia" w:eastAsiaTheme="minorEastAsia" w:hAnsiTheme="minorEastAsia" w:hint="eastAsia"/>
          <w:sz w:val="18"/>
          <w:szCs w:val="18"/>
        </w:rPr>
        <w:t>24</w:t>
      </w:r>
      <w:r>
        <w:rPr>
          <w:rFonts w:asciiTheme="minorEastAsia" w:eastAsiaTheme="minorEastAsia" w:hAnsiTheme="minorEastAsia" w:hint="eastAsia"/>
          <w:sz w:val="18"/>
          <w:szCs w:val="18"/>
        </w:rPr>
        <w:t>日召开第八届董事会</w:t>
      </w:r>
      <w:r>
        <w:rPr>
          <w:rFonts w:asciiTheme="minorEastAsia" w:eastAsiaTheme="minorEastAsia" w:hAnsiTheme="minorEastAsia" w:hint="eastAsia"/>
          <w:sz w:val="18"/>
          <w:szCs w:val="18"/>
        </w:rPr>
        <w:t>2021</w:t>
      </w:r>
      <w:r>
        <w:rPr>
          <w:rFonts w:asciiTheme="minorEastAsia" w:eastAsiaTheme="minorEastAsia" w:hAnsiTheme="minorEastAsia" w:hint="eastAsia"/>
          <w:sz w:val="18"/>
          <w:szCs w:val="18"/>
        </w:rPr>
        <w:t>年第一次临时会议，审议通过《关于向</w:t>
      </w:r>
      <w:r>
        <w:rPr>
          <w:rFonts w:asciiTheme="minorEastAsia" w:eastAsiaTheme="minorEastAsia" w:hAnsiTheme="minorEastAsia" w:hint="eastAsia"/>
          <w:sz w:val="18"/>
          <w:szCs w:val="18"/>
        </w:rPr>
        <w:t>2021</w:t>
      </w:r>
      <w:r>
        <w:rPr>
          <w:rFonts w:asciiTheme="minorEastAsia" w:eastAsiaTheme="minorEastAsia" w:hAnsiTheme="minorEastAsia" w:hint="eastAsia"/>
          <w:sz w:val="18"/>
          <w:szCs w:val="18"/>
        </w:rPr>
        <w:t>年股权激励计划激励对象授予预留股票期权的议案》，根据公司《</w:t>
      </w:r>
      <w:r>
        <w:rPr>
          <w:rFonts w:asciiTheme="minorEastAsia" w:eastAsiaTheme="minorEastAsia" w:hAnsiTheme="minorEastAsia" w:hint="eastAsia"/>
          <w:sz w:val="18"/>
          <w:szCs w:val="18"/>
        </w:rPr>
        <w:t>2021</w:t>
      </w:r>
      <w:r>
        <w:rPr>
          <w:rFonts w:asciiTheme="minorEastAsia" w:eastAsiaTheme="minorEastAsia" w:hAnsiTheme="minorEastAsia" w:hint="eastAsia"/>
          <w:sz w:val="18"/>
          <w:szCs w:val="18"/>
        </w:rPr>
        <w:t>年股票期权激励计划（草案）》</w:t>
      </w:r>
      <w:r>
        <w:rPr>
          <w:rFonts w:asciiTheme="minorEastAsia" w:eastAsiaTheme="minorEastAsia" w:hAnsiTheme="minorEastAsia" w:hint="eastAsia"/>
          <w:sz w:val="18"/>
          <w:szCs w:val="18"/>
        </w:rPr>
        <w:t> </w:t>
      </w:r>
      <w:r>
        <w:rPr>
          <w:rFonts w:asciiTheme="minorEastAsia" w:eastAsiaTheme="minorEastAsia" w:hAnsiTheme="minorEastAsia" w:hint="eastAsia"/>
          <w:sz w:val="18"/>
          <w:szCs w:val="18"/>
        </w:rPr>
        <w:t>的规定和公司</w:t>
      </w:r>
      <w:r>
        <w:rPr>
          <w:rFonts w:asciiTheme="minorEastAsia" w:eastAsiaTheme="minorEastAsia" w:hAnsiTheme="minorEastAsia" w:hint="eastAsia"/>
          <w:sz w:val="18"/>
          <w:szCs w:val="18"/>
        </w:rPr>
        <w:t>2021</w:t>
      </w:r>
      <w:r>
        <w:rPr>
          <w:rFonts w:asciiTheme="minorEastAsia" w:eastAsiaTheme="minorEastAsia" w:hAnsiTheme="minorEastAsia" w:hint="eastAsia"/>
          <w:sz w:val="18"/>
          <w:szCs w:val="18"/>
        </w:rPr>
        <w:t>年第一次临时股东大会的授权，公司董事会确定公司</w:t>
      </w:r>
      <w:r>
        <w:rPr>
          <w:rFonts w:asciiTheme="minorEastAsia" w:eastAsiaTheme="minorEastAsia" w:hAnsiTheme="minorEastAsia" w:hint="eastAsia"/>
          <w:sz w:val="18"/>
          <w:szCs w:val="18"/>
        </w:rPr>
        <w:t>2021</w:t>
      </w:r>
      <w:r>
        <w:rPr>
          <w:rFonts w:asciiTheme="minorEastAsia" w:eastAsiaTheme="minorEastAsia" w:hAnsiTheme="minorEastAsia" w:hint="eastAsia"/>
          <w:sz w:val="18"/>
          <w:szCs w:val="18"/>
        </w:rPr>
        <w:t>年股票期权预留部分的授予日为</w:t>
      </w:r>
      <w:r>
        <w:rPr>
          <w:rFonts w:asciiTheme="minorEastAsia" w:eastAsiaTheme="minorEastAsia" w:hAnsiTheme="minorEastAsia" w:hint="eastAsia"/>
          <w:sz w:val="18"/>
          <w:szCs w:val="18"/>
        </w:rPr>
        <w:t>2021</w:t>
      </w:r>
      <w:r>
        <w:rPr>
          <w:rFonts w:asciiTheme="minorEastAsia" w:eastAsiaTheme="minorEastAsia" w:hAnsiTheme="minorEastAsia" w:hint="eastAsia"/>
          <w:sz w:val="18"/>
          <w:szCs w:val="18"/>
        </w:rPr>
        <w:t>年</w:t>
      </w:r>
      <w:r>
        <w:rPr>
          <w:rFonts w:asciiTheme="minorEastAsia" w:eastAsiaTheme="minorEastAsia" w:hAnsiTheme="minorEastAsia" w:hint="eastAsia"/>
          <w:sz w:val="18"/>
          <w:szCs w:val="18"/>
        </w:rPr>
        <w:t>12</w:t>
      </w:r>
      <w:r>
        <w:rPr>
          <w:rFonts w:asciiTheme="minorEastAsia" w:eastAsiaTheme="minorEastAsia" w:hAnsiTheme="minorEastAsia" w:hint="eastAsia"/>
          <w:sz w:val="18"/>
          <w:szCs w:val="18"/>
        </w:rPr>
        <w:t>月</w:t>
      </w:r>
      <w:r>
        <w:rPr>
          <w:rFonts w:asciiTheme="minorEastAsia" w:eastAsiaTheme="minorEastAsia" w:hAnsiTheme="minorEastAsia" w:hint="eastAsia"/>
          <w:sz w:val="18"/>
          <w:szCs w:val="18"/>
        </w:rPr>
        <w:t>24</w:t>
      </w:r>
      <w:r>
        <w:rPr>
          <w:rFonts w:asciiTheme="minorEastAsia" w:eastAsiaTheme="minorEastAsia" w:hAnsiTheme="minorEastAsia" w:hint="eastAsia"/>
          <w:sz w:val="18"/>
          <w:szCs w:val="18"/>
        </w:rPr>
        <w:t>日，向</w:t>
      </w:r>
      <w:r>
        <w:rPr>
          <w:rFonts w:asciiTheme="minorEastAsia" w:eastAsiaTheme="minorEastAsia" w:hAnsiTheme="minorEastAsia" w:hint="eastAsia"/>
          <w:sz w:val="18"/>
          <w:szCs w:val="18"/>
        </w:rPr>
        <w:t>39</w:t>
      </w:r>
      <w:r>
        <w:rPr>
          <w:rFonts w:asciiTheme="minorEastAsia" w:eastAsiaTheme="minorEastAsia" w:hAnsiTheme="minorEastAsia" w:hint="eastAsia"/>
          <w:sz w:val="18"/>
          <w:szCs w:val="18"/>
        </w:rPr>
        <w:t>名激励对象授予股票期权</w:t>
      </w:r>
      <w:r>
        <w:rPr>
          <w:rFonts w:asciiTheme="minorEastAsia" w:eastAsiaTheme="minorEastAsia" w:hAnsiTheme="minorEastAsia" w:hint="eastAsia"/>
          <w:sz w:val="18"/>
          <w:szCs w:val="18"/>
        </w:rPr>
        <w:t>500</w:t>
      </w:r>
      <w:r>
        <w:rPr>
          <w:rFonts w:asciiTheme="minorEastAsia" w:eastAsiaTheme="minorEastAsia" w:hAnsiTheme="minorEastAsia" w:hint="eastAsia"/>
          <w:sz w:val="18"/>
          <w:szCs w:val="18"/>
        </w:rPr>
        <w:t>万份，占目前公司总股本的</w:t>
      </w:r>
      <w:r>
        <w:rPr>
          <w:rFonts w:asciiTheme="minorEastAsia" w:eastAsiaTheme="minorEastAsia" w:hAnsiTheme="minorEastAsia" w:hint="eastAsia"/>
          <w:sz w:val="18"/>
          <w:szCs w:val="18"/>
        </w:rPr>
        <w:t>0.28</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，行权价格为</w:t>
      </w:r>
      <w:r>
        <w:rPr>
          <w:rFonts w:asciiTheme="minorEastAsia" w:eastAsiaTheme="minorEastAsia" w:hAnsiTheme="minorEastAsia" w:hint="eastAsia"/>
          <w:sz w:val="18"/>
          <w:szCs w:val="18"/>
        </w:rPr>
        <w:t>4.43</w:t>
      </w:r>
      <w:r>
        <w:rPr>
          <w:rFonts w:asciiTheme="minorEastAsia" w:eastAsiaTheme="minorEastAsia" w:hAnsiTheme="minorEastAsia" w:hint="eastAsia"/>
          <w:sz w:val="18"/>
          <w:szCs w:val="18"/>
        </w:rPr>
        <w:t>元</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股。</w:t>
      </w:r>
    </w:p>
    <w:p w:rsidR="00A067C6" w:rsidRDefault="005C4966">
      <w:pPr>
        <w:pStyle w:val="a6"/>
        <w:spacing w:before="0" w:beforeAutospacing="0" w:after="0" w:afterAutospacing="0"/>
        <w:ind w:firstLineChars="150" w:firstLine="270"/>
        <w:jc w:val="both"/>
        <w:rPr>
          <w:rFonts w:asciiTheme="minorEastAsia" w:eastAsiaTheme="minorEastAsia" w:hAnsiTheme="minorEastAsia"/>
        </w:rPr>
      </w:pPr>
      <w:r>
        <w:rPr>
          <w:rFonts w:asciiTheme="minorEastAsia" w:eastAsiaTheme="minorEastAsia" w:hAnsiTheme="minorEastAsia" w:hint="eastAsia"/>
          <w:sz w:val="18"/>
          <w:szCs w:val="18"/>
        </w:rPr>
        <w:t xml:space="preserve"> 7</w:t>
      </w:r>
      <w:r>
        <w:rPr>
          <w:rFonts w:asciiTheme="minorEastAsia" w:eastAsiaTheme="minorEastAsia" w:hAnsiTheme="minorEastAsia" w:hint="eastAsia"/>
          <w:sz w:val="18"/>
          <w:szCs w:val="18"/>
        </w:rPr>
        <w:t>、公司于</w:t>
      </w:r>
      <w:r>
        <w:rPr>
          <w:rFonts w:asciiTheme="minorEastAsia" w:eastAsiaTheme="minorEastAsia" w:hAnsiTheme="minorEastAsia" w:hint="eastAsia"/>
          <w:sz w:val="18"/>
          <w:szCs w:val="18"/>
        </w:rPr>
        <w:t>2022</w:t>
      </w:r>
      <w:r>
        <w:rPr>
          <w:rFonts w:asciiTheme="minorEastAsia" w:eastAsiaTheme="minorEastAsia" w:hAnsiTheme="minorEastAsia" w:hint="eastAsia"/>
          <w:sz w:val="18"/>
          <w:szCs w:val="18"/>
        </w:rPr>
        <w:t>年</w:t>
      </w:r>
      <w:r>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月</w:t>
      </w:r>
      <w:r>
        <w:rPr>
          <w:rFonts w:asciiTheme="minorEastAsia" w:eastAsiaTheme="minorEastAsia" w:hAnsiTheme="minorEastAsia" w:hint="eastAsia"/>
          <w:sz w:val="18"/>
          <w:szCs w:val="18"/>
        </w:rPr>
        <w:t>12</w:t>
      </w:r>
      <w:r>
        <w:rPr>
          <w:rFonts w:asciiTheme="minorEastAsia" w:eastAsiaTheme="minorEastAsia" w:hAnsiTheme="minorEastAsia" w:hint="eastAsia"/>
          <w:sz w:val="18"/>
          <w:szCs w:val="18"/>
        </w:rPr>
        <w:t>日在《证券时报》、《中国证券报》及巨潮资讯网（</w:t>
      </w:r>
      <w:r>
        <w:rPr>
          <w:rFonts w:asciiTheme="minorEastAsia" w:eastAsiaTheme="minorEastAsia" w:hAnsiTheme="minorEastAsia" w:hint="eastAsia"/>
          <w:sz w:val="18"/>
          <w:szCs w:val="18"/>
        </w:rPr>
        <w:t>www.cninfo.com.cn</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公告了《关</w:t>
      </w:r>
      <w:r>
        <w:rPr>
          <w:rFonts w:asciiTheme="minorEastAsia" w:eastAsiaTheme="minorEastAsia" w:hAnsiTheme="minorEastAsia" w:hint="eastAsia"/>
          <w:color w:val="000000"/>
          <w:sz w:val="18"/>
          <w:szCs w:val="18"/>
        </w:rPr>
        <w:t>于</w:t>
      </w:r>
      <w:r>
        <w:rPr>
          <w:rFonts w:asciiTheme="minorEastAsia" w:eastAsiaTheme="minorEastAsia" w:hAnsiTheme="minorEastAsia" w:hint="eastAsia"/>
          <w:color w:val="000000"/>
          <w:sz w:val="18"/>
          <w:szCs w:val="18"/>
        </w:rPr>
        <w:t>2021</w:t>
      </w:r>
      <w:r>
        <w:rPr>
          <w:rFonts w:asciiTheme="minorEastAsia" w:eastAsiaTheme="minorEastAsia" w:hAnsiTheme="minorEastAsia" w:hint="eastAsia"/>
          <w:color w:val="000000"/>
          <w:sz w:val="18"/>
          <w:szCs w:val="18"/>
        </w:rPr>
        <w:t>年股权激励计划预留股票期权授予登记完成的公告（</w:t>
      </w:r>
      <w:r>
        <w:rPr>
          <w:rFonts w:asciiTheme="minorEastAsia" w:eastAsiaTheme="minorEastAsia" w:hAnsiTheme="minorEastAsia" w:hint="eastAsia"/>
          <w:color w:val="000000"/>
          <w:sz w:val="18"/>
          <w:szCs w:val="18"/>
        </w:rPr>
        <w:t>2022-03</w:t>
      </w:r>
      <w:r>
        <w:rPr>
          <w:rFonts w:asciiTheme="minorEastAsia" w:eastAsiaTheme="minorEastAsia" w:hAnsiTheme="minorEastAsia" w:hint="eastAsia"/>
          <w:color w:val="000000"/>
          <w:sz w:val="18"/>
          <w:szCs w:val="18"/>
        </w:rPr>
        <w:t>）》。</w:t>
      </w:r>
    </w:p>
    <w:p w:rsidR="00A067C6" w:rsidRDefault="005C4966" w:rsidP="005C4966">
      <w:pPr>
        <w:pStyle w:val="a6"/>
        <w:spacing w:before="0" w:beforeAutospacing="0" w:after="0" w:afterAutospacing="0"/>
        <w:ind w:firstLineChars="207" w:firstLine="373"/>
        <w:jc w:val="both"/>
        <w:rPr>
          <w:rFonts w:asciiTheme="minorEastAsia" w:eastAsiaTheme="minorEastAsia" w:hAnsiTheme="minorEastAsia"/>
        </w:rPr>
      </w:pPr>
      <w:r>
        <w:rPr>
          <w:rFonts w:asciiTheme="minorEastAsia" w:eastAsiaTheme="minorEastAsia" w:hAnsiTheme="minorEastAsia" w:hint="eastAsia"/>
          <w:sz w:val="18"/>
          <w:szCs w:val="18"/>
        </w:rPr>
        <w:t>8</w:t>
      </w:r>
      <w:r>
        <w:rPr>
          <w:rFonts w:asciiTheme="minorEastAsia" w:eastAsiaTheme="minorEastAsia" w:hAnsiTheme="minorEastAsia" w:hint="eastAsia"/>
          <w:sz w:val="18"/>
          <w:szCs w:val="18"/>
        </w:rPr>
        <w:t>、公司</w:t>
      </w:r>
      <w:r>
        <w:rPr>
          <w:rFonts w:asciiTheme="minorEastAsia" w:eastAsiaTheme="minorEastAsia" w:hAnsiTheme="minorEastAsia" w:hint="eastAsia"/>
          <w:color w:val="333333"/>
          <w:sz w:val="18"/>
          <w:szCs w:val="18"/>
          <w:shd w:val="clear" w:color="auto" w:fill="FFFFFF"/>
        </w:rPr>
        <w:t>于</w:t>
      </w:r>
      <w:r>
        <w:rPr>
          <w:rFonts w:asciiTheme="minorEastAsia" w:eastAsiaTheme="minorEastAsia" w:hAnsiTheme="minorEastAsia" w:hint="eastAsia"/>
          <w:color w:val="333333"/>
          <w:sz w:val="18"/>
          <w:szCs w:val="18"/>
          <w:shd w:val="clear" w:color="auto" w:fill="FFFFFF"/>
        </w:rPr>
        <w:t>2022</w:t>
      </w:r>
      <w:r>
        <w:rPr>
          <w:rFonts w:asciiTheme="minorEastAsia" w:eastAsiaTheme="minorEastAsia" w:hAnsiTheme="minorEastAsia" w:hint="eastAsia"/>
          <w:color w:val="333333"/>
          <w:sz w:val="18"/>
          <w:szCs w:val="18"/>
          <w:shd w:val="clear" w:color="auto" w:fill="FFFFFF"/>
        </w:rPr>
        <w:t>年</w:t>
      </w:r>
      <w:r>
        <w:rPr>
          <w:rFonts w:asciiTheme="minorEastAsia" w:eastAsiaTheme="minorEastAsia" w:hAnsiTheme="minorEastAsia" w:hint="eastAsia"/>
          <w:color w:val="333333"/>
          <w:sz w:val="18"/>
          <w:szCs w:val="18"/>
          <w:shd w:val="clear" w:color="auto" w:fill="FFFFFF"/>
        </w:rPr>
        <w:t>9</w:t>
      </w:r>
      <w:r>
        <w:rPr>
          <w:rFonts w:asciiTheme="minorEastAsia" w:eastAsiaTheme="minorEastAsia" w:hAnsiTheme="minorEastAsia" w:hint="eastAsia"/>
          <w:color w:val="333333"/>
          <w:sz w:val="18"/>
          <w:szCs w:val="18"/>
          <w:shd w:val="clear" w:color="auto" w:fill="FFFFFF"/>
        </w:rPr>
        <w:t>月</w:t>
      </w:r>
      <w:r>
        <w:rPr>
          <w:rFonts w:asciiTheme="minorEastAsia" w:eastAsiaTheme="minorEastAsia" w:hAnsiTheme="minorEastAsia" w:hint="eastAsia"/>
          <w:color w:val="333333"/>
          <w:sz w:val="18"/>
          <w:szCs w:val="18"/>
          <w:shd w:val="clear" w:color="auto" w:fill="FFFFFF"/>
        </w:rPr>
        <w:t>26</w:t>
      </w:r>
      <w:r>
        <w:rPr>
          <w:rFonts w:asciiTheme="minorEastAsia" w:eastAsiaTheme="minorEastAsia" w:hAnsiTheme="minorEastAsia" w:hint="eastAsia"/>
          <w:color w:val="333333"/>
          <w:sz w:val="18"/>
          <w:szCs w:val="18"/>
          <w:shd w:val="clear" w:color="auto" w:fill="FFFFFF"/>
        </w:rPr>
        <w:t>日召开第八届董事会</w:t>
      </w:r>
      <w:r>
        <w:rPr>
          <w:rFonts w:asciiTheme="minorEastAsia" w:eastAsiaTheme="minorEastAsia" w:hAnsiTheme="minorEastAsia" w:hint="eastAsia"/>
          <w:color w:val="333333"/>
          <w:sz w:val="18"/>
          <w:szCs w:val="18"/>
          <w:shd w:val="clear" w:color="auto" w:fill="FFFFFF"/>
        </w:rPr>
        <w:t>2022</w:t>
      </w:r>
      <w:r>
        <w:rPr>
          <w:rFonts w:asciiTheme="minorEastAsia" w:eastAsiaTheme="minorEastAsia" w:hAnsiTheme="minorEastAsia" w:hint="eastAsia"/>
          <w:color w:val="333333"/>
          <w:sz w:val="18"/>
          <w:szCs w:val="18"/>
          <w:shd w:val="clear" w:color="auto" w:fill="FFFFFF"/>
        </w:rPr>
        <w:t>年第四次临时会议，会议审议通过了《关于调整</w:t>
      </w:r>
      <w:r>
        <w:rPr>
          <w:rFonts w:asciiTheme="minorEastAsia" w:eastAsiaTheme="minorEastAsia" w:hAnsiTheme="minorEastAsia" w:hint="eastAsia"/>
          <w:color w:val="333333"/>
          <w:sz w:val="18"/>
          <w:szCs w:val="18"/>
          <w:shd w:val="clear" w:color="auto" w:fill="FFFFFF"/>
        </w:rPr>
        <w:t>2021</w:t>
      </w:r>
      <w:r>
        <w:rPr>
          <w:rFonts w:asciiTheme="minorEastAsia" w:eastAsiaTheme="minorEastAsia" w:hAnsiTheme="minorEastAsia" w:hint="eastAsia"/>
          <w:color w:val="333333"/>
          <w:sz w:val="18"/>
          <w:szCs w:val="18"/>
          <w:shd w:val="clear" w:color="auto" w:fill="FFFFFF"/>
        </w:rPr>
        <w:t>年股票期权行权价格的议案》，根据公司</w:t>
      </w:r>
      <w:r>
        <w:rPr>
          <w:rFonts w:asciiTheme="minorEastAsia" w:eastAsiaTheme="minorEastAsia" w:hAnsiTheme="minorEastAsia" w:hint="eastAsia"/>
          <w:color w:val="333333"/>
          <w:sz w:val="18"/>
          <w:szCs w:val="18"/>
          <w:shd w:val="clear" w:color="auto" w:fill="FFFFFF"/>
        </w:rPr>
        <w:t>2021</w:t>
      </w:r>
      <w:r>
        <w:rPr>
          <w:rFonts w:asciiTheme="minorEastAsia" w:eastAsiaTheme="minorEastAsia" w:hAnsiTheme="minorEastAsia" w:hint="eastAsia"/>
          <w:color w:val="333333"/>
          <w:sz w:val="18"/>
          <w:szCs w:val="18"/>
          <w:shd w:val="clear" w:color="auto" w:fill="FFFFFF"/>
        </w:rPr>
        <w:t>年股票期权激励计划的有关规定及公司</w:t>
      </w:r>
      <w:r>
        <w:rPr>
          <w:rFonts w:asciiTheme="minorEastAsia" w:eastAsiaTheme="minorEastAsia" w:hAnsiTheme="minorEastAsia" w:hint="eastAsia"/>
          <w:color w:val="333333"/>
          <w:sz w:val="18"/>
          <w:szCs w:val="18"/>
          <w:shd w:val="clear" w:color="auto" w:fill="FFFFFF"/>
        </w:rPr>
        <w:t>2022</w:t>
      </w:r>
      <w:r>
        <w:rPr>
          <w:rFonts w:asciiTheme="minorEastAsia" w:eastAsiaTheme="minorEastAsia" w:hAnsiTheme="minorEastAsia" w:hint="eastAsia"/>
          <w:color w:val="333333"/>
          <w:sz w:val="18"/>
          <w:szCs w:val="18"/>
          <w:shd w:val="clear" w:color="auto" w:fill="FFFFFF"/>
        </w:rPr>
        <w:t>年半年度利润分配实施情况，公司董事会决定对</w:t>
      </w:r>
      <w:r>
        <w:rPr>
          <w:rFonts w:asciiTheme="minorEastAsia" w:eastAsiaTheme="minorEastAsia" w:hAnsiTheme="minorEastAsia" w:hint="eastAsia"/>
          <w:color w:val="333333"/>
          <w:sz w:val="18"/>
          <w:szCs w:val="18"/>
          <w:shd w:val="clear" w:color="auto" w:fill="FFFFFF"/>
        </w:rPr>
        <w:t>2021</w:t>
      </w:r>
      <w:r>
        <w:rPr>
          <w:rFonts w:asciiTheme="minorEastAsia" w:eastAsiaTheme="minorEastAsia" w:hAnsiTheme="minorEastAsia" w:hint="eastAsia"/>
          <w:color w:val="333333"/>
          <w:sz w:val="18"/>
          <w:szCs w:val="18"/>
          <w:shd w:val="clear" w:color="auto" w:fill="FFFFFF"/>
        </w:rPr>
        <w:t>年股票期权的行权价格进行调整。公司</w:t>
      </w:r>
      <w:r>
        <w:rPr>
          <w:rFonts w:asciiTheme="minorEastAsia" w:eastAsiaTheme="minorEastAsia" w:hAnsiTheme="minorEastAsia" w:hint="eastAsia"/>
          <w:color w:val="333333"/>
          <w:sz w:val="18"/>
          <w:szCs w:val="18"/>
          <w:shd w:val="clear" w:color="auto" w:fill="FFFFFF"/>
        </w:rPr>
        <w:t>20</w:t>
      </w:r>
      <w:r>
        <w:rPr>
          <w:rFonts w:asciiTheme="minorEastAsia" w:eastAsiaTheme="minorEastAsia" w:hAnsiTheme="minorEastAsia" w:hint="eastAsia"/>
          <w:color w:val="333333"/>
          <w:sz w:val="18"/>
          <w:szCs w:val="18"/>
          <w:shd w:val="clear" w:color="auto" w:fill="FFFFFF"/>
        </w:rPr>
        <w:t>21</w:t>
      </w:r>
      <w:r>
        <w:rPr>
          <w:rFonts w:asciiTheme="minorEastAsia" w:eastAsiaTheme="minorEastAsia" w:hAnsiTheme="minorEastAsia" w:hint="eastAsia"/>
          <w:color w:val="333333"/>
          <w:sz w:val="18"/>
          <w:szCs w:val="18"/>
          <w:shd w:val="clear" w:color="auto" w:fill="FFFFFF"/>
        </w:rPr>
        <w:t>年股票期权激励计划首次授予股票期权行权价格由</w:t>
      </w:r>
      <w:r>
        <w:rPr>
          <w:rFonts w:asciiTheme="minorEastAsia" w:eastAsiaTheme="minorEastAsia" w:hAnsiTheme="minorEastAsia" w:hint="eastAsia"/>
          <w:color w:val="333333"/>
          <w:sz w:val="18"/>
          <w:szCs w:val="18"/>
          <w:shd w:val="clear" w:color="auto" w:fill="FFFFFF"/>
        </w:rPr>
        <w:t>4.23</w:t>
      </w:r>
      <w:r>
        <w:rPr>
          <w:rFonts w:asciiTheme="minorEastAsia" w:eastAsiaTheme="minorEastAsia" w:hAnsiTheme="minorEastAsia" w:hint="eastAsia"/>
          <w:color w:val="333333"/>
          <w:sz w:val="18"/>
          <w:szCs w:val="18"/>
          <w:shd w:val="clear" w:color="auto" w:fill="FFFFFF"/>
        </w:rPr>
        <w:t>元</w:t>
      </w:r>
      <w:r>
        <w:rPr>
          <w:rFonts w:asciiTheme="minorEastAsia" w:eastAsiaTheme="minorEastAsia" w:hAnsiTheme="minorEastAsia" w:hint="eastAsia"/>
          <w:color w:val="333333"/>
          <w:sz w:val="18"/>
          <w:szCs w:val="18"/>
          <w:shd w:val="clear" w:color="auto" w:fill="FFFFFF"/>
        </w:rPr>
        <w:t>/</w:t>
      </w:r>
      <w:r>
        <w:rPr>
          <w:rFonts w:asciiTheme="minorEastAsia" w:eastAsiaTheme="minorEastAsia" w:hAnsiTheme="minorEastAsia" w:hint="eastAsia"/>
          <w:color w:val="333333"/>
          <w:sz w:val="18"/>
          <w:szCs w:val="18"/>
          <w:shd w:val="clear" w:color="auto" w:fill="FFFFFF"/>
        </w:rPr>
        <w:t>股调整为</w:t>
      </w:r>
      <w:r>
        <w:rPr>
          <w:rFonts w:asciiTheme="minorEastAsia" w:eastAsiaTheme="minorEastAsia" w:hAnsiTheme="minorEastAsia" w:hint="eastAsia"/>
          <w:color w:val="333333"/>
          <w:sz w:val="18"/>
          <w:szCs w:val="18"/>
          <w:shd w:val="clear" w:color="auto" w:fill="FFFFFF"/>
        </w:rPr>
        <w:t>4.05</w:t>
      </w:r>
      <w:r>
        <w:rPr>
          <w:rFonts w:asciiTheme="minorEastAsia" w:eastAsiaTheme="minorEastAsia" w:hAnsiTheme="minorEastAsia" w:hint="eastAsia"/>
          <w:color w:val="333333"/>
          <w:sz w:val="18"/>
          <w:szCs w:val="18"/>
          <w:shd w:val="clear" w:color="auto" w:fill="FFFFFF"/>
        </w:rPr>
        <w:t>元</w:t>
      </w:r>
      <w:r>
        <w:rPr>
          <w:rFonts w:asciiTheme="minorEastAsia" w:eastAsiaTheme="minorEastAsia" w:hAnsiTheme="minorEastAsia" w:hint="eastAsia"/>
          <w:color w:val="333333"/>
          <w:sz w:val="18"/>
          <w:szCs w:val="18"/>
          <w:shd w:val="clear" w:color="auto" w:fill="FFFFFF"/>
        </w:rPr>
        <w:t>/</w:t>
      </w:r>
      <w:r>
        <w:rPr>
          <w:rFonts w:asciiTheme="minorEastAsia" w:eastAsiaTheme="minorEastAsia" w:hAnsiTheme="minorEastAsia" w:hint="eastAsia"/>
          <w:color w:val="333333"/>
          <w:sz w:val="18"/>
          <w:szCs w:val="18"/>
          <w:shd w:val="clear" w:color="auto" w:fill="FFFFFF"/>
        </w:rPr>
        <w:t>股。公司</w:t>
      </w:r>
      <w:r>
        <w:rPr>
          <w:rFonts w:asciiTheme="minorEastAsia" w:eastAsiaTheme="minorEastAsia" w:hAnsiTheme="minorEastAsia" w:hint="eastAsia"/>
          <w:color w:val="333333"/>
          <w:sz w:val="18"/>
          <w:szCs w:val="18"/>
          <w:shd w:val="clear" w:color="auto" w:fill="FFFFFF"/>
        </w:rPr>
        <w:t>2021</w:t>
      </w:r>
      <w:r>
        <w:rPr>
          <w:rFonts w:asciiTheme="minorEastAsia" w:eastAsiaTheme="minorEastAsia" w:hAnsiTheme="minorEastAsia" w:hint="eastAsia"/>
          <w:color w:val="333333"/>
          <w:sz w:val="18"/>
          <w:szCs w:val="18"/>
          <w:shd w:val="clear" w:color="auto" w:fill="FFFFFF"/>
        </w:rPr>
        <w:t>年股票期权激励计划预留授予股票期权行权价格由</w:t>
      </w:r>
      <w:r>
        <w:rPr>
          <w:rFonts w:asciiTheme="minorEastAsia" w:eastAsiaTheme="minorEastAsia" w:hAnsiTheme="minorEastAsia" w:hint="eastAsia"/>
          <w:color w:val="333333"/>
          <w:sz w:val="18"/>
          <w:szCs w:val="18"/>
          <w:shd w:val="clear" w:color="auto" w:fill="FFFFFF"/>
        </w:rPr>
        <w:t>4.43</w:t>
      </w:r>
      <w:r>
        <w:rPr>
          <w:rFonts w:asciiTheme="minorEastAsia" w:eastAsiaTheme="minorEastAsia" w:hAnsiTheme="minorEastAsia" w:hint="eastAsia"/>
          <w:color w:val="333333"/>
          <w:sz w:val="18"/>
          <w:szCs w:val="18"/>
          <w:shd w:val="clear" w:color="auto" w:fill="FFFFFF"/>
        </w:rPr>
        <w:t>元</w:t>
      </w:r>
      <w:r>
        <w:rPr>
          <w:rFonts w:asciiTheme="minorEastAsia" w:eastAsiaTheme="minorEastAsia" w:hAnsiTheme="minorEastAsia" w:hint="eastAsia"/>
          <w:color w:val="333333"/>
          <w:sz w:val="18"/>
          <w:szCs w:val="18"/>
          <w:shd w:val="clear" w:color="auto" w:fill="FFFFFF"/>
        </w:rPr>
        <w:t>/</w:t>
      </w:r>
      <w:r>
        <w:rPr>
          <w:rFonts w:asciiTheme="minorEastAsia" w:eastAsiaTheme="minorEastAsia" w:hAnsiTheme="minorEastAsia" w:hint="eastAsia"/>
          <w:color w:val="333333"/>
          <w:sz w:val="18"/>
          <w:szCs w:val="18"/>
          <w:shd w:val="clear" w:color="auto" w:fill="FFFFFF"/>
        </w:rPr>
        <w:t>股调整为</w:t>
      </w:r>
      <w:r>
        <w:rPr>
          <w:rFonts w:asciiTheme="minorEastAsia" w:eastAsiaTheme="minorEastAsia" w:hAnsiTheme="minorEastAsia" w:hint="eastAsia"/>
          <w:color w:val="333333"/>
          <w:sz w:val="18"/>
          <w:szCs w:val="18"/>
          <w:shd w:val="clear" w:color="auto" w:fill="FFFFFF"/>
        </w:rPr>
        <w:t xml:space="preserve"> 4.25</w:t>
      </w:r>
      <w:r>
        <w:rPr>
          <w:rFonts w:asciiTheme="minorEastAsia" w:eastAsiaTheme="minorEastAsia" w:hAnsiTheme="minorEastAsia" w:hint="eastAsia"/>
          <w:color w:val="333333"/>
          <w:sz w:val="18"/>
          <w:szCs w:val="18"/>
          <w:shd w:val="clear" w:color="auto" w:fill="FFFFFF"/>
        </w:rPr>
        <w:t>元</w:t>
      </w:r>
      <w:r>
        <w:rPr>
          <w:rFonts w:asciiTheme="minorEastAsia" w:eastAsiaTheme="minorEastAsia" w:hAnsiTheme="minorEastAsia" w:hint="eastAsia"/>
          <w:color w:val="333333"/>
          <w:sz w:val="18"/>
          <w:szCs w:val="18"/>
          <w:shd w:val="clear" w:color="auto" w:fill="FFFFFF"/>
        </w:rPr>
        <w:t>/</w:t>
      </w:r>
      <w:r>
        <w:rPr>
          <w:rFonts w:asciiTheme="minorEastAsia" w:eastAsiaTheme="minorEastAsia" w:hAnsiTheme="minorEastAsia" w:hint="eastAsia"/>
          <w:color w:val="333333"/>
          <w:sz w:val="18"/>
          <w:szCs w:val="18"/>
          <w:shd w:val="clear" w:color="auto" w:fill="FFFFFF"/>
        </w:rPr>
        <w:t>股。</w:t>
      </w:r>
    </w:p>
    <w:p w:rsidR="00A067C6" w:rsidRDefault="005C4966">
      <w:pPr>
        <w:pStyle w:val="3"/>
        <w:spacing w:line="280" w:lineRule="exact"/>
        <w:jc w:val="left"/>
        <w:rPr>
          <w:rFonts w:ascii="宋体" w:hAnsi="宋体" w:cs="宋体"/>
          <w:b/>
          <w:bCs/>
        </w:rPr>
      </w:pPr>
      <w:bookmarkStart w:id="61" w:name="_Toc988949"/>
      <w:r>
        <w:rPr>
          <w:rFonts w:ascii="宋体" w:hAnsi="宋体" w:cs="宋体"/>
          <w:b/>
          <w:bCs/>
        </w:rPr>
        <w:t>2</w:t>
      </w:r>
      <w:r>
        <w:rPr>
          <w:rFonts w:ascii="宋体" w:hAnsi="宋体" w:cs="宋体"/>
          <w:b/>
          <w:bCs/>
        </w:rPr>
        <w:t>、员工持股计划的实施情况</w:t>
      </w:r>
      <w:bookmarkEnd w:id="61"/>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pStyle w:val="3"/>
        <w:spacing w:line="280" w:lineRule="exact"/>
        <w:jc w:val="left"/>
        <w:rPr>
          <w:rFonts w:ascii="宋体" w:hAnsi="宋体" w:cs="宋体"/>
          <w:b/>
          <w:bCs/>
        </w:rPr>
      </w:pPr>
      <w:bookmarkStart w:id="62" w:name="_Toc988950"/>
      <w:r>
        <w:rPr>
          <w:rFonts w:ascii="宋体" w:hAnsi="宋体" w:cs="宋体"/>
          <w:b/>
          <w:bCs/>
        </w:rPr>
        <w:t>3</w:t>
      </w:r>
      <w:r>
        <w:rPr>
          <w:rFonts w:ascii="宋体" w:hAnsi="宋体" w:cs="宋体"/>
          <w:b/>
          <w:bCs/>
        </w:rPr>
        <w:t>、其他员工激励措施</w:t>
      </w:r>
      <w:bookmarkEnd w:id="62"/>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r>
        <w:br w:type="page"/>
      </w:r>
    </w:p>
    <w:p w:rsidR="00A067C6" w:rsidRDefault="005C4966">
      <w:pPr>
        <w:pStyle w:val="headingh1"/>
        <w:spacing w:before="340" w:after="330" w:line="773" w:lineRule="exact"/>
        <w:jc w:val="center"/>
        <w:rPr>
          <w:rFonts w:ascii="宋体" w:eastAsia="宋体" w:hAnsi="宋体" w:cs="宋体"/>
          <w:b/>
          <w:bCs/>
          <w:sz w:val="32"/>
          <w:szCs w:val="32"/>
        </w:rPr>
      </w:pPr>
      <w:bookmarkStart w:id="63" w:name="_Toc988951"/>
      <w:r>
        <w:rPr>
          <w:rFonts w:ascii="宋体" w:eastAsia="宋体" w:hAnsi="宋体" w:cs="宋体"/>
          <w:b/>
          <w:bCs/>
          <w:sz w:val="32"/>
          <w:szCs w:val="32"/>
        </w:rPr>
        <w:t>第五节</w:t>
      </w:r>
      <w:r>
        <w:rPr>
          <w:rFonts w:ascii="宋体" w:eastAsia="宋体" w:hAnsi="宋体" w:cs="宋体"/>
          <w:b/>
          <w:bCs/>
          <w:sz w:val="32"/>
          <w:szCs w:val="32"/>
        </w:rPr>
        <w:t xml:space="preserve"> </w:t>
      </w:r>
      <w:r>
        <w:rPr>
          <w:rFonts w:ascii="宋体" w:eastAsia="宋体" w:hAnsi="宋体" w:cs="宋体"/>
          <w:b/>
          <w:bCs/>
          <w:sz w:val="32"/>
          <w:szCs w:val="32"/>
        </w:rPr>
        <w:t>环境和社会责任</w:t>
      </w:r>
      <w:bookmarkEnd w:id="63"/>
    </w:p>
    <w:p w:rsidR="00A067C6" w:rsidRDefault="005C4966">
      <w:pPr>
        <w:pStyle w:val="2"/>
        <w:spacing w:before="300" w:after="300" w:line="320" w:lineRule="exact"/>
        <w:rPr>
          <w:rFonts w:ascii="宋体" w:eastAsia="宋体" w:hAnsi="宋体" w:cs="宋体"/>
          <w:b/>
          <w:bCs/>
          <w:sz w:val="24"/>
          <w:szCs w:val="24"/>
        </w:rPr>
      </w:pPr>
      <w:bookmarkStart w:id="64" w:name="_Toc988952"/>
      <w:r>
        <w:rPr>
          <w:rFonts w:ascii="宋体" w:eastAsia="宋体" w:hAnsi="宋体" w:cs="宋体"/>
          <w:b/>
          <w:bCs/>
          <w:sz w:val="24"/>
          <w:szCs w:val="24"/>
        </w:rPr>
        <w:t>一、重大环保问题情况</w:t>
      </w:r>
      <w:bookmarkEnd w:id="64"/>
    </w:p>
    <w:p w:rsidR="00A067C6" w:rsidRDefault="005C4966">
      <w:pPr>
        <w:spacing w:before="40" w:after="40" w:line="240" w:lineRule="exact"/>
        <w:rPr>
          <w:rFonts w:asciiTheme="minorEastAsia" w:hAnsiTheme="minorEastAsia" w:cs="宋体"/>
          <w:sz w:val="18"/>
          <w:szCs w:val="18"/>
        </w:rPr>
      </w:pPr>
      <w:r>
        <w:rPr>
          <w:rFonts w:asciiTheme="minorEastAsia" w:hAnsiTheme="minorEastAsia" w:cs="宋体"/>
          <w:sz w:val="18"/>
          <w:szCs w:val="18"/>
        </w:rPr>
        <w:t>上市公司及其子公司是否属于环境保护部门公布的重点排污单位</w:t>
      </w:r>
    </w:p>
    <w:p w:rsidR="00A067C6" w:rsidRDefault="005C4966">
      <w:pPr>
        <w:spacing w:before="40" w:after="40" w:line="240" w:lineRule="exact"/>
        <w:rPr>
          <w:rFonts w:asciiTheme="minorEastAsia" w:hAnsiTheme="minorEastAsia" w:cs="宋体"/>
          <w:sz w:val="18"/>
          <w:szCs w:val="18"/>
        </w:rPr>
      </w:pPr>
      <w:r>
        <w:rPr>
          <w:rFonts w:asciiTheme="minorEastAsia" w:hAnsiTheme="minorEastAsia" w:cs="宋体"/>
          <w:sz w:val="18"/>
          <w:szCs w:val="18"/>
        </w:rPr>
        <w:sym w:font="Wingdings 2" w:char="F052"/>
      </w:r>
      <w:r>
        <w:rPr>
          <w:rFonts w:asciiTheme="minorEastAsia" w:hAnsiTheme="minorEastAsia" w:cs="宋体"/>
          <w:sz w:val="18"/>
          <w:szCs w:val="18"/>
        </w:rPr>
        <w:t>是</w:t>
      </w:r>
      <w:r>
        <w:rPr>
          <w:rFonts w:asciiTheme="minorEastAsia" w:hAnsiTheme="minorEastAsia" w:cs="宋体"/>
          <w:sz w:val="18"/>
          <w:szCs w:val="18"/>
        </w:rPr>
        <w:t xml:space="preserve"> □</w:t>
      </w:r>
      <w:r>
        <w:rPr>
          <w:rFonts w:asciiTheme="minorEastAsia" w:hAnsiTheme="minorEastAsia" w:cs="宋体"/>
          <w:sz w:val="18"/>
          <w:szCs w:val="18"/>
        </w:rPr>
        <w:t>否</w:t>
      </w:r>
    </w:p>
    <w:p w:rsidR="00A067C6" w:rsidRDefault="005C4966">
      <w:pPr>
        <w:spacing w:before="100" w:after="100" w:line="240" w:lineRule="exact"/>
        <w:rPr>
          <w:rFonts w:asciiTheme="minorEastAsia" w:hAnsiTheme="minorEastAsia" w:cs="宋体"/>
          <w:sz w:val="18"/>
          <w:szCs w:val="18"/>
        </w:rPr>
      </w:pPr>
      <w:r>
        <w:rPr>
          <w:rFonts w:asciiTheme="minorEastAsia" w:hAnsiTheme="minorEastAsia" w:cs="宋体"/>
          <w:sz w:val="18"/>
          <w:szCs w:val="18"/>
        </w:rPr>
        <w:t>环境保护相关政策和行业标准</w:t>
      </w:r>
    </w:p>
    <w:p w:rsidR="00A067C6" w:rsidRDefault="005C4966">
      <w:pPr>
        <w:pStyle w:val="a6"/>
        <w:spacing w:before="0" w:beforeAutospacing="0" w:after="0" w:afterAutospacing="0"/>
        <w:rPr>
          <w:rFonts w:asciiTheme="minorEastAsia" w:eastAsiaTheme="minorEastAsia" w:hAnsiTheme="minorEastAsia"/>
          <w:sz w:val="21"/>
          <w:szCs w:val="21"/>
        </w:rPr>
      </w:pPr>
      <w:r>
        <w:rPr>
          <w:rFonts w:asciiTheme="minorEastAsia" w:eastAsiaTheme="minorEastAsia" w:hAnsiTheme="minorEastAsia" w:hint="eastAsia"/>
          <w:sz w:val="18"/>
          <w:szCs w:val="18"/>
        </w:rPr>
        <w:t>噪音执行标准《工业企业厂界环境噪音排放标准》</w:t>
      </w:r>
      <w:r>
        <w:rPr>
          <w:rFonts w:asciiTheme="minorEastAsia" w:eastAsiaTheme="minorEastAsia" w:hAnsiTheme="minorEastAsia"/>
          <w:sz w:val="18"/>
          <w:szCs w:val="18"/>
        </w:rPr>
        <w:t>GB12348-2008</w:t>
      </w:r>
    </w:p>
    <w:p w:rsidR="00A067C6" w:rsidRDefault="005C4966">
      <w:pPr>
        <w:pStyle w:val="a6"/>
        <w:spacing w:before="0" w:beforeAutospacing="0" w:after="0" w:afterAutospacing="0"/>
        <w:rPr>
          <w:rFonts w:asciiTheme="minorEastAsia" w:eastAsiaTheme="minorEastAsia" w:hAnsiTheme="minorEastAsia"/>
          <w:sz w:val="21"/>
          <w:szCs w:val="21"/>
        </w:rPr>
      </w:pPr>
      <w:r>
        <w:rPr>
          <w:rFonts w:asciiTheme="minorEastAsia" w:eastAsiaTheme="minorEastAsia" w:hAnsiTheme="minorEastAsia" w:hint="eastAsia"/>
          <w:sz w:val="18"/>
          <w:szCs w:val="18"/>
        </w:rPr>
        <w:t>污水执行标准《纺织染整工业水污染物排放标准》</w:t>
      </w:r>
      <w:r>
        <w:rPr>
          <w:rFonts w:asciiTheme="minorEastAsia" w:eastAsiaTheme="minorEastAsia" w:hAnsiTheme="minorEastAsia"/>
          <w:sz w:val="18"/>
          <w:szCs w:val="18"/>
        </w:rPr>
        <w:t>GB4287-2012</w:t>
      </w:r>
      <w:r>
        <w:rPr>
          <w:rFonts w:asciiTheme="minorEastAsia" w:eastAsiaTheme="minorEastAsia" w:hAnsiTheme="minorEastAsia" w:hint="eastAsia"/>
          <w:sz w:val="18"/>
          <w:szCs w:val="18"/>
        </w:rPr>
        <w:t>及其修改单</w:t>
      </w:r>
    </w:p>
    <w:p w:rsidR="00A067C6" w:rsidRDefault="005C4966">
      <w:pPr>
        <w:pStyle w:val="a6"/>
        <w:spacing w:before="0" w:beforeAutospacing="0" w:after="0" w:afterAutospacing="0"/>
        <w:rPr>
          <w:rFonts w:asciiTheme="minorEastAsia" w:eastAsiaTheme="minorEastAsia" w:hAnsiTheme="minorEastAsia"/>
          <w:sz w:val="21"/>
          <w:szCs w:val="21"/>
        </w:rPr>
      </w:pPr>
      <w:r>
        <w:rPr>
          <w:rFonts w:asciiTheme="minorEastAsia" w:eastAsiaTheme="minorEastAsia" w:hAnsiTheme="minorEastAsia" w:hint="eastAsia"/>
          <w:sz w:val="18"/>
          <w:szCs w:val="18"/>
        </w:rPr>
        <w:t>废气（染厂车间）执行标准《纺织染整工业大气污染物排放标准》</w:t>
      </w:r>
      <w:r>
        <w:rPr>
          <w:rFonts w:asciiTheme="minorEastAsia" w:eastAsiaTheme="minorEastAsia" w:hAnsiTheme="minorEastAsia"/>
          <w:sz w:val="18"/>
          <w:szCs w:val="18"/>
        </w:rPr>
        <w:t>DB33/962-2015</w:t>
      </w:r>
    </w:p>
    <w:p w:rsidR="00A067C6" w:rsidRDefault="005C4966">
      <w:pPr>
        <w:pStyle w:val="a6"/>
        <w:spacing w:before="0" w:beforeAutospacing="0" w:after="0" w:afterAutospacing="0"/>
        <w:rPr>
          <w:rFonts w:asciiTheme="minorEastAsia" w:eastAsiaTheme="minorEastAsia" w:hAnsiTheme="minorEastAsia"/>
          <w:sz w:val="21"/>
          <w:szCs w:val="21"/>
        </w:rPr>
      </w:pPr>
      <w:r>
        <w:rPr>
          <w:rFonts w:asciiTheme="minorEastAsia" w:eastAsiaTheme="minorEastAsia" w:hAnsiTheme="minorEastAsia" w:hint="eastAsia"/>
          <w:sz w:val="18"/>
          <w:szCs w:val="18"/>
        </w:rPr>
        <w:t>废气（厂界）《大气污染物综合排放标准》</w:t>
      </w:r>
      <w:r>
        <w:rPr>
          <w:rFonts w:asciiTheme="minorEastAsia" w:eastAsiaTheme="minorEastAsia" w:hAnsiTheme="minorEastAsia"/>
          <w:sz w:val="18"/>
          <w:szCs w:val="18"/>
        </w:rPr>
        <w:t>GB16297-1996</w:t>
      </w:r>
    </w:p>
    <w:p w:rsidR="00A067C6" w:rsidRDefault="005C4966">
      <w:pPr>
        <w:pStyle w:val="a6"/>
        <w:spacing w:before="0" w:beforeAutospacing="0" w:after="0" w:afterAutospacing="0"/>
        <w:rPr>
          <w:rFonts w:asciiTheme="minorEastAsia" w:eastAsiaTheme="minorEastAsia" w:hAnsiTheme="minorEastAsia"/>
          <w:sz w:val="21"/>
          <w:szCs w:val="21"/>
        </w:rPr>
      </w:pPr>
      <w:r>
        <w:rPr>
          <w:rFonts w:asciiTheme="minorEastAsia" w:eastAsiaTheme="minorEastAsia" w:hAnsiTheme="minorEastAsia" w:hint="eastAsia"/>
          <w:sz w:val="18"/>
          <w:szCs w:val="18"/>
        </w:rPr>
        <w:t>废气（污水站）《恶臭污染物排放标准》</w:t>
      </w:r>
      <w:r>
        <w:rPr>
          <w:rFonts w:asciiTheme="minorEastAsia" w:eastAsiaTheme="minorEastAsia" w:hAnsiTheme="minorEastAsia"/>
          <w:sz w:val="18"/>
          <w:szCs w:val="18"/>
        </w:rPr>
        <w:t>GB14554-93</w:t>
      </w:r>
    </w:p>
    <w:p w:rsidR="00A067C6" w:rsidRDefault="005C4966">
      <w:pPr>
        <w:spacing w:before="100" w:after="100" w:line="240" w:lineRule="exact"/>
        <w:rPr>
          <w:rFonts w:asciiTheme="minorEastAsia" w:hAnsiTheme="minorEastAsia" w:cs="宋体"/>
          <w:sz w:val="18"/>
          <w:szCs w:val="18"/>
        </w:rPr>
      </w:pPr>
      <w:r>
        <w:rPr>
          <w:rFonts w:asciiTheme="minorEastAsia" w:hAnsiTheme="minorEastAsia" w:cs="宋体"/>
          <w:sz w:val="18"/>
          <w:szCs w:val="18"/>
        </w:rPr>
        <w:t>环境保护行政许可情况</w:t>
      </w:r>
    </w:p>
    <w:p w:rsidR="00A067C6" w:rsidRDefault="005C4966">
      <w:pPr>
        <w:pStyle w:val="a6"/>
        <w:spacing w:beforeAutospacing="0" w:afterAutospacing="0" w:line="240" w:lineRule="atLeast"/>
        <w:rPr>
          <w:rFonts w:asciiTheme="minorEastAsia" w:eastAsiaTheme="minorEastAsia" w:hAnsiTheme="minorEastAsia"/>
          <w:sz w:val="21"/>
          <w:szCs w:val="21"/>
        </w:rPr>
      </w:pPr>
      <w:r>
        <w:rPr>
          <w:rFonts w:asciiTheme="minorEastAsia" w:eastAsiaTheme="minorEastAsia" w:hAnsiTheme="minorEastAsia" w:hint="eastAsia"/>
          <w:sz w:val="18"/>
          <w:szCs w:val="18"/>
        </w:rPr>
        <w:t>公司下属两家子公司属于环保重点管理单位，已申领排污许可证。</w:t>
      </w:r>
    </w:p>
    <w:p w:rsidR="00A067C6" w:rsidRDefault="005C4966">
      <w:pPr>
        <w:pStyle w:val="a6"/>
        <w:spacing w:before="0" w:beforeAutospacing="0" w:after="0" w:afterAutospacing="0"/>
        <w:rPr>
          <w:rFonts w:asciiTheme="minorEastAsia" w:eastAsiaTheme="minorEastAsia" w:hAnsiTheme="minorEastAsia"/>
          <w:sz w:val="21"/>
          <w:szCs w:val="21"/>
        </w:rPr>
      </w:pPr>
      <w:r>
        <w:rPr>
          <w:rFonts w:asciiTheme="minorEastAsia" w:eastAsiaTheme="minorEastAsia" w:hAnsiTheme="minorEastAsia" w:hint="eastAsia"/>
          <w:sz w:val="18"/>
          <w:szCs w:val="18"/>
        </w:rPr>
        <w:t>浙江社标纤维有限公司排污许可证有效期</w:t>
      </w:r>
      <w:r>
        <w:rPr>
          <w:rFonts w:asciiTheme="minorEastAsia" w:eastAsiaTheme="minorEastAsia" w:hAnsiTheme="minorEastAsia"/>
          <w:sz w:val="18"/>
          <w:szCs w:val="18"/>
        </w:rPr>
        <w:t>2022</w:t>
      </w:r>
      <w:r>
        <w:rPr>
          <w:rFonts w:asciiTheme="minorEastAsia" w:eastAsiaTheme="minorEastAsia" w:hAnsiTheme="minorEastAsia" w:hint="eastAsia"/>
          <w:sz w:val="18"/>
          <w:szCs w:val="18"/>
        </w:rPr>
        <w:t>年</w:t>
      </w:r>
      <w:r>
        <w:rPr>
          <w:rFonts w:asciiTheme="minorEastAsia" w:eastAsiaTheme="minorEastAsia" w:hAnsiTheme="minorEastAsia"/>
          <w:sz w:val="18"/>
          <w:szCs w:val="18"/>
        </w:rPr>
        <w:t>8</w:t>
      </w:r>
      <w:r>
        <w:rPr>
          <w:rFonts w:asciiTheme="minorEastAsia" w:eastAsiaTheme="minorEastAsia" w:hAnsiTheme="minorEastAsia" w:hint="eastAsia"/>
          <w:sz w:val="18"/>
          <w:szCs w:val="18"/>
        </w:rPr>
        <w:t>月</w:t>
      </w:r>
      <w:r>
        <w:rPr>
          <w:rFonts w:asciiTheme="minorEastAsia" w:eastAsiaTheme="minorEastAsia" w:hAnsiTheme="minorEastAsia"/>
          <w:sz w:val="18"/>
          <w:szCs w:val="18"/>
        </w:rPr>
        <w:t>4</w:t>
      </w:r>
      <w:r>
        <w:rPr>
          <w:rFonts w:asciiTheme="minorEastAsia" w:eastAsiaTheme="minorEastAsia" w:hAnsiTheme="minorEastAsia" w:hint="eastAsia"/>
          <w:sz w:val="18"/>
          <w:szCs w:val="18"/>
        </w:rPr>
        <w:t>日至</w:t>
      </w:r>
      <w:r>
        <w:rPr>
          <w:rFonts w:asciiTheme="minorEastAsia" w:eastAsiaTheme="minorEastAsia" w:hAnsiTheme="minorEastAsia"/>
          <w:sz w:val="18"/>
          <w:szCs w:val="18"/>
        </w:rPr>
        <w:t>2027</w:t>
      </w:r>
      <w:r>
        <w:rPr>
          <w:rFonts w:asciiTheme="minorEastAsia" w:eastAsiaTheme="minorEastAsia" w:hAnsiTheme="minorEastAsia" w:hint="eastAsia"/>
          <w:sz w:val="18"/>
          <w:szCs w:val="18"/>
        </w:rPr>
        <w:t>年</w:t>
      </w:r>
      <w:r>
        <w:rPr>
          <w:rFonts w:asciiTheme="minorEastAsia" w:eastAsiaTheme="minorEastAsia" w:hAnsiTheme="minorEastAsia"/>
          <w:sz w:val="18"/>
          <w:szCs w:val="18"/>
        </w:rPr>
        <w:t>8</w:t>
      </w:r>
      <w:r>
        <w:rPr>
          <w:rFonts w:asciiTheme="minorEastAsia" w:eastAsiaTheme="minorEastAsia" w:hAnsiTheme="minorEastAsia" w:hint="eastAsia"/>
          <w:sz w:val="18"/>
          <w:szCs w:val="18"/>
        </w:rPr>
        <w:t>月</w:t>
      </w:r>
      <w:r>
        <w:rPr>
          <w:rFonts w:asciiTheme="minorEastAsia" w:eastAsiaTheme="minorEastAsia" w:hAnsiTheme="minorEastAsia"/>
          <w:sz w:val="18"/>
          <w:szCs w:val="18"/>
        </w:rPr>
        <w:t>3</w:t>
      </w:r>
      <w:r>
        <w:rPr>
          <w:rFonts w:asciiTheme="minorEastAsia" w:eastAsiaTheme="minorEastAsia" w:hAnsiTheme="minorEastAsia" w:hint="eastAsia"/>
          <w:sz w:val="18"/>
          <w:szCs w:val="18"/>
        </w:rPr>
        <w:t>日</w:t>
      </w:r>
    </w:p>
    <w:p w:rsidR="00A067C6" w:rsidRDefault="005C4966">
      <w:pPr>
        <w:pStyle w:val="a6"/>
        <w:spacing w:before="0" w:beforeAutospacing="0" w:after="0" w:afterAutospacing="0"/>
        <w:rPr>
          <w:rFonts w:asciiTheme="minorEastAsia" w:eastAsiaTheme="minorEastAsia" w:hAnsiTheme="minorEastAsia"/>
          <w:sz w:val="21"/>
          <w:szCs w:val="21"/>
        </w:rPr>
      </w:pPr>
      <w:r>
        <w:rPr>
          <w:rFonts w:asciiTheme="minorEastAsia" w:eastAsiaTheme="minorEastAsia" w:hAnsiTheme="minorEastAsia" w:hint="eastAsia"/>
          <w:sz w:val="18"/>
          <w:szCs w:val="18"/>
        </w:rPr>
        <w:t>阿克苏标信纤维有限公司排污许可证有效期</w:t>
      </w:r>
      <w:r>
        <w:rPr>
          <w:rFonts w:asciiTheme="minorEastAsia" w:eastAsiaTheme="minorEastAsia" w:hAnsiTheme="minorEastAsia"/>
          <w:sz w:val="18"/>
          <w:szCs w:val="18"/>
        </w:rPr>
        <w:t>2022</w:t>
      </w:r>
      <w:r>
        <w:rPr>
          <w:rFonts w:asciiTheme="minorEastAsia" w:eastAsiaTheme="minorEastAsia" w:hAnsiTheme="minorEastAsia" w:hint="eastAsia"/>
          <w:sz w:val="18"/>
          <w:szCs w:val="18"/>
        </w:rPr>
        <w:t>年</w:t>
      </w:r>
      <w:r>
        <w:rPr>
          <w:rFonts w:asciiTheme="minorEastAsia" w:eastAsiaTheme="minorEastAsia" w:hAnsiTheme="minorEastAsia"/>
          <w:sz w:val="18"/>
          <w:szCs w:val="18"/>
        </w:rPr>
        <w:t>2</w:t>
      </w:r>
      <w:r>
        <w:rPr>
          <w:rFonts w:asciiTheme="minorEastAsia" w:eastAsiaTheme="minorEastAsia" w:hAnsiTheme="minorEastAsia" w:hint="eastAsia"/>
          <w:sz w:val="18"/>
          <w:szCs w:val="18"/>
        </w:rPr>
        <w:t>月</w:t>
      </w:r>
      <w:r>
        <w:rPr>
          <w:rFonts w:asciiTheme="minorEastAsia" w:eastAsiaTheme="minorEastAsia" w:hAnsiTheme="minorEastAsia"/>
          <w:sz w:val="18"/>
          <w:szCs w:val="18"/>
        </w:rPr>
        <w:t>3</w:t>
      </w:r>
      <w:r>
        <w:rPr>
          <w:rFonts w:asciiTheme="minorEastAsia" w:eastAsiaTheme="minorEastAsia" w:hAnsiTheme="minorEastAsia" w:hint="eastAsia"/>
          <w:sz w:val="18"/>
          <w:szCs w:val="18"/>
        </w:rPr>
        <w:t>日至</w:t>
      </w:r>
      <w:r>
        <w:rPr>
          <w:rFonts w:asciiTheme="minorEastAsia" w:eastAsiaTheme="minorEastAsia" w:hAnsiTheme="minorEastAsia"/>
          <w:sz w:val="18"/>
          <w:szCs w:val="18"/>
        </w:rPr>
        <w:t>2027</w:t>
      </w:r>
      <w:r>
        <w:rPr>
          <w:rFonts w:asciiTheme="minorEastAsia" w:eastAsiaTheme="minorEastAsia" w:hAnsiTheme="minorEastAsia" w:hint="eastAsia"/>
          <w:sz w:val="18"/>
          <w:szCs w:val="18"/>
        </w:rPr>
        <w:t>年</w:t>
      </w:r>
      <w:r>
        <w:rPr>
          <w:rFonts w:asciiTheme="minorEastAsia" w:eastAsiaTheme="minorEastAsia" w:hAnsiTheme="minorEastAsia"/>
          <w:sz w:val="18"/>
          <w:szCs w:val="18"/>
        </w:rPr>
        <w:t>2</w:t>
      </w:r>
      <w:r>
        <w:rPr>
          <w:rFonts w:asciiTheme="minorEastAsia" w:eastAsiaTheme="minorEastAsia" w:hAnsiTheme="minorEastAsia" w:hint="eastAsia"/>
          <w:sz w:val="18"/>
          <w:szCs w:val="18"/>
        </w:rPr>
        <w:t>月</w:t>
      </w:r>
      <w:r>
        <w:rPr>
          <w:rFonts w:asciiTheme="minorEastAsia" w:eastAsiaTheme="minorEastAsia" w:hAnsiTheme="minorEastAsia"/>
          <w:sz w:val="18"/>
          <w:szCs w:val="18"/>
        </w:rPr>
        <w:t>2</w:t>
      </w:r>
      <w:r>
        <w:rPr>
          <w:rFonts w:asciiTheme="minorEastAsia" w:eastAsiaTheme="minorEastAsia" w:hAnsiTheme="minorEastAsia" w:hint="eastAsia"/>
          <w:sz w:val="18"/>
          <w:szCs w:val="18"/>
        </w:rPr>
        <w:t>日</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行业排放标准及生产经营活动中涉及的污染物排放的具体情况</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77"/>
        <w:gridCol w:w="877"/>
        <w:gridCol w:w="877"/>
        <w:gridCol w:w="876"/>
        <w:gridCol w:w="876"/>
        <w:gridCol w:w="876"/>
        <w:gridCol w:w="876"/>
        <w:gridCol w:w="876"/>
        <w:gridCol w:w="876"/>
        <w:gridCol w:w="876"/>
        <w:gridCol w:w="876"/>
      </w:tblGrid>
      <w:tr w:rsidR="00A067C6">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公司或子公司名称</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主要污染物及特征污染物的种类</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主要污染物及特征污染物的名称</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排放方式</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排放口数量</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排放口分布情况</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排放浓度</w:t>
            </w:r>
            <w:r>
              <w:rPr>
                <w:rFonts w:ascii="宋体" w:eastAsia="宋体" w:hAnsi="宋体" w:cs="宋体"/>
                <w:sz w:val="18"/>
                <w:szCs w:val="18"/>
              </w:rPr>
              <w:t>/</w:t>
            </w:r>
            <w:r>
              <w:rPr>
                <w:rFonts w:ascii="宋体" w:eastAsia="宋体" w:hAnsi="宋体" w:cs="宋体"/>
                <w:sz w:val="18"/>
                <w:szCs w:val="18"/>
              </w:rPr>
              <w:t>强度</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执行的污染物排放标准</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排放总量</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核定的排放总量</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超标排放情况</w:t>
            </w:r>
          </w:p>
        </w:tc>
      </w:tr>
      <w:tr w:rsidR="00A067C6">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浙江社标纤维有限公司</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污水</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COD</w:t>
            </w:r>
            <w:r>
              <w:rPr>
                <w:rFonts w:ascii="宋体" w:eastAsia="宋体" w:hAnsi="宋体" w:cs="宋体"/>
                <w:sz w:val="18"/>
                <w:szCs w:val="18"/>
              </w:rPr>
              <w:t>、氨氮</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间接排放</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厂区总口</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COD200mg/L;</w:t>
            </w:r>
            <w:r>
              <w:rPr>
                <w:rFonts w:ascii="宋体" w:eastAsia="宋体" w:hAnsi="宋体" w:cs="宋体"/>
                <w:sz w:val="18"/>
                <w:szCs w:val="18"/>
              </w:rPr>
              <w:t>氨氮</w:t>
            </w:r>
            <w:r>
              <w:rPr>
                <w:rFonts w:ascii="宋体" w:eastAsia="宋体" w:hAnsi="宋体" w:cs="宋体"/>
                <w:sz w:val="18"/>
                <w:szCs w:val="18"/>
              </w:rPr>
              <w:t>20mg/L</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GB4287-2012</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xml:space="preserve">COD </w:t>
            </w:r>
            <w:r>
              <w:rPr>
                <w:rFonts w:ascii="宋体" w:eastAsia="宋体" w:hAnsi="宋体" w:cs="宋体"/>
                <w:sz w:val="18"/>
                <w:szCs w:val="18"/>
              </w:rPr>
              <w:t>：</w:t>
            </w:r>
            <w:r>
              <w:rPr>
                <w:rFonts w:ascii="宋体" w:eastAsia="宋体" w:hAnsi="宋体" w:cs="宋体"/>
                <w:sz w:val="18"/>
                <w:szCs w:val="18"/>
              </w:rPr>
              <w:t>11.906</w:t>
            </w:r>
            <w:r>
              <w:rPr>
                <w:rFonts w:ascii="宋体" w:eastAsia="宋体" w:hAnsi="宋体" w:cs="宋体"/>
                <w:sz w:val="18"/>
                <w:szCs w:val="18"/>
              </w:rPr>
              <w:t>吨；氨氮：</w:t>
            </w:r>
            <w:r>
              <w:rPr>
                <w:rFonts w:ascii="宋体" w:eastAsia="宋体" w:hAnsi="宋体" w:cs="宋体"/>
                <w:sz w:val="18"/>
                <w:szCs w:val="18"/>
              </w:rPr>
              <w:t>0.096</w:t>
            </w:r>
            <w:r>
              <w:rPr>
                <w:rFonts w:ascii="宋体" w:eastAsia="宋体" w:hAnsi="宋体" w:cs="宋体"/>
                <w:sz w:val="18"/>
                <w:szCs w:val="18"/>
              </w:rPr>
              <w:t>吨；</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xml:space="preserve">COD </w:t>
            </w:r>
            <w:r>
              <w:rPr>
                <w:rFonts w:ascii="宋体" w:eastAsia="宋体" w:hAnsi="宋体" w:cs="宋体"/>
                <w:sz w:val="18"/>
                <w:szCs w:val="18"/>
              </w:rPr>
              <w:t>：</w:t>
            </w:r>
            <w:r>
              <w:rPr>
                <w:rFonts w:ascii="宋体" w:eastAsia="宋体" w:hAnsi="宋体" w:cs="宋体"/>
                <w:sz w:val="18"/>
                <w:szCs w:val="18"/>
              </w:rPr>
              <w:t>45.36</w:t>
            </w:r>
            <w:r>
              <w:rPr>
                <w:rFonts w:ascii="宋体" w:eastAsia="宋体" w:hAnsi="宋体" w:cs="宋体"/>
                <w:sz w:val="18"/>
                <w:szCs w:val="18"/>
              </w:rPr>
              <w:t>吨；氨氮：</w:t>
            </w:r>
            <w:r>
              <w:rPr>
                <w:rFonts w:ascii="宋体" w:eastAsia="宋体" w:hAnsi="宋体" w:cs="宋体"/>
                <w:sz w:val="18"/>
                <w:szCs w:val="18"/>
              </w:rPr>
              <w:t>8.505</w:t>
            </w:r>
            <w:r>
              <w:rPr>
                <w:rFonts w:ascii="宋体" w:eastAsia="宋体" w:hAnsi="宋体" w:cs="宋体"/>
                <w:sz w:val="18"/>
                <w:szCs w:val="18"/>
              </w:rPr>
              <w:t>吨；</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无</w:t>
            </w:r>
          </w:p>
        </w:tc>
      </w:tr>
      <w:tr w:rsidR="00A067C6">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阿克苏标信纤维有限公司</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污水</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COD</w:t>
            </w:r>
            <w:r>
              <w:rPr>
                <w:rFonts w:ascii="宋体" w:eastAsia="宋体" w:hAnsi="宋体" w:cs="宋体"/>
                <w:sz w:val="18"/>
                <w:szCs w:val="18"/>
              </w:rPr>
              <w:t>、氨氮</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间接排放</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厂区总口</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COD200mg/L;</w:t>
            </w:r>
            <w:r>
              <w:rPr>
                <w:rFonts w:ascii="宋体" w:eastAsia="宋体" w:hAnsi="宋体" w:cs="宋体"/>
                <w:sz w:val="18"/>
                <w:szCs w:val="18"/>
              </w:rPr>
              <w:t>氨氮</w:t>
            </w:r>
            <w:r>
              <w:rPr>
                <w:rFonts w:ascii="宋体" w:eastAsia="宋体" w:hAnsi="宋体" w:cs="宋体"/>
                <w:sz w:val="18"/>
                <w:szCs w:val="18"/>
              </w:rPr>
              <w:t>20mg/L</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GB4287-2012</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xml:space="preserve">COD </w:t>
            </w:r>
            <w:r>
              <w:rPr>
                <w:rFonts w:ascii="宋体" w:eastAsia="宋体" w:hAnsi="宋体" w:cs="宋体"/>
                <w:sz w:val="18"/>
                <w:szCs w:val="18"/>
              </w:rPr>
              <w:t>：</w:t>
            </w:r>
            <w:r>
              <w:rPr>
                <w:rFonts w:ascii="宋体" w:eastAsia="宋体" w:hAnsi="宋体" w:cs="宋体"/>
                <w:sz w:val="18"/>
                <w:szCs w:val="18"/>
              </w:rPr>
              <w:t>17.741</w:t>
            </w:r>
            <w:r>
              <w:rPr>
                <w:rFonts w:ascii="宋体" w:eastAsia="宋体" w:hAnsi="宋体" w:cs="宋体"/>
                <w:sz w:val="18"/>
                <w:szCs w:val="18"/>
              </w:rPr>
              <w:t>吨；氨氮：</w:t>
            </w:r>
            <w:r>
              <w:rPr>
                <w:rFonts w:ascii="宋体" w:eastAsia="宋体" w:hAnsi="宋体" w:cs="宋体"/>
                <w:sz w:val="18"/>
                <w:szCs w:val="18"/>
              </w:rPr>
              <w:t>0.659</w:t>
            </w:r>
            <w:r>
              <w:rPr>
                <w:rFonts w:ascii="宋体" w:eastAsia="宋体" w:hAnsi="宋体" w:cs="宋体"/>
                <w:sz w:val="18"/>
                <w:szCs w:val="18"/>
              </w:rPr>
              <w:t>吨；</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COD</w:t>
            </w:r>
            <w:r>
              <w:rPr>
                <w:rFonts w:ascii="宋体" w:eastAsia="宋体" w:hAnsi="宋体" w:cs="宋体"/>
                <w:sz w:val="18"/>
                <w:szCs w:val="18"/>
              </w:rPr>
              <w:t>：</w:t>
            </w:r>
            <w:r>
              <w:rPr>
                <w:rFonts w:ascii="宋体" w:eastAsia="宋体" w:hAnsi="宋体" w:cs="宋体"/>
                <w:sz w:val="18"/>
                <w:szCs w:val="18"/>
              </w:rPr>
              <w:t xml:space="preserve">168 </w:t>
            </w:r>
            <w:r>
              <w:rPr>
                <w:rFonts w:ascii="宋体" w:eastAsia="宋体" w:hAnsi="宋体" w:cs="宋体"/>
                <w:sz w:val="18"/>
                <w:szCs w:val="18"/>
              </w:rPr>
              <w:t>吨氨氮：</w:t>
            </w:r>
            <w:r>
              <w:rPr>
                <w:rFonts w:ascii="宋体" w:eastAsia="宋体" w:hAnsi="宋体" w:cs="宋体"/>
                <w:sz w:val="18"/>
                <w:szCs w:val="18"/>
              </w:rPr>
              <w:t xml:space="preserve"> 28</w:t>
            </w:r>
            <w:r>
              <w:rPr>
                <w:rFonts w:ascii="宋体" w:eastAsia="宋体" w:hAnsi="宋体" w:cs="宋体"/>
                <w:sz w:val="18"/>
                <w:szCs w:val="18"/>
              </w:rPr>
              <w:t>吨</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无</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对污染物的处理</w:t>
      </w:r>
    </w:p>
    <w:p w:rsidR="00A067C6" w:rsidRDefault="005C4966">
      <w:pPr>
        <w:pStyle w:val="a6"/>
        <w:spacing w:before="0" w:beforeAutospacing="0" w:after="0" w:afterAutospacing="0"/>
        <w:ind w:firstLineChars="200" w:firstLine="360"/>
        <w:rPr>
          <w:rFonts w:ascii="Calibri" w:hAnsi="Calibri"/>
          <w:sz w:val="21"/>
          <w:szCs w:val="21"/>
        </w:rPr>
      </w:pPr>
      <w:r>
        <w:rPr>
          <w:rFonts w:ascii="Calibri" w:hAnsi="Calibri"/>
          <w:sz w:val="18"/>
          <w:szCs w:val="18"/>
        </w:rPr>
        <w:t>1</w:t>
      </w:r>
      <w:r>
        <w:rPr>
          <w:rFonts w:hint="eastAsia"/>
          <w:sz w:val="18"/>
          <w:szCs w:val="18"/>
        </w:rPr>
        <w:t>、上述两家公司均设有污水处理站。目前污水处理站运行情况良好，能够满足生产所需。</w:t>
      </w:r>
    </w:p>
    <w:p w:rsidR="00A067C6" w:rsidRDefault="005C4966">
      <w:pPr>
        <w:pStyle w:val="a6"/>
        <w:spacing w:before="0" w:beforeAutospacing="0" w:after="0" w:afterAutospacing="0"/>
        <w:ind w:firstLineChars="200" w:firstLine="360"/>
        <w:rPr>
          <w:rFonts w:ascii="Calibri" w:hAnsi="Calibri"/>
          <w:sz w:val="21"/>
          <w:szCs w:val="21"/>
        </w:rPr>
      </w:pPr>
      <w:r>
        <w:rPr>
          <w:rFonts w:ascii="Calibri" w:hAnsi="Calibri"/>
          <w:sz w:val="18"/>
          <w:szCs w:val="18"/>
        </w:rPr>
        <w:t>2</w:t>
      </w:r>
      <w:r>
        <w:rPr>
          <w:rFonts w:hint="eastAsia"/>
          <w:sz w:val="18"/>
          <w:szCs w:val="18"/>
        </w:rPr>
        <w:t>、一般固废污泥和危废收集后交由具有处置资质的固废处理单位处理。其他固废垃圾进行合理的综合利用和焚烧处理。</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突发环境事件应急预案</w:t>
      </w:r>
    </w:p>
    <w:p w:rsidR="00A067C6" w:rsidRDefault="005C4966">
      <w:pPr>
        <w:pStyle w:val="a6"/>
        <w:spacing w:before="0" w:beforeAutospacing="0" w:after="0" w:afterAutospacing="0"/>
        <w:ind w:firstLineChars="200" w:firstLine="360"/>
        <w:rPr>
          <w:rFonts w:ascii="Calibri" w:hAnsi="Calibri"/>
          <w:sz w:val="21"/>
          <w:szCs w:val="21"/>
        </w:rPr>
      </w:pPr>
      <w:r>
        <w:rPr>
          <w:rFonts w:hint="eastAsia"/>
          <w:sz w:val="18"/>
          <w:szCs w:val="18"/>
        </w:rPr>
        <w:t>公司建立了较为完善的环境风险应急机制，对重点排污企业均制定了《突发环境污染事件综合应急预案》，并在当地政府备案，确保时间发生时能够迅速、有序、高效的进行应急处置。</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环境治理和保护的投入及缴纳环境保护税的相关情况</w:t>
      </w:r>
    </w:p>
    <w:p w:rsidR="00A067C6" w:rsidRDefault="005C4966">
      <w:pPr>
        <w:pStyle w:val="a6"/>
        <w:spacing w:before="0" w:beforeAutospacing="0" w:after="0" w:afterAutospacing="0"/>
        <w:ind w:firstLineChars="200" w:firstLine="360"/>
        <w:rPr>
          <w:rFonts w:ascii="Calibri" w:hAnsi="Calibri"/>
          <w:sz w:val="21"/>
          <w:szCs w:val="21"/>
        </w:rPr>
      </w:pPr>
      <w:r>
        <w:rPr>
          <w:rFonts w:ascii="Calibri" w:hAnsi="Calibri"/>
          <w:sz w:val="18"/>
          <w:szCs w:val="18"/>
        </w:rPr>
        <w:t>2023</w:t>
      </w:r>
      <w:r>
        <w:rPr>
          <w:rFonts w:hint="eastAsia"/>
          <w:sz w:val="18"/>
          <w:szCs w:val="18"/>
        </w:rPr>
        <w:t>年上半年度公司在环保模块合计投入约</w:t>
      </w:r>
      <w:r>
        <w:rPr>
          <w:rFonts w:ascii="Calibri" w:hAnsi="Calibri"/>
          <w:sz w:val="18"/>
          <w:szCs w:val="18"/>
        </w:rPr>
        <w:t>763.0483</w:t>
      </w:r>
      <w:r>
        <w:rPr>
          <w:rFonts w:hint="eastAsia"/>
          <w:sz w:val="18"/>
          <w:szCs w:val="18"/>
        </w:rPr>
        <w:t>万元，其中浙江社标纤维有限公司</w:t>
      </w:r>
      <w:r>
        <w:rPr>
          <w:rFonts w:ascii="Calibri" w:hAnsi="Calibri"/>
          <w:sz w:val="18"/>
          <w:szCs w:val="18"/>
        </w:rPr>
        <w:t>394.15</w:t>
      </w:r>
      <w:r>
        <w:rPr>
          <w:rFonts w:hint="eastAsia"/>
          <w:sz w:val="18"/>
          <w:szCs w:val="18"/>
        </w:rPr>
        <w:t>万元，阿克苏标信纤维有限公司</w:t>
      </w:r>
      <w:r>
        <w:rPr>
          <w:rFonts w:ascii="Calibri" w:hAnsi="Calibri"/>
          <w:sz w:val="18"/>
          <w:szCs w:val="18"/>
        </w:rPr>
        <w:t>368.8983</w:t>
      </w:r>
      <w:r>
        <w:rPr>
          <w:rFonts w:hint="eastAsia"/>
          <w:sz w:val="18"/>
          <w:szCs w:val="18"/>
        </w:rPr>
        <w:t>万元。</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环境自行监测方案</w:t>
      </w:r>
    </w:p>
    <w:p w:rsidR="00A067C6" w:rsidRDefault="005C4966">
      <w:pPr>
        <w:pStyle w:val="a6"/>
        <w:spacing w:before="0" w:beforeAutospacing="0" w:after="0" w:afterAutospacing="0"/>
        <w:ind w:firstLineChars="200" w:firstLine="360"/>
        <w:rPr>
          <w:rFonts w:ascii="Calibri" w:hAnsi="Calibri"/>
          <w:sz w:val="21"/>
          <w:szCs w:val="21"/>
        </w:rPr>
      </w:pPr>
      <w:r>
        <w:rPr>
          <w:rFonts w:hint="eastAsia"/>
          <w:sz w:val="18"/>
          <w:szCs w:val="18"/>
        </w:rPr>
        <w:t>上述两家公司均采用先进的分析仪器，能够对排放废水的</w:t>
      </w:r>
      <w:r>
        <w:rPr>
          <w:rFonts w:ascii="Calibri" w:hAnsi="Calibri"/>
          <w:sz w:val="18"/>
          <w:szCs w:val="18"/>
        </w:rPr>
        <w:t>COD</w:t>
      </w:r>
      <w:r>
        <w:rPr>
          <w:rFonts w:hint="eastAsia"/>
          <w:sz w:val="18"/>
          <w:szCs w:val="18"/>
        </w:rPr>
        <w:t>、氨氮、</w:t>
      </w:r>
      <w:r>
        <w:rPr>
          <w:rFonts w:ascii="Calibri" w:hAnsi="Calibri"/>
          <w:sz w:val="18"/>
          <w:szCs w:val="18"/>
        </w:rPr>
        <w:t>PH</w:t>
      </w:r>
      <w:r>
        <w:rPr>
          <w:rFonts w:hint="eastAsia"/>
          <w:sz w:val="18"/>
          <w:szCs w:val="18"/>
        </w:rPr>
        <w:t>、流量、总氮等这些项目进行自动采集取样并自动检测。同时企业检测</w:t>
      </w:r>
      <w:r>
        <w:rPr>
          <w:rFonts w:hint="eastAsia"/>
          <w:sz w:val="18"/>
          <w:szCs w:val="18"/>
        </w:rPr>
        <w:t>人员每天在污水排放口对排放废水的</w:t>
      </w:r>
      <w:r>
        <w:rPr>
          <w:rFonts w:ascii="Calibri" w:hAnsi="Calibri"/>
          <w:sz w:val="18"/>
          <w:szCs w:val="18"/>
        </w:rPr>
        <w:t>COD</w:t>
      </w:r>
      <w:r>
        <w:rPr>
          <w:rFonts w:hint="eastAsia"/>
          <w:sz w:val="18"/>
          <w:szCs w:val="18"/>
        </w:rPr>
        <w:t>、</w:t>
      </w:r>
      <w:r>
        <w:rPr>
          <w:rFonts w:ascii="Calibri" w:hAnsi="Calibri"/>
          <w:sz w:val="18"/>
          <w:szCs w:val="18"/>
        </w:rPr>
        <w:t>PH</w:t>
      </w:r>
      <w:r>
        <w:rPr>
          <w:rFonts w:hint="eastAsia"/>
          <w:sz w:val="18"/>
          <w:szCs w:val="18"/>
        </w:rPr>
        <w:t>值、色度、氨氮、总磷、苯胺等指标进行取样检测，</w:t>
      </w:r>
      <w:r>
        <w:rPr>
          <w:rFonts w:ascii="Calibri" w:hAnsi="Calibri"/>
          <w:sz w:val="18"/>
          <w:szCs w:val="18"/>
        </w:rPr>
        <w:t>BOD</w:t>
      </w:r>
      <w:r>
        <w:rPr>
          <w:rFonts w:hint="eastAsia"/>
          <w:sz w:val="18"/>
          <w:szCs w:val="18"/>
        </w:rPr>
        <w:t>、</w:t>
      </w:r>
      <w:r>
        <w:rPr>
          <w:rFonts w:ascii="Calibri" w:hAnsi="Calibri"/>
          <w:sz w:val="18"/>
          <w:szCs w:val="18"/>
        </w:rPr>
        <w:t>SS</w:t>
      </w:r>
      <w:r>
        <w:rPr>
          <w:rFonts w:hint="eastAsia"/>
          <w:sz w:val="18"/>
          <w:szCs w:val="18"/>
        </w:rPr>
        <w:t>、二氧化氯等指标检测人员每周进行取样检测，以确保达标排放。为了验证检测仪器的准确有效，同时公司委托有检测资质的公司每周一次抽取排放废水进行对比检测。</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报告期内因环境问题受到行政处罚的情况</w:t>
      </w:r>
    </w:p>
    <w:p w:rsidR="00A067C6" w:rsidRDefault="005C4966">
      <w:pPr>
        <w:spacing w:before="100" w:after="100" w:line="240" w:lineRule="exact"/>
        <w:rPr>
          <w:rFonts w:ascii="宋体" w:eastAsia="宋体" w:hAnsi="宋体" w:cs="宋体"/>
          <w:sz w:val="18"/>
          <w:szCs w:val="18"/>
        </w:rPr>
      </w:pPr>
      <w:r>
        <w:rPr>
          <w:rFonts w:ascii="宋体" w:eastAsia="宋体" w:hAnsi="宋体" w:cs="宋体" w:hint="eastAsia"/>
          <w:sz w:val="18"/>
          <w:szCs w:val="18"/>
        </w:rPr>
        <w:t>无</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其他应当公开的环境信息</w:t>
      </w:r>
    </w:p>
    <w:p w:rsidR="00A067C6" w:rsidRDefault="005C4966">
      <w:pPr>
        <w:pStyle w:val="a6"/>
        <w:spacing w:before="0" w:beforeAutospacing="0" w:after="0" w:afterAutospacing="0"/>
        <w:rPr>
          <w:rFonts w:ascii="Calibri" w:hAnsi="Calibri"/>
          <w:sz w:val="21"/>
          <w:szCs w:val="21"/>
        </w:rPr>
      </w:pPr>
      <w:r>
        <w:rPr>
          <w:rFonts w:hint="eastAsia"/>
          <w:sz w:val="18"/>
          <w:szCs w:val="18"/>
        </w:rPr>
        <w:t>公司环境信息已在浙江省企业环境信息依法披露系统（</w:t>
      </w:r>
      <w:r>
        <w:rPr>
          <w:rFonts w:ascii="Calibri" w:hAnsi="Calibri"/>
          <w:sz w:val="18"/>
          <w:szCs w:val="18"/>
        </w:rPr>
        <w:t>http</w:t>
      </w:r>
      <w:r>
        <w:rPr>
          <w:rFonts w:hint="eastAsia"/>
          <w:sz w:val="18"/>
          <w:szCs w:val="18"/>
        </w:rPr>
        <w:t>：</w:t>
      </w:r>
      <w:r>
        <w:rPr>
          <w:rFonts w:ascii="Calibri" w:hAnsi="Calibri"/>
          <w:sz w:val="18"/>
          <w:szCs w:val="18"/>
        </w:rPr>
        <w:t>//223.4.69.45:8088/eps/</w:t>
      </w:r>
      <w:r>
        <w:rPr>
          <w:rFonts w:hint="eastAsia"/>
          <w:sz w:val="18"/>
          <w:szCs w:val="18"/>
        </w:rPr>
        <w:t>）进行披露。</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在报告期内为减少其碳排放所采取的措施及效果</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其他环保相关信</w:t>
      </w:r>
      <w:r>
        <w:rPr>
          <w:rFonts w:ascii="宋体" w:eastAsia="宋体" w:hAnsi="宋体" w:cs="宋体"/>
          <w:sz w:val="18"/>
          <w:szCs w:val="18"/>
        </w:rPr>
        <w:t>息</w:t>
      </w:r>
    </w:p>
    <w:p w:rsidR="00A067C6" w:rsidRDefault="005C4966">
      <w:pPr>
        <w:spacing w:before="40" w:after="40" w:line="240" w:lineRule="exact"/>
        <w:rPr>
          <w:rFonts w:ascii="宋体" w:eastAsia="宋体" w:hAnsi="宋体" w:cs="宋体"/>
          <w:sz w:val="18"/>
          <w:szCs w:val="18"/>
        </w:rPr>
      </w:pPr>
      <w:r>
        <w:rPr>
          <w:rFonts w:ascii="宋体" w:eastAsia="宋体" w:hAnsi="宋体" w:cs="宋体" w:hint="eastAsia"/>
          <w:sz w:val="18"/>
          <w:szCs w:val="18"/>
        </w:rPr>
        <w:t>无</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公司需遵守《深圳证券交易所上市公司自律监管指引第</w:t>
      </w:r>
      <w:r>
        <w:rPr>
          <w:rFonts w:ascii="宋体" w:eastAsia="宋体" w:hAnsi="宋体" w:cs="宋体"/>
          <w:sz w:val="18"/>
          <w:szCs w:val="18"/>
        </w:rPr>
        <w:t>3</w:t>
      </w:r>
      <w:r>
        <w:rPr>
          <w:rFonts w:ascii="宋体" w:eastAsia="宋体" w:hAnsi="宋体" w:cs="宋体"/>
          <w:sz w:val="18"/>
          <w:szCs w:val="18"/>
        </w:rPr>
        <w:t>号</w:t>
      </w:r>
      <w:r>
        <w:rPr>
          <w:rFonts w:ascii="宋体" w:eastAsia="宋体" w:hAnsi="宋体" w:cs="宋体"/>
          <w:sz w:val="18"/>
          <w:szCs w:val="18"/>
        </w:rPr>
        <w:t>——</w:t>
      </w:r>
      <w:r>
        <w:rPr>
          <w:rFonts w:ascii="宋体" w:eastAsia="宋体" w:hAnsi="宋体" w:cs="宋体"/>
          <w:sz w:val="18"/>
          <w:szCs w:val="18"/>
        </w:rPr>
        <w:t>行业信息披露》中的</w:t>
      </w:r>
      <w:r>
        <w:rPr>
          <w:rFonts w:ascii="宋体" w:eastAsia="宋体" w:hAnsi="宋体" w:cs="宋体"/>
          <w:sz w:val="18"/>
          <w:szCs w:val="18"/>
        </w:rPr>
        <w:t>“</w:t>
      </w:r>
      <w:r>
        <w:rPr>
          <w:rFonts w:ascii="宋体" w:eastAsia="宋体" w:hAnsi="宋体" w:cs="宋体"/>
          <w:sz w:val="18"/>
          <w:szCs w:val="18"/>
        </w:rPr>
        <w:t>纺织服装相关业务</w:t>
      </w:r>
      <w:r>
        <w:rPr>
          <w:rFonts w:ascii="宋体" w:eastAsia="宋体" w:hAnsi="宋体" w:cs="宋体"/>
          <w:sz w:val="18"/>
          <w:szCs w:val="18"/>
        </w:rPr>
        <w:t>”</w:t>
      </w:r>
      <w:r>
        <w:rPr>
          <w:rFonts w:ascii="宋体" w:eastAsia="宋体" w:hAnsi="宋体" w:cs="宋体"/>
          <w:sz w:val="18"/>
          <w:szCs w:val="18"/>
        </w:rPr>
        <w:t>的披露要求</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上市公司发生环境事故的相关情况</w:t>
      </w:r>
    </w:p>
    <w:p w:rsidR="00A067C6" w:rsidRDefault="005C4966">
      <w:pPr>
        <w:spacing w:before="40" w:after="40" w:line="240" w:lineRule="exact"/>
        <w:rPr>
          <w:rFonts w:ascii="宋体" w:eastAsia="宋体" w:hAnsi="宋体" w:cs="宋体"/>
          <w:sz w:val="18"/>
          <w:szCs w:val="18"/>
        </w:rPr>
      </w:pPr>
      <w:r>
        <w:rPr>
          <w:rFonts w:ascii="宋体" w:eastAsia="宋体" w:hAnsi="宋体" w:cs="宋体" w:hint="eastAsia"/>
          <w:sz w:val="18"/>
          <w:szCs w:val="18"/>
        </w:rPr>
        <w:t>无</w:t>
      </w:r>
    </w:p>
    <w:p w:rsidR="00A067C6" w:rsidRDefault="005C4966">
      <w:pPr>
        <w:pStyle w:val="2"/>
        <w:spacing w:before="300" w:after="300" w:line="320" w:lineRule="exact"/>
        <w:rPr>
          <w:rFonts w:ascii="宋体" w:eastAsia="宋体" w:hAnsi="宋体" w:cs="宋体"/>
          <w:b/>
          <w:bCs/>
          <w:sz w:val="24"/>
          <w:szCs w:val="24"/>
        </w:rPr>
      </w:pPr>
      <w:bookmarkStart w:id="65" w:name="_Toc988953"/>
      <w:r>
        <w:rPr>
          <w:rFonts w:ascii="宋体" w:eastAsia="宋体" w:hAnsi="宋体" w:cs="宋体"/>
          <w:b/>
          <w:bCs/>
          <w:sz w:val="24"/>
          <w:szCs w:val="24"/>
        </w:rPr>
        <w:t>二、社会责任情况</w:t>
      </w:r>
      <w:bookmarkEnd w:id="65"/>
    </w:p>
    <w:p w:rsidR="00A067C6" w:rsidRDefault="005C4966">
      <w:pPr>
        <w:pStyle w:val="a6"/>
        <w:spacing w:before="0" w:beforeAutospacing="0" w:after="0" w:afterAutospacing="0"/>
        <w:ind w:firstLine="420"/>
        <w:rPr>
          <w:rFonts w:ascii="Times New Roman" w:hAnsi="Times New Roman" w:cs="Times New Roman"/>
        </w:rPr>
      </w:pPr>
      <w:r>
        <w:rPr>
          <w:rFonts w:cs="Times New Roman" w:hint="eastAsia"/>
          <w:color w:val="000000"/>
          <w:sz w:val="18"/>
          <w:szCs w:val="18"/>
        </w:rPr>
        <w:t>华孚的企业社会责任理念与企业文化一脉相承，秉承“贴近生命、美化生活”</w:t>
      </w:r>
      <w:r>
        <w:rPr>
          <w:rFonts w:cs="Times New Roman" w:hint="eastAsia"/>
          <w:color w:val="000000"/>
          <w:sz w:val="18"/>
          <w:szCs w:val="18"/>
        </w:rPr>
        <w:t xml:space="preserve"> </w:t>
      </w:r>
      <w:r>
        <w:rPr>
          <w:rFonts w:cs="Times New Roman" w:hint="eastAsia"/>
          <w:color w:val="000000"/>
          <w:sz w:val="18"/>
          <w:szCs w:val="18"/>
        </w:rPr>
        <w:t>的使命，奉行“用爱创造每一天”的文化理念。</w:t>
      </w:r>
    </w:p>
    <w:p w:rsidR="00A067C6" w:rsidRDefault="005C4966">
      <w:pPr>
        <w:pStyle w:val="a6"/>
        <w:spacing w:before="0" w:beforeAutospacing="0" w:after="0" w:afterAutospacing="0"/>
        <w:ind w:firstLine="420"/>
        <w:rPr>
          <w:rFonts w:ascii="Times New Roman" w:hAnsi="Times New Roman" w:cs="Times New Roman"/>
        </w:rPr>
      </w:pPr>
      <w:r>
        <w:rPr>
          <w:rFonts w:cs="Times New Roman" w:hint="eastAsia"/>
          <w:color w:val="000000"/>
          <w:sz w:val="18"/>
          <w:szCs w:val="18"/>
        </w:rPr>
        <w:t>报告期内，公司提供就业岗位超</w:t>
      </w:r>
      <w:r>
        <w:rPr>
          <w:rFonts w:cs="Times New Roman" w:hint="eastAsia"/>
          <w:color w:val="000000"/>
          <w:sz w:val="18"/>
          <w:szCs w:val="18"/>
        </w:rPr>
        <w:t>1.5</w:t>
      </w:r>
      <w:r>
        <w:rPr>
          <w:rFonts w:cs="Times New Roman" w:hint="eastAsia"/>
          <w:color w:val="000000"/>
          <w:sz w:val="18"/>
          <w:szCs w:val="18"/>
        </w:rPr>
        <w:t>万个，重视对弱势群体的关爱，积极安排</w:t>
      </w:r>
      <w:r>
        <w:rPr>
          <w:rFonts w:cs="Times New Roman" w:hint="eastAsia"/>
          <w:color w:val="000000"/>
          <w:sz w:val="18"/>
          <w:szCs w:val="18"/>
        </w:rPr>
        <w:t>350</w:t>
      </w:r>
      <w:r>
        <w:rPr>
          <w:rFonts w:cs="Times New Roman" w:hint="eastAsia"/>
          <w:color w:val="000000"/>
          <w:sz w:val="18"/>
          <w:szCs w:val="18"/>
        </w:rPr>
        <w:t>余名残疾员工在华孚上岗就业。公司继续完善了相关管理规定，在依法签订合同、遵守国家法律法规的关于工作时间的要求、职工薪酬与福利、杜绝招用童工、避免强迫或强制劳动、避免工作中的歧视、有效预防骚扰与虐待、职业健康与安全管理、女性员工的特殊劳动保护等方面得到进一步强化；采取切实措施，全面推进公司关爱员工计划，从关爱广大员工身体健康和个人职业生涯成长发展方面入手，特别是针对纺纱工厂女性员工多的实际情况，制定管理规定，保护女工的各项权益；公司高</w:t>
      </w:r>
      <w:r>
        <w:rPr>
          <w:rFonts w:cs="Times New Roman" w:hint="eastAsia"/>
          <w:color w:val="000000"/>
          <w:sz w:val="18"/>
          <w:szCs w:val="18"/>
        </w:rPr>
        <w:t>度重视做好少数民族员工和残疾员工的关爱工作，细化各项管理举措，让少数民族员工和残疾员工在华孚得到更好的发展。</w:t>
      </w:r>
    </w:p>
    <w:p w:rsidR="00A067C6" w:rsidRDefault="005C4966">
      <w:pPr>
        <w:pStyle w:val="a6"/>
        <w:spacing w:before="0" w:beforeAutospacing="0" w:after="0" w:afterAutospacing="0"/>
        <w:ind w:firstLine="420"/>
        <w:rPr>
          <w:rFonts w:ascii="Times New Roman" w:hAnsi="Times New Roman" w:cs="Times New Roman"/>
        </w:rPr>
      </w:pPr>
      <w:r>
        <w:rPr>
          <w:rFonts w:cs="Times New Roman" w:hint="eastAsia"/>
          <w:color w:val="000000"/>
          <w:sz w:val="18"/>
          <w:szCs w:val="18"/>
        </w:rPr>
        <w:t>公司继续以</w:t>
      </w:r>
      <w:r>
        <w:rPr>
          <w:rFonts w:cs="Times New Roman" w:hint="eastAsia"/>
          <w:color w:val="000000"/>
          <w:sz w:val="18"/>
          <w:szCs w:val="18"/>
        </w:rPr>
        <w:t>ISO14001</w:t>
      </w:r>
      <w:r>
        <w:rPr>
          <w:rFonts w:cs="Times New Roman" w:hint="eastAsia"/>
          <w:color w:val="000000"/>
          <w:sz w:val="18"/>
          <w:szCs w:val="18"/>
        </w:rPr>
        <w:t>环境管理体系为主线，将环保法律法规与各类国际认证进行有机整合，以此确立公司环境管理方针，明确管理职责权限，落实管理目标责任；将环保工作贯穿于生产生活、销售经营等各个环节。近年来，华孚持续通过</w:t>
      </w:r>
      <w:r>
        <w:rPr>
          <w:rFonts w:cs="Times New Roman" w:hint="eastAsia"/>
          <w:color w:val="000000"/>
          <w:sz w:val="18"/>
          <w:szCs w:val="18"/>
        </w:rPr>
        <w:t>ISO14001</w:t>
      </w:r>
      <w:r>
        <w:rPr>
          <w:rFonts w:cs="Times New Roman" w:hint="eastAsia"/>
          <w:color w:val="000000"/>
          <w:sz w:val="18"/>
          <w:szCs w:val="18"/>
        </w:rPr>
        <w:t>环境管理体系审核，通过</w:t>
      </w:r>
      <w:r>
        <w:rPr>
          <w:rFonts w:cs="Times New Roman" w:hint="eastAsia"/>
          <w:color w:val="000000"/>
          <w:sz w:val="18"/>
          <w:szCs w:val="18"/>
        </w:rPr>
        <w:t>STEP</w:t>
      </w:r>
      <w:r>
        <w:rPr>
          <w:rFonts w:cs="Times New Roman" w:hint="eastAsia"/>
          <w:color w:val="000000"/>
          <w:sz w:val="18"/>
          <w:szCs w:val="18"/>
        </w:rPr>
        <w:t>纺织企业环保体系认证，通过</w:t>
      </w:r>
      <w:r>
        <w:rPr>
          <w:rFonts w:cs="Times New Roman" w:hint="eastAsia"/>
          <w:color w:val="000000"/>
          <w:sz w:val="18"/>
          <w:szCs w:val="18"/>
        </w:rPr>
        <w:t>GOTS</w:t>
      </w:r>
      <w:r>
        <w:rPr>
          <w:rFonts w:cs="Times New Roman" w:hint="eastAsia"/>
          <w:color w:val="000000"/>
          <w:sz w:val="18"/>
          <w:szCs w:val="18"/>
        </w:rPr>
        <w:t>认证和碳足迹认证。公司持续推进对资源能源的重复利用，推进各类先进水处理技术的实际应用，通过中水回用等节能减</w:t>
      </w:r>
      <w:r>
        <w:rPr>
          <w:rFonts w:cs="Times New Roman" w:hint="eastAsia"/>
          <w:color w:val="000000"/>
          <w:sz w:val="18"/>
          <w:szCs w:val="18"/>
        </w:rPr>
        <w:t>排措施，中水回用率达到</w:t>
      </w:r>
      <w:r>
        <w:rPr>
          <w:rFonts w:cs="Times New Roman" w:hint="eastAsia"/>
          <w:color w:val="000000"/>
          <w:sz w:val="18"/>
          <w:szCs w:val="18"/>
        </w:rPr>
        <w:t>55%</w:t>
      </w:r>
      <w:r>
        <w:rPr>
          <w:rFonts w:cs="Times New Roman" w:hint="eastAsia"/>
          <w:color w:val="000000"/>
          <w:sz w:val="18"/>
          <w:szCs w:val="18"/>
        </w:rPr>
        <w:t>以上，单位产品耗水达到</w:t>
      </w:r>
      <w:r>
        <w:rPr>
          <w:rFonts w:cs="Times New Roman" w:hint="eastAsia"/>
          <w:color w:val="000000"/>
          <w:sz w:val="18"/>
          <w:szCs w:val="18"/>
        </w:rPr>
        <w:t>45m</w:t>
      </w:r>
      <w:r>
        <w:rPr>
          <w:rFonts w:cs="Times New Roman" w:hint="eastAsia"/>
          <w:color w:val="000000"/>
          <w:sz w:val="18"/>
          <w:szCs w:val="18"/>
        </w:rPr>
        <w:t>³</w:t>
      </w:r>
      <w:r>
        <w:rPr>
          <w:rFonts w:cs="Times New Roman" w:hint="eastAsia"/>
          <w:color w:val="000000"/>
          <w:sz w:val="18"/>
          <w:szCs w:val="18"/>
        </w:rPr>
        <w:t>/</w:t>
      </w:r>
      <w:r>
        <w:rPr>
          <w:rFonts w:cs="Times New Roman" w:hint="eastAsia"/>
          <w:color w:val="000000"/>
          <w:sz w:val="18"/>
          <w:szCs w:val="18"/>
        </w:rPr>
        <w:t>吨以下的先进水平。</w:t>
      </w:r>
    </w:p>
    <w:p w:rsidR="00A067C6" w:rsidRDefault="005C4966">
      <w:pPr>
        <w:pStyle w:val="a6"/>
        <w:spacing w:before="0" w:beforeAutospacing="0" w:after="0" w:afterAutospacing="0"/>
        <w:ind w:firstLine="420"/>
        <w:rPr>
          <w:rFonts w:ascii="Times New Roman" w:hAnsi="Times New Roman" w:cs="Times New Roman"/>
        </w:rPr>
      </w:pPr>
      <w:r>
        <w:rPr>
          <w:rFonts w:cs="Times New Roman" w:hint="eastAsia"/>
          <w:color w:val="000000"/>
          <w:sz w:val="18"/>
          <w:szCs w:val="18"/>
        </w:rPr>
        <w:t>公司染色工艺持续提升，低温染色、低碱染色、无盐染色等节能环保工艺被越来越多的应用，并建立了化学品的有效管控制度和流程，旨在控制有害化学物质达到零排放，成为行业的标杆。</w:t>
      </w:r>
    </w:p>
    <w:p w:rsidR="00A067C6" w:rsidRDefault="005C4966">
      <w:pPr>
        <w:pStyle w:val="a6"/>
        <w:spacing w:before="0" w:beforeAutospacing="0" w:after="0" w:afterAutospacing="0"/>
        <w:ind w:firstLine="420"/>
        <w:rPr>
          <w:rFonts w:ascii="Times New Roman" w:hAnsi="Times New Roman" w:cs="Times New Roman"/>
        </w:rPr>
      </w:pPr>
      <w:r>
        <w:rPr>
          <w:rFonts w:cs="Times New Roman" w:hint="eastAsia"/>
          <w:color w:val="000000"/>
          <w:sz w:val="18"/>
          <w:szCs w:val="18"/>
        </w:rPr>
        <w:t>公司重视绿色能源使用，推动工厂能源结构的多元化，以降低用能成本。在上虞、淮北、新疆、越南等地生产工厂实施的屋顶太阳能光伏电站建设项目，同时推广热能回收、中水回用等节能技术。</w:t>
      </w:r>
    </w:p>
    <w:p w:rsidR="00A067C6" w:rsidRDefault="005C4966">
      <w:r>
        <w:br w:type="page"/>
      </w:r>
    </w:p>
    <w:p w:rsidR="00A067C6" w:rsidRDefault="005C4966">
      <w:pPr>
        <w:pStyle w:val="headingh1"/>
        <w:spacing w:before="340" w:after="330" w:line="773" w:lineRule="exact"/>
        <w:jc w:val="center"/>
        <w:rPr>
          <w:rFonts w:ascii="宋体" w:eastAsia="宋体" w:hAnsi="宋体" w:cs="宋体"/>
          <w:b/>
          <w:bCs/>
          <w:sz w:val="32"/>
          <w:szCs w:val="32"/>
        </w:rPr>
      </w:pPr>
      <w:bookmarkStart w:id="66" w:name="_Toc988954"/>
      <w:r>
        <w:rPr>
          <w:rFonts w:ascii="宋体" w:eastAsia="宋体" w:hAnsi="宋体" w:cs="宋体"/>
          <w:b/>
          <w:bCs/>
          <w:sz w:val="32"/>
          <w:szCs w:val="32"/>
        </w:rPr>
        <w:t>第六节</w:t>
      </w:r>
      <w:r>
        <w:rPr>
          <w:rFonts w:ascii="宋体" w:eastAsia="宋体" w:hAnsi="宋体" w:cs="宋体"/>
          <w:b/>
          <w:bCs/>
          <w:sz w:val="32"/>
          <w:szCs w:val="32"/>
        </w:rPr>
        <w:t xml:space="preserve"> </w:t>
      </w:r>
      <w:r>
        <w:rPr>
          <w:rFonts w:ascii="宋体" w:eastAsia="宋体" w:hAnsi="宋体" w:cs="宋体"/>
          <w:b/>
          <w:bCs/>
          <w:sz w:val="32"/>
          <w:szCs w:val="32"/>
        </w:rPr>
        <w:t>重要事项</w:t>
      </w:r>
      <w:bookmarkEnd w:id="66"/>
    </w:p>
    <w:p w:rsidR="00A067C6" w:rsidRDefault="005C4966">
      <w:pPr>
        <w:pStyle w:val="2"/>
        <w:spacing w:before="300" w:after="300" w:line="320" w:lineRule="exact"/>
        <w:rPr>
          <w:rFonts w:ascii="宋体" w:eastAsia="宋体" w:hAnsi="宋体" w:cs="宋体"/>
          <w:b/>
          <w:bCs/>
          <w:sz w:val="24"/>
          <w:szCs w:val="24"/>
        </w:rPr>
      </w:pPr>
      <w:bookmarkStart w:id="67" w:name="_Toc988955"/>
      <w:r>
        <w:rPr>
          <w:rFonts w:ascii="宋体" w:eastAsia="宋体" w:hAnsi="宋体" w:cs="宋体"/>
          <w:b/>
          <w:bCs/>
          <w:sz w:val="24"/>
          <w:szCs w:val="24"/>
        </w:rPr>
        <w:t>一、公司实际控制人、股东、关联方、收购人以及公司等承诺相关方在报告期内履行完毕及截至报告期末超期未履行完毕的承诺事项</w:t>
      </w:r>
      <w:bookmarkEnd w:id="67"/>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公司报告期不存在由公司实际控制人、股东、关联方、收购人以及公司等承诺相关方在报告期内履行完毕及截至报告期末超期未履行完毕的承诺事项。</w:t>
      </w:r>
    </w:p>
    <w:p w:rsidR="00A067C6" w:rsidRDefault="005C4966">
      <w:pPr>
        <w:pStyle w:val="2"/>
        <w:spacing w:before="300" w:after="300" w:line="320" w:lineRule="exact"/>
        <w:rPr>
          <w:rFonts w:ascii="宋体" w:eastAsia="宋体" w:hAnsi="宋体" w:cs="宋体"/>
          <w:b/>
          <w:bCs/>
          <w:sz w:val="24"/>
          <w:szCs w:val="24"/>
        </w:rPr>
      </w:pPr>
      <w:bookmarkStart w:id="68" w:name="_Toc988956"/>
      <w:r>
        <w:rPr>
          <w:rFonts w:ascii="宋体" w:eastAsia="宋体" w:hAnsi="宋体" w:cs="宋体"/>
          <w:b/>
          <w:bCs/>
          <w:sz w:val="24"/>
          <w:szCs w:val="24"/>
        </w:rPr>
        <w:t>二、控股股东及其他关联方对上市公司的非经营性占用资金情况</w:t>
      </w:r>
      <w:bookmarkEnd w:id="68"/>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公司报告期不存在控股股东及其他关联方对上市公司的非经营性占用资金。</w:t>
      </w:r>
    </w:p>
    <w:p w:rsidR="00A067C6" w:rsidRDefault="005C4966">
      <w:pPr>
        <w:pStyle w:val="2"/>
        <w:spacing w:before="300" w:after="300" w:line="320" w:lineRule="exact"/>
        <w:rPr>
          <w:rFonts w:ascii="宋体" w:eastAsia="宋体" w:hAnsi="宋体" w:cs="宋体"/>
          <w:b/>
          <w:bCs/>
          <w:sz w:val="24"/>
          <w:szCs w:val="24"/>
        </w:rPr>
      </w:pPr>
      <w:bookmarkStart w:id="69" w:name="_Toc988957"/>
      <w:r>
        <w:rPr>
          <w:rFonts w:ascii="宋体" w:eastAsia="宋体" w:hAnsi="宋体" w:cs="宋体"/>
          <w:b/>
          <w:bCs/>
          <w:sz w:val="24"/>
          <w:szCs w:val="24"/>
        </w:rPr>
        <w:t>三、违规对外担保情况</w:t>
      </w:r>
      <w:bookmarkEnd w:id="69"/>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公司报告期无违规对外担保情况。</w:t>
      </w:r>
    </w:p>
    <w:p w:rsidR="00A067C6" w:rsidRDefault="005C4966">
      <w:pPr>
        <w:pStyle w:val="2"/>
        <w:spacing w:before="300" w:after="300" w:line="320" w:lineRule="exact"/>
        <w:rPr>
          <w:rFonts w:ascii="宋体" w:eastAsia="宋体" w:hAnsi="宋体" w:cs="宋体"/>
          <w:b/>
          <w:bCs/>
          <w:sz w:val="24"/>
          <w:szCs w:val="24"/>
        </w:rPr>
      </w:pPr>
      <w:bookmarkStart w:id="70" w:name="_Toc988958"/>
      <w:r>
        <w:rPr>
          <w:rFonts w:ascii="宋体" w:eastAsia="宋体" w:hAnsi="宋体" w:cs="宋体"/>
          <w:b/>
          <w:bCs/>
          <w:sz w:val="24"/>
          <w:szCs w:val="24"/>
        </w:rPr>
        <w:t>四、聘任、解聘会计师事务所</w:t>
      </w:r>
      <w:r>
        <w:rPr>
          <w:rFonts w:ascii="宋体" w:eastAsia="宋体" w:hAnsi="宋体" w:cs="宋体"/>
          <w:b/>
          <w:bCs/>
          <w:sz w:val="24"/>
          <w:szCs w:val="24"/>
        </w:rPr>
        <w:t>情况</w:t>
      </w:r>
      <w:bookmarkEnd w:id="70"/>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半年度财务报告是否已经审计</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是</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否</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公司半年度报告未经审计。</w:t>
      </w:r>
    </w:p>
    <w:p w:rsidR="00A067C6" w:rsidRDefault="005C4966">
      <w:pPr>
        <w:pStyle w:val="2"/>
        <w:spacing w:before="300" w:after="300" w:line="320" w:lineRule="exact"/>
        <w:rPr>
          <w:rFonts w:ascii="宋体" w:eastAsia="宋体" w:hAnsi="宋体" w:cs="宋体"/>
          <w:b/>
          <w:bCs/>
          <w:sz w:val="24"/>
          <w:szCs w:val="24"/>
        </w:rPr>
      </w:pPr>
      <w:bookmarkStart w:id="71" w:name="_Toc988959"/>
      <w:r>
        <w:rPr>
          <w:rFonts w:ascii="宋体" w:eastAsia="宋体" w:hAnsi="宋体" w:cs="宋体"/>
          <w:b/>
          <w:bCs/>
          <w:sz w:val="24"/>
          <w:szCs w:val="24"/>
        </w:rPr>
        <w:t>五、董事会、监事会对会计师事务所本报告期</w:t>
      </w:r>
      <w:r>
        <w:rPr>
          <w:rFonts w:ascii="宋体" w:eastAsia="宋体" w:hAnsi="宋体" w:cs="宋体"/>
          <w:b/>
          <w:bCs/>
          <w:sz w:val="24"/>
          <w:szCs w:val="24"/>
        </w:rPr>
        <w:t>“</w:t>
      </w:r>
      <w:r>
        <w:rPr>
          <w:rFonts w:ascii="宋体" w:eastAsia="宋体" w:hAnsi="宋体" w:cs="宋体"/>
          <w:b/>
          <w:bCs/>
          <w:sz w:val="24"/>
          <w:szCs w:val="24"/>
        </w:rPr>
        <w:t>非标准审计报告</w:t>
      </w:r>
      <w:r>
        <w:rPr>
          <w:rFonts w:ascii="宋体" w:eastAsia="宋体" w:hAnsi="宋体" w:cs="宋体"/>
          <w:b/>
          <w:bCs/>
          <w:sz w:val="24"/>
          <w:szCs w:val="24"/>
        </w:rPr>
        <w:t>”</w:t>
      </w:r>
      <w:r>
        <w:rPr>
          <w:rFonts w:ascii="宋体" w:eastAsia="宋体" w:hAnsi="宋体" w:cs="宋体"/>
          <w:b/>
          <w:bCs/>
          <w:sz w:val="24"/>
          <w:szCs w:val="24"/>
        </w:rPr>
        <w:t>的说明</w:t>
      </w:r>
      <w:bookmarkEnd w:id="71"/>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pStyle w:val="2"/>
        <w:spacing w:before="300" w:after="300" w:line="320" w:lineRule="exact"/>
        <w:rPr>
          <w:rFonts w:ascii="宋体" w:eastAsia="宋体" w:hAnsi="宋体" w:cs="宋体"/>
          <w:b/>
          <w:bCs/>
          <w:sz w:val="24"/>
          <w:szCs w:val="24"/>
        </w:rPr>
      </w:pPr>
      <w:bookmarkStart w:id="72" w:name="_Toc988960"/>
      <w:r>
        <w:rPr>
          <w:rFonts w:ascii="宋体" w:eastAsia="宋体" w:hAnsi="宋体" w:cs="宋体"/>
          <w:b/>
          <w:bCs/>
          <w:sz w:val="24"/>
          <w:szCs w:val="24"/>
        </w:rPr>
        <w:t>六、董事会对上年度</w:t>
      </w:r>
      <w:r>
        <w:rPr>
          <w:rFonts w:ascii="宋体" w:eastAsia="宋体" w:hAnsi="宋体" w:cs="宋体"/>
          <w:b/>
          <w:bCs/>
          <w:sz w:val="24"/>
          <w:szCs w:val="24"/>
        </w:rPr>
        <w:t>“</w:t>
      </w:r>
      <w:r>
        <w:rPr>
          <w:rFonts w:ascii="宋体" w:eastAsia="宋体" w:hAnsi="宋体" w:cs="宋体"/>
          <w:b/>
          <w:bCs/>
          <w:sz w:val="24"/>
          <w:szCs w:val="24"/>
        </w:rPr>
        <w:t>非标准审计报告</w:t>
      </w:r>
      <w:r>
        <w:rPr>
          <w:rFonts w:ascii="宋体" w:eastAsia="宋体" w:hAnsi="宋体" w:cs="宋体"/>
          <w:b/>
          <w:bCs/>
          <w:sz w:val="24"/>
          <w:szCs w:val="24"/>
        </w:rPr>
        <w:t>”</w:t>
      </w:r>
      <w:r>
        <w:rPr>
          <w:rFonts w:ascii="宋体" w:eastAsia="宋体" w:hAnsi="宋体" w:cs="宋体"/>
          <w:b/>
          <w:bCs/>
          <w:sz w:val="24"/>
          <w:szCs w:val="24"/>
        </w:rPr>
        <w:t>相关情况的说明</w:t>
      </w:r>
      <w:bookmarkEnd w:id="72"/>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pStyle w:val="2"/>
        <w:spacing w:before="300" w:after="300" w:line="320" w:lineRule="exact"/>
        <w:rPr>
          <w:rFonts w:ascii="宋体" w:eastAsia="宋体" w:hAnsi="宋体" w:cs="宋体"/>
          <w:b/>
          <w:bCs/>
          <w:sz w:val="24"/>
          <w:szCs w:val="24"/>
        </w:rPr>
      </w:pPr>
      <w:bookmarkStart w:id="73" w:name="_Toc988961"/>
      <w:r>
        <w:rPr>
          <w:rFonts w:ascii="宋体" w:eastAsia="宋体" w:hAnsi="宋体" w:cs="宋体"/>
          <w:b/>
          <w:bCs/>
          <w:sz w:val="24"/>
          <w:szCs w:val="24"/>
        </w:rPr>
        <w:t>七、破产重整相关事项</w:t>
      </w:r>
      <w:bookmarkEnd w:id="73"/>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公司报告期未发生破产重整相关事项。</w:t>
      </w:r>
    </w:p>
    <w:p w:rsidR="00A067C6" w:rsidRDefault="005C4966">
      <w:pPr>
        <w:pStyle w:val="2"/>
        <w:spacing w:before="300" w:after="300" w:line="320" w:lineRule="exact"/>
        <w:rPr>
          <w:rFonts w:ascii="宋体" w:eastAsia="宋体" w:hAnsi="宋体" w:cs="宋体"/>
          <w:b/>
          <w:bCs/>
          <w:sz w:val="24"/>
          <w:szCs w:val="24"/>
        </w:rPr>
      </w:pPr>
      <w:bookmarkStart w:id="74" w:name="_Toc988962"/>
      <w:r>
        <w:rPr>
          <w:rFonts w:ascii="宋体" w:eastAsia="宋体" w:hAnsi="宋体" w:cs="宋体"/>
          <w:b/>
          <w:bCs/>
          <w:sz w:val="24"/>
          <w:szCs w:val="24"/>
        </w:rPr>
        <w:t>八、诉讼事项</w:t>
      </w:r>
      <w:bookmarkEnd w:id="74"/>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重大诉讼仲裁事项</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本报告期公司无重大诉讼、仲裁事项。</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其他诉讼事项</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pStyle w:val="2"/>
        <w:spacing w:before="300" w:after="300" w:line="320" w:lineRule="exact"/>
        <w:rPr>
          <w:rFonts w:ascii="宋体" w:eastAsia="宋体" w:hAnsi="宋体" w:cs="宋体"/>
          <w:b/>
          <w:bCs/>
          <w:sz w:val="24"/>
          <w:szCs w:val="24"/>
        </w:rPr>
      </w:pPr>
      <w:bookmarkStart w:id="75" w:name="_Toc988963"/>
      <w:r>
        <w:rPr>
          <w:rFonts w:ascii="宋体" w:eastAsia="宋体" w:hAnsi="宋体" w:cs="宋体"/>
          <w:b/>
          <w:bCs/>
          <w:sz w:val="24"/>
          <w:szCs w:val="24"/>
        </w:rPr>
        <w:t>九、处罚及整改情况</w:t>
      </w:r>
      <w:bookmarkEnd w:id="75"/>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pStyle w:val="2"/>
        <w:spacing w:before="300" w:after="300" w:line="320" w:lineRule="exact"/>
        <w:rPr>
          <w:rFonts w:ascii="宋体" w:eastAsia="宋体" w:hAnsi="宋体" w:cs="宋体"/>
          <w:b/>
          <w:bCs/>
          <w:sz w:val="24"/>
          <w:szCs w:val="24"/>
        </w:rPr>
      </w:pPr>
      <w:bookmarkStart w:id="76" w:name="_Toc988964"/>
      <w:r>
        <w:rPr>
          <w:rFonts w:ascii="宋体" w:eastAsia="宋体" w:hAnsi="宋体" w:cs="宋体"/>
          <w:b/>
          <w:bCs/>
          <w:sz w:val="24"/>
          <w:szCs w:val="24"/>
        </w:rPr>
        <w:t>十、公司及其控股股东、实际控制人的诚信状况</w:t>
      </w:r>
      <w:bookmarkEnd w:id="76"/>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pStyle w:val="2"/>
        <w:spacing w:before="300" w:after="300" w:line="320" w:lineRule="exact"/>
        <w:rPr>
          <w:rFonts w:ascii="宋体" w:eastAsia="宋体" w:hAnsi="宋体" w:cs="宋体"/>
          <w:b/>
          <w:bCs/>
          <w:sz w:val="24"/>
          <w:szCs w:val="24"/>
        </w:rPr>
      </w:pPr>
      <w:bookmarkStart w:id="77" w:name="_Toc988965"/>
      <w:r>
        <w:rPr>
          <w:rFonts w:ascii="宋体" w:eastAsia="宋体" w:hAnsi="宋体" w:cs="宋体"/>
          <w:b/>
          <w:bCs/>
          <w:sz w:val="24"/>
          <w:szCs w:val="24"/>
        </w:rPr>
        <w:t>十一、重大关联交易</w:t>
      </w:r>
      <w:bookmarkEnd w:id="77"/>
    </w:p>
    <w:p w:rsidR="00A067C6" w:rsidRDefault="005C4966">
      <w:pPr>
        <w:pStyle w:val="3"/>
        <w:spacing w:line="280" w:lineRule="exact"/>
        <w:jc w:val="left"/>
        <w:rPr>
          <w:rFonts w:ascii="宋体" w:hAnsi="宋体" w:cs="宋体"/>
          <w:b/>
          <w:bCs/>
        </w:rPr>
      </w:pPr>
      <w:bookmarkStart w:id="78" w:name="_Toc988966"/>
      <w:r>
        <w:rPr>
          <w:rFonts w:ascii="宋体" w:hAnsi="宋体" w:cs="宋体"/>
          <w:b/>
          <w:bCs/>
        </w:rPr>
        <w:t>1</w:t>
      </w:r>
      <w:r>
        <w:rPr>
          <w:rFonts w:ascii="宋体" w:hAnsi="宋体" w:cs="宋体"/>
          <w:b/>
          <w:bCs/>
        </w:rPr>
        <w:t>、与日常经营相关的关联交易</w:t>
      </w:r>
      <w:bookmarkEnd w:id="78"/>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t>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9"/>
        <w:gridCol w:w="689"/>
        <w:gridCol w:w="689"/>
        <w:gridCol w:w="689"/>
        <w:gridCol w:w="689"/>
        <w:gridCol w:w="689"/>
        <w:gridCol w:w="689"/>
        <w:gridCol w:w="672"/>
        <w:gridCol w:w="704"/>
        <w:gridCol w:w="688"/>
        <w:gridCol w:w="688"/>
        <w:gridCol w:w="688"/>
        <w:gridCol w:w="688"/>
        <w:gridCol w:w="688"/>
      </w:tblGrid>
      <w:tr w:rsidR="00A067C6">
        <w:trPr>
          <w:trHeight w:val="240"/>
        </w:trPr>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关联交易方</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关联关系</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关联交易类型</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关联交易内容</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关联交易定价原则</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关联交易价格</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关联交易金额（万元）</w:t>
            </w:r>
          </w:p>
        </w:tc>
        <w:tc>
          <w:tcPr>
            <w:tcW w:w="672"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占同类交易金额的比例</w:t>
            </w:r>
          </w:p>
        </w:tc>
        <w:tc>
          <w:tcPr>
            <w:tcW w:w="70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获批的交易额度（万元）</w:t>
            </w:r>
          </w:p>
        </w:tc>
        <w:tc>
          <w:tcPr>
            <w:tcW w:w="68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是否超过获批额度</w:t>
            </w:r>
          </w:p>
        </w:tc>
        <w:tc>
          <w:tcPr>
            <w:tcW w:w="68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关联交易结算方式</w:t>
            </w:r>
          </w:p>
        </w:tc>
        <w:tc>
          <w:tcPr>
            <w:tcW w:w="68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可获得的同类交易市价</w:t>
            </w:r>
          </w:p>
        </w:tc>
        <w:tc>
          <w:tcPr>
            <w:tcW w:w="68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披露日期</w:t>
            </w:r>
          </w:p>
        </w:tc>
        <w:tc>
          <w:tcPr>
            <w:tcW w:w="68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披露索引</w:t>
            </w:r>
          </w:p>
        </w:tc>
      </w:tr>
      <w:tr w:rsidR="00A067C6">
        <w:trPr>
          <w:trHeight w:val="240"/>
        </w:trPr>
        <w:tc>
          <w:tcPr>
            <w:tcW w:w="68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江苏科孚纺织品贸易有限公司</w:t>
            </w:r>
          </w:p>
        </w:tc>
        <w:tc>
          <w:tcPr>
            <w:tcW w:w="68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联营企业</w:t>
            </w:r>
          </w:p>
        </w:tc>
        <w:tc>
          <w:tcPr>
            <w:tcW w:w="68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购买或销售商品</w:t>
            </w:r>
          </w:p>
        </w:tc>
        <w:tc>
          <w:tcPr>
            <w:tcW w:w="68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采购棉花</w:t>
            </w:r>
          </w:p>
        </w:tc>
        <w:tc>
          <w:tcPr>
            <w:tcW w:w="68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市场价格</w:t>
            </w:r>
          </w:p>
        </w:tc>
        <w:tc>
          <w:tcPr>
            <w:tcW w:w="68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w:t>
            </w:r>
          </w:p>
        </w:tc>
        <w:tc>
          <w:tcPr>
            <w:tcW w:w="68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2,116.4</w:t>
            </w:r>
          </w:p>
        </w:tc>
        <w:tc>
          <w:tcPr>
            <w:tcW w:w="67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0.32%</w:t>
            </w:r>
          </w:p>
        </w:tc>
        <w:tc>
          <w:tcPr>
            <w:tcW w:w="70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68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c>
          <w:tcPr>
            <w:tcW w:w="68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银行转账</w:t>
            </w:r>
          </w:p>
        </w:tc>
        <w:tc>
          <w:tcPr>
            <w:tcW w:w="68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w:t>
            </w:r>
          </w:p>
        </w:tc>
        <w:tc>
          <w:tcPr>
            <w:tcW w:w="68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04</w:t>
            </w:r>
            <w:r>
              <w:rPr>
                <w:rFonts w:ascii="宋体" w:eastAsia="宋体" w:hAnsi="宋体" w:cs="宋体"/>
                <w:sz w:val="18"/>
                <w:szCs w:val="18"/>
              </w:rPr>
              <w:t>月</w:t>
            </w:r>
            <w:r>
              <w:rPr>
                <w:rFonts w:ascii="宋体" w:eastAsia="宋体" w:hAnsi="宋体" w:cs="宋体"/>
                <w:sz w:val="18"/>
                <w:szCs w:val="18"/>
              </w:rPr>
              <w:t>29</w:t>
            </w:r>
            <w:r>
              <w:rPr>
                <w:rFonts w:ascii="宋体" w:eastAsia="宋体" w:hAnsi="宋体" w:cs="宋体"/>
                <w:sz w:val="18"/>
                <w:szCs w:val="18"/>
              </w:rPr>
              <w:t>日</w:t>
            </w:r>
          </w:p>
        </w:tc>
        <w:tc>
          <w:tcPr>
            <w:tcW w:w="68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关于预计</w:t>
            </w:r>
            <w:r>
              <w:rPr>
                <w:rFonts w:ascii="宋体" w:eastAsia="宋体" w:hAnsi="宋体" w:cs="宋体"/>
                <w:sz w:val="18"/>
                <w:szCs w:val="18"/>
              </w:rPr>
              <w:t>2023</w:t>
            </w:r>
            <w:r>
              <w:rPr>
                <w:rFonts w:ascii="宋体" w:eastAsia="宋体" w:hAnsi="宋体" w:cs="宋体"/>
                <w:sz w:val="18"/>
                <w:szCs w:val="18"/>
              </w:rPr>
              <w:t>年度日常关联交易的公告</w:t>
            </w:r>
          </w:p>
        </w:tc>
      </w:tr>
      <w:tr w:rsidR="00A067C6">
        <w:trPr>
          <w:trHeight w:val="240"/>
        </w:trPr>
        <w:tc>
          <w:tcPr>
            <w:tcW w:w="68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安徽环捷供应链管理有限公司</w:t>
            </w:r>
          </w:p>
        </w:tc>
        <w:tc>
          <w:tcPr>
            <w:tcW w:w="68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联营企业</w:t>
            </w:r>
          </w:p>
        </w:tc>
        <w:tc>
          <w:tcPr>
            <w:tcW w:w="68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接受提供的劳务</w:t>
            </w:r>
          </w:p>
        </w:tc>
        <w:tc>
          <w:tcPr>
            <w:tcW w:w="68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运费</w:t>
            </w:r>
          </w:p>
        </w:tc>
        <w:tc>
          <w:tcPr>
            <w:tcW w:w="68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市场价格</w:t>
            </w:r>
          </w:p>
        </w:tc>
        <w:tc>
          <w:tcPr>
            <w:tcW w:w="68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w:t>
            </w:r>
          </w:p>
        </w:tc>
        <w:tc>
          <w:tcPr>
            <w:tcW w:w="68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7,388.98</w:t>
            </w:r>
          </w:p>
        </w:tc>
        <w:tc>
          <w:tcPr>
            <w:tcW w:w="67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62.42%</w:t>
            </w:r>
          </w:p>
        </w:tc>
        <w:tc>
          <w:tcPr>
            <w:tcW w:w="70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20,000</w:t>
            </w:r>
          </w:p>
        </w:tc>
        <w:tc>
          <w:tcPr>
            <w:tcW w:w="68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c>
          <w:tcPr>
            <w:tcW w:w="68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银行转账</w:t>
            </w:r>
          </w:p>
        </w:tc>
        <w:tc>
          <w:tcPr>
            <w:tcW w:w="68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w:t>
            </w:r>
          </w:p>
        </w:tc>
        <w:tc>
          <w:tcPr>
            <w:tcW w:w="68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04</w:t>
            </w:r>
            <w:r>
              <w:rPr>
                <w:rFonts w:ascii="宋体" w:eastAsia="宋体" w:hAnsi="宋体" w:cs="宋体"/>
                <w:sz w:val="18"/>
                <w:szCs w:val="18"/>
              </w:rPr>
              <w:t>月</w:t>
            </w:r>
            <w:r>
              <w:rPr>
                <w:rFonts w:ascii="宋体" w:eastAsia="宋体" w:hAnsi="宋体" w:cs="宋体"/>
                <w:sz w:val="18"/>
                <w:szCs w:val="18"/>
              </w:rPr>
              <w:t>29</w:t>
            </w:r>
            <w:r>
              <w:rPr>
                <w:rFonts w:ascii="宋体" w:eastAsia="宋体" w:hAnsi="宋体" w:cs="宋体"/>
                <w:sz w:val="18"/>
                <w:szCs w:val="18"/>
              </w:rPr>
              <w:t>日</w:t>
            </w:r>
          </w:p>
        </w:tc>
        <w:tc>
          <w:tcPr>
            <w:tcW w:w="68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关于预计</w:t>
            </w:r>
            <w:r>
              <w:rPr>
                <w:rFonts w:ascii="宋体" w:eastAsia="宋体" w:hAnsi="宋体" w:cs="宋体"/>
                <w:sz w:val="18"/>
                <w:szCs w:val="18"/>
              </w:rPr>
              <w:t>2023</w:t>
            </w:r>
            <w:r>
              <w:rPr>
                <w:rFonts w:ascii="宋体" w:eastAsia="宋体" w:hAnsi="宋体" w:cs="宋体"/>
                <w:sz w:val="18"/>
                <w:szCs w:val="18"/>
              </w:rPr>
              <w:t>年度日常关联交易的公告</w:t>
            </w:r>
          </w:p>
        </w:tc>
      </w:tr>
      <w:tr w:rsidR="00A067C6">
        <w:trPr>
          <w:trHeight w:val="240"/>
        </w:trPr>
        <w:tc>
          <w:tcPr>
            <w:tcW w:w="2756"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68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9,505.38</w:t>
            </w:r>
          </w:p>
        </w:tc>
        <w:tc>
          <w:tcPr>
            <w:tcW w:w="672"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70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30,000</w:t>
            </w:r>
          </w:p>
        </w:tc>
        <w:tc>
          <w:tcPr>
            <w:tcW w:w="68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68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68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68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68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r w:rsidR="00A067C6">
        <w:trPr>
          <w:trHeight w:val="240"/>
        </w:trPr>
        <w:tc>
          <w:tcPr>
            <w:tcW w:w="5495"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大额销货退回的详细情况</w:t>
            </w:r>
          </w:p>
        </w:tc>
        <w:tc>
          <w:tcPr>
            <w:tcW w:w="4144" w:type="dxa"/>
            <w:gridSpan w:val="6"/>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无</w:t>
            </w:r>
          </w:p>
        </w:tc>
      </w:tr>
      <w:tr w:rsidR="00A067C6">
        <w:trPr>
          <w:trHeight w:val="240"/>
        </w:trPr>
        <w:tc>
          <w:tcPr>
            <w:tcW w:w="5495"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按类别对本期将发生的日常关联交易进行总金额预计的，在报告期内的实际履行情况（如有）</w:t>
            </w:r>
          </w:p>
        </w:tc>
        <w:tc>
          <w:tcPr>
            <w:tcW w:w="4144" w:type="dxa"/>
            <w:gridSpan w:val="6"/>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无</w:t>
            </w:r>
          </w:p>
        </w:tc>
      </w:tr>
      <w:tr w:rsidR="00A067C6">
        <w:trPr>
          <w:trHeight w:val="240"/>
        </w:trPr>
        <w:tc>
          <w:tcPr>
            <w:tcW w:w="5495"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交易价格与市场参考价格差异较大的原因（如适用）</w:t>
            </w:r>
          </w:p>
        </w:tc>
        <w:tc>
          <w:tcPr>
            <w:tcW w:w="4144" w:type="dxa"/>
            <w:gridSpan w:val="6"/>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无</w:t>
            </w:r>
          </w:p>
        </w:tc>
      </w:tr>
    </w:tbl>
    <w:p w:rsidR="00A067C6" w:rsidRDefault="005C4966">
      <w:pPr>
        <w:pStyle w:val="3"/>
        <w:spacing w:line="280" w:lineRule="exact"/>
        <w:jc w:val="left"/>
        <w:rPr>
          <w:rFonts w:ascii="宋体" w:hAnsi="宋体" w:cs="宋体"/>
          <w:b/>
          <w:bCs/>
        </w:rPr>
      </w:pPr>
      <w:bookmarkStart w:id="79" w:name="_Toc988967"/>
      <w:r>
        <w:rPr>
          <w:rFonts w:ascii="宋体" w:hAnsi="宋体" w:cs="宋体"/>
          <w:b/>
          <w:bCs/>
        </w:rPr>
        <w:t>2</w:t>
      </w:r>
      <w:r>
        <w:rPr>
          <w:rFonts w:ascii="宋体" w:hAnsi="宋体" w:cs="宋体"/>
          <w:b/>
          <w:bCs/>
        </w:rPr>
        <w:t>、资产或股权收购、出售发生的关联交易</w:t>
      </w:r>
      <w:bookmarkEnd w:id="79"/>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公司报告期未发生资产或股权收购、出售的关联交易。</w:t>
      </w:r>
    </w:p>
    <w:p w:rsidR="00A067C6" w:rsidRDefault="005C4966">
      <w:pPr>
        <w:pStyle w:val="3"/>
        <w:spacing w:line="280" w:lineRule="exact"/>
        <w:jc w:val="left"/>
        <w:rPr>
          <w:rFonts w:ascii="宋体" w:hAnsi="宋体" w:cs="宋体"/>
          <w:b/>
          <w:bCs/>
        </w:rPr>
      </w:pPr>
      <w:bookmarkStart w:id="80" w:name="_Toc988968"/>
      <w:r>
        <w:rPr>
          <w:rFonts w:ascii="宋体" w:hAnsi="宋体" w:cs="宋体"/>
          <w:b/>
          <w:bCs/>
        </w:rPr>
        <w:t>3</w:t>
      </w:r>
      <w:r>
        <w:rPr>
          <w:rFonts w:ascii="宋体" w:hAnsi="宋体" w:cs="宋体"/>
          <w:b/>
          <w:bCs/>
        </w:rPr>
        <w:t>、共同对外投资的关联交易</w:t>
      </w:r>
      <w:bookmarkEnd w:id="80"/>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公司报告期未发生共同对外投资的关联交易。</w:t>
      </w:r>
    </w:p>
    <w:p w:rsidR="00A067C6" w:rsidRDefault="005C4966">
      <w:pPr>
        <w:pStyle w:val="3"/>
        <w:spacing w:line="280" w:lineRule="exact"/>
        <w:jc w:val="left"/>
        <w:rPr>
          <w:rFonts w:ascii="宋体" w:hAnsi="宋体" w:cs="宋体"/>
          <w:b/>
          <w:bCs/>
        </w:rPr>
      </w:pPr>
      <w:bookmarkStart w:id="81" w:name="_Toc988969"/>
      <w:r>
        <w:rPr>
          <w:rFonts w:ascii="宋体" w:hAnsi="宋体" w:cs="宋体"/>
          <w:b/>
          <w:bCs/>
        </w:rPr>
        <w:t>4</w:t>
      </w:r>
      <w:r>
        <w:rPr>
          <w:rFonts w:ascii="宋体" w:hAnsi="宋体" w:cs="宋体"/>
          <w:b/>
          <w:bCs/>
        </w:rPr>
        <w:t>、关联债权债务往来</w:t>
      </w:r>
      <w:bookmarkEnd w:id="81"/>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t>不适用</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是否存在非经营性关联债权债务往来</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是</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否</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公司报告期不存在非经营性关联债权债务往来。</w:t>
      </w:r>
    </w:p>
    <w:p w:rsidR="00A067C6" w:rsidRDefault="005C4966">
      <w:pPr>
        <w:pStyle w:val="3"/>
        <w:spacing w:line="280" w:lineRule="exact"/>
        <w:jc w:val="left"/>
        <w:rPr>
          <w:rFonts w:ascii="宋体" w:hAnsi="宋体" w:cs="宋体"/>
          <w:b/>
          <w:bCs/>
        </w:rPr>
      </w:pPr>
      <w:bookmarkStart w:id="82" w:name="_Toc988970"/>
      <w:r>
        <w:rPr>
          <w:rFonts w:ascii="宋体" w:hAnsi="宋体" w:cs="宋体"/>
          <w:b/>
          <w:bCs/>
        </w:rPr>
        <w:t>5</w:t>
      </w:r>
      <w:r>
        <w:rPr>
          <w:rFonts w:ascii="宋体" w:hAnsi="宋体" w:cs="宋体"/>
          <w:b/>
          <w:bCs/>
        </w:rPr>
        <w:t>、与存在关联关系的财务公司的往来情况</w:t>
      </w:r>
      <w:bookmarkEnd w:id="82"/>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公司与存在关联关系的财务公司与关联方之间不存在存款、贷款、授信或其他金融业务。</w:t>
      </w:r>
    </w:p>
    <w:p w:rsidR="00A067C6" w:rsidRDefault="005C4966">
      <w:pPr>
        <w:pStyle w:val="3"/>
        <w:spacing w:line="280" w:lineRule="exact"/>
        <w:jc w:val="left"/>
        <w:rPr>
          <w:rFonts w:ascii="宋体" w:hAnsi="宋体" w:cs="宋体"/>
          <w:b/>
          <w:bCs/>
        </w:rPr>
      </w:pPr>
      <w:bookmarkStart w:id="83" w:name="_Toc988971"/>
      <w:r>
        <w:rPr>
          <w:rFonts w:ascii="宋体" w:hAnsi="宋体" w:cs="宋体"/>
          <w:b/>
          <w:bCs/>
        </w:rPr>
        <w:t>6</w:t>
      </w:r>
      <w:r>
        <w:rPr>
          <w:rFonts w:ascii="宋体" w:hAnsi="宋体" w:cs="宋体"/>
          <w:b/>
          <w:bCs/>
        </w:rPr>
        <w:t>、公司控股的财务公司与关联方的往来情况</w:t>
      </w:r>
      <w:bookmarkEnd w:id="83"/>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公司控股的财务公司与关联方之间不存在存款、贷款、授信或其他金融业务。</w:t>
      </w:r>
    </w:p>
    <w:p w:rsidR="00A067C6" w:rsidRDefault="005C4966">
      <w:pPr>
        <w:pStyle w:val="3"/>
        <w:spacing w:line="280" w:lineRule="exact"/>
        <w:jc w:val="left"/>
        <w:rPr>
          <w:rFonts w:ascii="宋体" w:hAnsi="宋体" w:cs="宋体"/>
          <w:b/>
          <w:bCs/>
        </w:rPr>
      </w:pPr>
      <w:bookmarkStart w:id="84" w:name="_Toc988972"/>
      <w:r>
        <w:rPr>
          <w:rFonts w:ascii="宋体" w:hAnsi="宋体" w:cs="宋体"/>
          <w:b/>
          <w:bCs/>
        </w:rPr>
        <w:t>7</w:t>
      </w:r>
      <w:r>
        <w:rPr>
          <w:rFonts w:ascii="宋体" w:hAnsi="宋体" w:cs="宋体"/>
          <w:b/>
          <w:bCs/>
        </w:rPr>
        <w:t>、其他重大关联交易</w:t>
      </w:r>
      <w:bookmarkEnd w:id="84"/>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公司报告期无其他重大关联交易。</w:t>
      </w:r>
    </w:p>
    <w:p w:rsidR="00A067C6" w:rsidRDefault="005C4966">
      <w:pPr>
        <w:pStyle w:val="2"/>
        <w:spacing w:before="300" w:after="300" w:line="320" w:lineRule="exact"/>
        <w:rPr>
          <w:rFonts w:ascii="宋体" w:eastAsia="宋体" w:hAnsi="宋体" w:cs="宋体"/>
          <w:b/>
          <w:bCs/>
          <w:sz w:val="24"/>
          <w:szCs w:val="24"/>
        </w:rPr>
      </w:pPr>
      <w:bookmarkStart w:id="85" w:name="_Toc988973"/>
      <w:r>
        <w:rPr>
          <w:rFonts w:ascii="宋体" w:eastAsia="宋体" w:hAnsi="宋体" w:cs="宋体"/>
          <w:b/>
          <w:bCs/>
          <w:sz w:val="24"/>
          <w:szCs w:val="24"/>
        </w:rPr>
        <w:t>十二、重大合同及其履行情况</w:t>
      </w:r>
      <w:bookmarkEnd w:id="85"/>
    </w:p>
    <w:p w:rsidR="00A067C6" w:rsidRDefault="005C4966">
      <w:pPr>
        <w:pStyle w:val="3"/>
        <w:spacing w:line="280" w:lineRule="exact"/>
        <w:jc w:val="left"/>
        <w:rPr>
          <w:rFonts w:ascii="宋体" w:hAnsi="宋体" w:cs="宋体"/>
          <w:b/>
          <w:bCs/>
        </w:rPr>
      </w:pPr>
      <w:bookmarkStart w:id="86" w:name="_Toc988974"/>
      <w:r>
        <w:rPr>
          <w:rFonts w:ascii="宋体" w:hAnsi="宋体" w:cs="宋体"/>
          <w:b/>
          <w:bCs/>
        </w:rPr>
        <w:t>1</w:t>
      </w:r>
      <w:r>
        <w:rPr>
          <w:rFonts w:ascii="宋体" w:hAnsi="宋体" w:cs="宋体"/>
          <w:b/>
          <w:bCs/>
        </w:rPr>
        <w:t>、托管、承包、租赁事项情况</w:t>
      </w:r>
      <w:bookmarkEnd w:id="86"/>
    </w:p>
    <w:p w:rsidR="00A067C6" w:rsidRDefault="005C4966">
      <w:pPr>
        <w:keepNext/>
        <w:keepLines/>
        <w:spacing w:before="300" w:after="300" w:line="280" w:lineRule="exact"/>
        <w:outlineLvl w:val="3"/>
        <w:rPr>
          <w:rFonts w:ascii="宋体" w:eastAsia="宋体" w:hAnsi="宋体" w:cs="宋体"/>
          <w:b/>
          <w:bCs/>
          <w:sz w:val="18"/>
          <w:szCs w:val="18"/>
        </w:rPr>
      </w:pPr>
      <w:bookmarkStart w:id="87" w:name="_Toc988975"/>
      <w:r>
        <w:rPr>
          <w:rFonts w:ascii="宋体" w:eastAsia="宋体" w:hAnsi="宋体" w:cs="宋体"/>
          <w:b/>
          <w:bCs/>
          <w:sz w:val="18"/>
          <w:szCs w:val="18"/>
        </w:rPr>
        <w:t>（</w:t>
      </w:r>
      <w:r>
        <w:rPr>
          <w:rFonts w:ascii="宋体" w:eastAsia="宋体" w:hAnsi="宋体" w:cs="宋体"/>
          <w:b/>
          <w:bCs/>
          <w:sz w:val="18"/>
          <w:szCs w:val="18"/>
        </w:rPr>
        <w:t>1</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托管情况</w:t>
      </w:r>
      <w:bookmarkEnd w:id="87"/>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公司报告期不存在托管情况。</w:t>
      </w:r>
    </w:p>
    <w:p w:rsidR="00A067C6" w:rsidRDefault="005C4966">
      <w:pPr>
        <w:keepNext/>
        <w:keepLines/>
        <w:spacing w:before="300" w:after="300" w:line="280" w:lineRule="exact"/>
        <w:outlineLvl w:val="3"/>
        <w:rPr>
          <w:rFonts w:ascii="宋体" w:eastAsia="宋体" w:hAnsi="宋体" w:cs="宋体"/>
          <w:b/>
          <w:bCs/>
          <w:sz w:val="18"/>
          <w:szCs w:val="18"/>
        </w:rPr>
      </w:pPr>
      <w:bookmarkStart w:id="88" w:name="_Toc988976"/>
      <w:r>
        <w:rPr>
          <w:rFonts w:ascii="宋体" w:eastAsia="宋体" w:hAnsi="宋体" w:cs="宋体"/>
          <w:b/>
          <w:bCs/>
          <w:sz w:val="18"/>
          <w:szCs w:val="18"/>
        </w:rPr>
        <w:t>（</w:t>
      </w:r>
      <w:r>
        <w:rPr>
          <w:rFonts w:ascii="宋体" w:eastAsia="宋体" w:hAnsi="宋体" w:cs="宋体"/>
          <w:b/>
          <w:bCs/>
          <w:sz w:val="18"/>
          <w:szCs w:val="18"/>
        </w:rPr>
        <w:t>2</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承包情况</w:t>
      </w:r>
      <w:bookmarkEnd w:id="88"/>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公司报告期不存在承包情况。</w:t>
      </w:r>
    </w:p>
    <w:p w:rsidR="00A067C6" w:rsidRDefault="005C4966">
      <w:pPr>
        <w:keepNext/>
        <w:keepLines/>
        <w:spacing w:before="300" w:after="300" w:line="280" w:lineRule="exact"/>
        <w:outlineLvl w:val="3"/>
        <w:rPr>
          <w:rFonts w:ascii="宋体" w:eastAsia="宋体" w:hAnsi="宋体" w:cs="宋体"/>
          <w:b/>
          <w:bCs/>
          <w:sz w:val="18"/>
          <w:szCs w:val="18"/>
        </w:rPr>
      </w:pPr>
      <w:bookmarkStart w:id="89" w:name="_Toc988977"/>
      <w:r>
        <w:rPr>
          <w:rFonts w:ascii="宋体" w:eastAsia="宋体" w:hAnsi="宋体" w:cs="宋体"/>
          <w:b/>
          <w:bCs/>
          <w:sz w:val="18"/>
          <w:szCs w:val="18"/>
        </w:rPr>
        <w:t>（</w:t>
      </w:r>
      <w:r>
        <w:rPr>
          <w:rFonts w:ascii="宋体" w:eastAsia="宋体" w:hAnsi="宋体" w:cs="宋体"/>
          <w:b/>
          <w:bCs/>
          <w:sz w:val="18"/>
          <w:szCs w:val="18"/>
        </w:rPr>
        <w:t>3</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租赁情况</w:t>
      </w:r>
      <w:bookmarkEnd w:id="89"/>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公司报告期不存在租赁情况。</w:t>
      </w:r>
    </w:p>
    <w:p w:rsidR="00A067C6" w:rsidRDefault="005C4966">
      <w:pPr>
        <w:pStyle w:val="3"/>
        <w:spacing w:line="280" w:lineRule="exact"/>
        <w:jc w:val="left"/>
        <w:rPr>
          <w:rFonts w:ascii="宋体" w:hAnsi="宋体" w:cs="宋体"/>
          <w:b/>
          <w:bCs/>
        </w:rPr>
      </w:pPr>
      <w:bookmarkStart w:id="90" w:name="_Toc988978"/>
      <w:r>
        <w:rPr>
          <w:rFonts w:ascii="宋体" w:hAnsi="宋体" w:cs="宋体"/>
          <w:b/>
          <w:bCs/>
        </w:rPr>
        <w:t>2</w:t>
      </w:r>
      <w:r>
        <w:rPr>
          <w:rFonts w:ascii="宋体" w:hAnsi="宋体" w:cs="宋体"/>
          <w:b/>
          <w:bCs/>
        </w:rPr>
        <w:t>、重大担保</w:t>
      </w:r>
      <w:bookmarkEnd w:id="90"/>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t>不适用</w:t>
      </w:r>
    </w:p>
    <w:p w:rsidR="00A067C6" w:rsidRDefault="005C4966">
      <w:pPr>
        <w:spacing w:before="120" w:after="120" w:line="240" w:lineRule="exact"/>
        <w:jc w:val="right"/>
        <w:rPr>
          <w:rFonts w:ascii="宋体" w:eastAsia="宋体" w:hAnsi="宋体" w:cs="宋体"/>
          <w:sz w:val="18"/>
          <w:szCs w:val="18"/>
        </w:rPr>
      </w:pPr>
      <w:r>
        <w:rPr>
          <w:rFonts w:ascii="宋体" w:eastAsia="宋体" w:hAnsi="宋体" w:cs="宋体"/>
          <w:sz w:val="18"/>
          <w:szCs w:val="18"/>
        </w:rPr>
        <w:t>单位：万元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75"/>
        <w:gridCol w:w="877"/>
        <w:gridCol w:w="876"/>
        <w:gridCol w:w="877"/>
        <w:gridCol w:w="876"/>
        <w:gridCol w:w="830"/>
        <w:gridCol w:w="47"/>
        <w:gridCol w:w="876"/>
        <w:gridCol w:w="876"/>
        <w:gridCol w:w="44"/>
        <w:gridCol w:w="832"/>
        <w:gridCol w:w="876"/>
        <w:gridCol w:w="877"/>
      </w:tblGrid>
      <w:tr w:rsidR="00A067C6">
        <w:trPr>
          <w:trHeight w:val="240"/>
        </w:trPr>
        <w:tc>
          <w:tcPr>
            <w:tcW w:w="9639" w:type="dxa"/>
            <w:gridSpan w:val="13"/>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公司及其子公司对外担保情况（不包括对子公司的担保）</w:t>
            </w:r>
          </w:p>
        </w:tc>
      </w:tr>
      <w:tr w:rsidR="00A067C6">
        <w:trPr>
          <w:trHeight w:val="240"/>
        </w:trPr>
        <w:tc>
          <w:tcPr>
            <w:tcW w:w="87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担保对象名称</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担保额度相关公告披露日期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实际发生日期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实际担保金额</w:t>
            </w:r>
          </w:p>
        </w:tc>
        <w:tc>
          <w:tcPr>
            <w:tcW w:w="877"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担保类型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担保物（如有）</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反担保情况（如有）</w:t>
            </w:r>
          </w:p>
        </w:tc>
        <w:tc>
          <w:tcPr>
            <w:tcW w:w="87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担保期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是否履行完毕</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是否为关联方担保</w:t>
            </w:r>
          </w:p>
        </w:tc>
      </w:tr>
      <w:tr w:rsidR="00A067C6">
        <w:trPr>
          <w:trHeight w:val="240"/>
        </w:trPr>
        <w:tc>
          <w:tcPr>
            <w:tcW w:w="9639" w:type="dxa"/>
            <w:gridSpan w:val="13"/>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公司对子公司的担保情况</w:t>
            </w:r>
          </w:p>
        </w:tc>
      </w:tr>
      <w:tr w:rsidR="00A067C6">
        <w:trPr>
          <w:trHeight w:val="240"/>
        </w:trPr>
        <w:tc>
          <w:tcPr>
            <w:tcW w:w="87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担保对象名称</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担保额度相关公告披露日期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实际发生日期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实际担保金额</w:t>
            </w:r>
          </w:p>
        </w:tc>
        <w:tc>
          <w:tcPr>
            <w:tcW w:w="83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担保类型</w:t>
            </w:r>
          </w:p>
        </w:tc>
        <w:tc>
          <w:tcPr>
            <w:tcW w:w="92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担保物（如有）</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反担保情况（如有）</w:t>
            </w:r>
          </w:p>
        </w:tc>
        <w:tc>
          <w:tcPr>
            <w:tcW w:w="87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担保期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是否履行完毕</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是否为关联方担保</w:t>
            </w:r>
          </w:p>
        </w:tc>
      </w:tr>
      <w:tr w:rsidR="00A067C6">
        <w:trPr>
          <w:trHeight w:val="240"/>
        </w:trPr>
        <w:tc>
          <w:tcPr>
            <w:tcW w:w="87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深圳市华孚进出口有限公司</w:t>
            </w:r>
          </w:p>
        </w:tc>
        <w:tc>
          <w:tcPr>
            <w:tcW w:w="8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2022</w:t>
            </w:r>
            <w:r>
              <w:rPr>
                <w:rFonts w:ascii="宋体" w:eastAsia="宋体" w:hAnsi="宋体" w:cs="宋体"/>
                <w:sz w:val="18"/>
                <w:szCs w:val="18"/>
              </w:rPr>
              <w:t>年</w:t>
            </w:r>
            <w:r>
              <w:rPr>
                <w:rFonts w:ascii="宋体" w:eastAsia="宋体" w:hAnsi="宋体" w:cs="宋体"/>
                <w:sz w:val="18"/>
                <w:szCs w:val="18"/>
              </w:rPr>
              <w:t>04</w:t>
            </w:r>
            <w:r>
              <w:rPr>
                <w:rFonts w:ascii="宋体" w:eastAsia="宋体" w:hAnsi="宋体" w:cs="宋体"/>
                <w:sz w:val="18"/>
                <w:szCs w:val="18"/>
              </w:rPr>
              <w:t>月</w:t>
            </w:r>
            <w:r>
              <w:rPr>
                <w:rFonts w:ascii="宋体" w:eastAsia="宋体" w:hAnsi="宋体" w:cs="宋体"/>
                <w:sz w:val="18"/>
                <w:szCs w:val="18"/>
              </w:rPr>
              <w:t>28</w:t>
            </w:r>
            <w:r>
              <w:rPr>
                <w:rFonts w:ascii="宋体" w:eastAsia="宋体" w:hAnsi="宋体" w:cs="宋体"/>
                <w:sz w:val="18"/>
                <w:szCs w:val="18"/>
              </w:rPr>
              <w:t>日</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500,000</w:t>
            </w:r>
          </w:p>
        </w:tc>
        <w:tc>
          <w:tcPr>
            <w:tcW w:w="8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2022</w:t>
            </w:r>
            <w:r>
              <w:rPr>
                <w:rFonts w:ascii="宋体" w:eastAsia="宋体" w:hAnsi="宋体" w:cs="宋体"/>
                <w:sz w:val="18"/>
                <w:szCs w:val="18"/>
              </w:rPr>
              <w:t>年</w:t>
            </w:r>
            <w:r>
              <w:rPr>
                <w:rFonts w:ascii="宋体" w:eastAsia="宋体" w:hAnsi="宋体" w:cs="宋体"/>
                <w:sz w:val="18"/>
                <w:szCs w:val="18"/>
              </w:rPr>
              <w:t>07</w:t>
            </w:r>
            <w:r>
              <w:rPr>
                <w:rFonts w:ascii="宋体" w:eastAsia="宋体" w:hAnsi="宋体" w:cs="宋体"/>
                <w:sz w:val="18"/>
                <w:szCs w:val="18"/>
              </w:rPr>
              <w:t>月</w:t>
            </w:r>
            <w:r>
              <w:rPr>
                <w:rFonts w:ascii="宋体" w:eastAsia="宋体" w:hAnsi="宋体" w:cs="宋体"/>
                <w:sz w:val="18"/>
                <w:szCs w:val="18"/>
              </w:rPr>
              <w:t>20</w:t>
            </w:r>
            <w:r>
              <w:rPr>
                <w:rFonts w:ascii="宋体" w:eastAsia="宋体" w:hAnsi="宋体" w:cs="宋体"/>
                <w:sz w:val="18"/>
                <w:szCs w:val="18"/>
              </w:rPr>
              <w:t>日</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154,980</w:t>
            </w:r>
          </w:p>
        </w:tc>
        <w:tc>
          <w:tcPr>
            <w:tcW w:w="83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923" w:type="dxa"/>
            <w:gridSpan w:val="2"/>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876" w:type="dxa"/>
            <w:gridSpan w:val="2"/>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三年</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trHeight w:val="240"/>
        </w:trPr>
        <w:tc>
          <w:tcPr>
            <w:tcW w:w="87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深圳市华孚进出口有限公司</w:t>
            </w:r>
          </w:p>
        </w:tc>
        <w:tc>
          <w:tcPr>
            <w:tcW w:w="8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2022</w:t>
            </w:r>
            <w:r>
              <w:rPr>
                <w:rFonts w:ascii="宋体" w:eastAsia="宋体" w:hAnsi="宋体" w:cs="宋体"/>
                <w:sz w:val="18"/>
                <w:szCs w:val="18"/>
              </w:rPr>
              <w:t>年</w:t>
            </w:r>
            <w:r>
              <w:rPr>
                <w:rFonts w:ascii="宋体" w:eastAsia="宋体" w:hAnsi="宋体" w:cs="宋体"/>
                <w:sz w:val="18"/>
                <w:szCs w:val="18"/>
              </w:rPr>
              <w:t>04</w:t>
            </w:r>
            <w:r>
              <w:rPr>
                <w:rFonts w:ascii="宋体" w:eastAsia="宋体" w:hAnsi="宋体" w:cs="宋体"/>
                <w:sz w:val="18"/>
                <w:szCs w:val="18"/>
              </w:rPr>
              <w:t>月</w:t>
            </w:r>
            <w:r>
              <w:rPr>
                <w:rFonts w:ascii="宋体" w:eastAsia="宋体" w:hAnsi="宋体" w:cs="宋体"/>
                <w:sz w:val="18"/>
                <w:szCs w:val="18"/>
              </w:rPr>
              <w:t>28</w:t>
            </w:r>
            <w:r>
              <w:rPr>
                <w:rFonts w:ascii="宋体" w:eastAsia="宋体" w:hAnsi="宋体" w:cs="宋体"/>
                <w:sz w:val="18"/>
                <w:szCs w:val="18"/>
              </w:rPr>
              <w:t>日</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500,000</w:t>
            </w:r>
          </w:p>
        </w:tc>
        <w:tc>
          <w:tcPr>
            <w:tcW w:w="8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01</w:t>
            </w:r>
            <w:r>
              <w:rPr>
                <w:rFonts w:ascii="宋体" w:eastAsia="宋体" w:hAnsi="宋体" w:cs="宋体"/>
                <w:sz w:val="18"/>
                <w:szCs w:val="18"/>
              </w:rPr>
              <w:t>月</w:t>
            </w:r>
            <w:r>
              <w:rPr>
                <w:rFonts w:ascii="宋体" w:eastAsia="宋体" w:hAnsi="宋体" w:cs="宋体"/>
                <w:sz w:val="18"/>
                <w:szCs w:val="18"/>
              </w:rPr>
              <w:t>12</w:t>
            </w:r>
            <w:r>
              <w:rPr>
                <w:rFonts w:ascii="宋体" w:eastAsia="宋体" w:hAnsi="宋体" w:cs="宋体"/>
                <w:sz w:val="18"/>
                <w:szCs w:val="18"/>
              </w:rPr>
              <w:t>日</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11,000</w:t>
            </w:r>
          </w:p>
        </w:tc>
        <w:tc>
          <w:tcPr>
            <w:tcW w:w="83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923" w:type="dxa"/>
            <w:gridSpan w:val="2"/>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876" w:type="dxa"/>
            <w:gridSpan w:val="2"/>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一年</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trHeight w:val="240"/>
        </w:trPr>
        <w:tc>
          <w:tcPr>
            <w:tcW w:w="87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深圳市华孚进出口有限公司</w:t>
            </w:r>
          </w:p>
        </w:tc>
        <w:tc>
          <w:tcPr>
            <w:tcW w:w="8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04</w:t>
            </w:r>
            <w:r>
              <w:rPr>
                <w:rFonts w:ascii="宋体" w:eastAsia="宋体" w:hAnsi="宋体" w:cs="宋体"/>
                <w:sz w:val="18"/>
                <w:szCs w:val="18"/>
              </w:rPr>
              <w:t>月</w:t>
            </w:r>
            <w:r>
              <w:rPr>
                <w:rFonts w:ascii="宋体" w:eastAsia="宋体" w:hAnsi="宋体" w:cs="宋体"/>
                <w:sz w:val="18"/>
                <w:szCs w:val="18"/>
              </w:rPr>
              <w:t>29</w:t>
            </w:r>
            <w:r>
              <w:rPr>
                <w:rFonts w:ascii="宋体" w:eastAsia="宋体" w:hAnsi="宋体" w:cs="宋体"/>
                <w:sz w:val="18"/>
                <w:szCs w:val="18"/>
              </w:rPr>
              <w:t>日</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500,000</w:t>
            </w:r>
          </w:p>
        </w:tc>
        <w:tc>
          <w:tcPr>
            <w:tcW w:w="8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05</w:t>
            </w:r>
            <w:r>
              <w:rPr>
                <w:rFonts w:ascii="宋体" w:eastAsia="宋体" w:hAnsi="宋体" w:cs="宋体"/>
                <w:sz w:val="18"/>
                <w:szCs w:val="18"/>
              </w:rPr>
              <w:t>月</w:t>
            </w:r>
            <w:r>
              <w:rPr>
                <w:rFonts w:ascii="宋体" w:eastAsia="宋体" w:hAnsi="宋体" w:cs="宋体"/>
                <w:sz w:val="18"/>
                <w:szCs w:val="18"/>
              </w:rPr>
              <w:t>29</w:t>
            </w:r>
            <w:r>
              <w:rPr>
                <w:rFonts w:ascii="宋体" w:eastAsia="宋体" w:hAnsi="宋体" w:cs="宋体"/>
                <w:sz w:val="18"/>
                <w:szCs w:val="18"/>
              </w:rPr>
              <w:t>日</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40,988</w:t>
            </w:r>
          </w:p>
        </w:tc>
        <w:tc>
          <w:tcPr>
            <w:tcW w:w="83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923" w:type="dxa"/>
            <w:gridSpan w:val="2"/>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876" w:type="dxa"/>
            <w:gridSpan w:val="2"/>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三年</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trHeight w:val="240"/>
        </w:trPr>
        <w:tc>
          <w:tcPr>
            <w:tcW w:w="87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深圳市华孚进出口有限公司</w:t>
            </w:r>
          </w:p>
        </w:tc>
        <w:tc>
          <w:tcPr>
            <w:tcW w:w="8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04</w:t>
            </w:r>
            <w:r>
              <w:rPr>
                <w:rFonts w:ascii="宋体" w:eastAsia="宋体" w:hAnsi="宋体" w:cs="宋体"/>
                <w:sz w:val="18"/>
                <w:szCs w:val="18"/>
              </w:rPr>
              <w:t>月</w:t>
            </w:r>
            <w:r>
              <w:rPr>
                <w:rFonts w:ascii="宋体" w:eastAsia="宋体" w:hAnsi="宋体" w:cs="宋体"/>
                <w:sz w:val="18"/>
                <w:szCs w:val="18"/>
              </w:rPr>
              <w:t>29</w:t>
            </w:r>
            <w:r>
              <w:rPr>
                <w:rFonts w:ascii="宋体" w:eastAsia="宋体" w:hAnsi="宋体" w:cs="宋体"/>
                <w:sz w:val="18"/>
                <w:szCs w:val="18"/>
              </w:rPr>
              <w:t>日</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500,000</w:t>
            </w:r>
          </w:p>
        </w:tc>
        <w:tc>
          <w:tcPr>
            <w:tcW w:w="8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06</w:t>
            </w:r>
            <w:r>
              <w:rPr>
                <w:rFonts w:ascii="宋体" w:eastAsia="宋体" w:hAnsi="宋体" w:cs="宋体"/>
                <w:sz w:val="18"/>
                <w:szCs w:val="18"/>
              </w:rPr>
              <w:t>月</w:t>
            </w:r>
            <w:r>
              <w:rPr>
                <w:rFonts w:ascii="宋体" w:eastAsia="宋体" w:hAnsi="宋体" w:cs="宋体"/>
                <w:sz w:val="18"/>
                <w:szCs w:val="18"/>
              </w:rPr>
              <w:t>16</w:t>
            </w:r>
            <w:r>
              <w:rPr>
                <w:rFonts w:ascii="宋体" w:eastAsia="宋体" w:hAnsi="宋体" w:cs="宋体"/>
                <w:sz w:val="18"/>
                <w:szCs w:val="18"/>
              </w:rPr>
              <w:t>日</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22,700</w:t>
            </w:r>
          </w:p>
        </w:tc>
        <w:tc>
          <w:tcPr>
            <w:tcW w:w="83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923" w:type="dxa"/>
            <w:gridSpan w:val="2"/>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876" w:type="dxa"/>
            <w:gridSpan w:val="2"/>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一年</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trHeight w:val="240"/>
        </w:trPr>
        <w:tc>
          <w:tcPr>
            <w:tcW w:w="87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浙江华孚色纺有限公司</w:t>
            </w:r>
          </w:p>
        </w:tc>
        <w:tc>
          <w:tcPr>
            <w:tcW w:w="8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2022</w:t>
            </w:r>
            <w:r>
              <w:rPr>
                <w:rFonts w:ascii="宋体" w:eastAsia="宋体" w:hAnsi="宋体" w:cs="宋体"/>
                <w:sz w:val="18"/>
                <w:szCs w:val="18"/>
              </w:rPr>
              <w:t>年</w:t>
            </w:r>
            <w:r>
              <w:rPr>
                <w:rFonts w:ascii="宋体" w:eastAsia="宋体" w:hAnsi="宋体" w:cs="宋体"/>
                <w:sz w:val="18"/>
                <w:szCs w:val="18"/>
              </w:rPr>
              <w:t>04</w:t>
            </w:r>
            <w:r>
              <w:rPr>
                <w:rFonts w:ascii="宋体" w:eastAsia="宋体" w:hAnsi="宋体" w:cs="宋体"/>
                <w:sz w:val="18"/>
                <w:szCs w:val="18"/>
              </w:rPr>
              <w:t>月</w:t>
            </w:r>
            <w:r>
              <w:rPr>
                <w:rFonts w:ascii="宋体" w:eastAsia="宋体" w:hAnsi="宋体" w:cs="宋体"/>
                <w:sz w:val="18"/>
                <w:szCs w:val="18"/>
              </w:rPr>
              <w:t>28</w:t>
            </w:r>
            <w:r>
              <w:rPr>
                <w:rFonts w:ascii="宋体" w:eastAsia="宋体" w:hAnsi="宋体" w:cs="宋体"/>
                <w:sz w:val="18"/>
                <w:szCs w:val="18"/>
              </w:rPr>
              <w:t>日</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63,000</w:t>
            </w:r>
          </w:p>
        </w:tc>
        <w:tc>
          <w:tcPr>
            <w:tcW w:w="8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2022</w:t>
            </w:r>
            <w:r>
              <w:rPr>
                <w:rFonts w:ascii="宋体" w:eastAsia="宋体" w:hAnsi="宋体" w:cs="宋体"/>
                <w:sz w:val="18"/>
                <w:szCs w:val="18"/>
              </w:rPr>
              <w:t>年</w:t>
            </w:r>
            <w:r>
              <w:rPr>
                <w:rFonts w:ascii="宋体" w:eastAsia="宋体" w:hAnsi="宋体" w:cs="宋体"/>
                <w:sz w:val="18"/>
                <w:szCs w:val="18"/>
              </w:rPr>
              <w:t>12</w:t>
            </w:r>
            <w:r>
              <w:rPr>
                <w:rFonts w:ascii="宋体" w:eastAsia="宋体" w:hAnsi="宋体" w:cs="宋体"/>
                <w:sz w:val="18"/>
                <w:szCs w:val="18"/>
              </w:rPr>
              <w:t>月</w:t>
            </w:r>
            <w:r>
              <w:rPr>
                <w:rFonts w:ascii="宋体" w:eastAsia="宋体" w:hAnsi="宋体" w:cs="宋体"/>
                <w:sz w:val="18"/>
                <w:szCs w:val="18"/>
              </w:rPr>
              <w:t>30</w:t>
            </w:r>
            <w:r>
              <w:rPr>
                <w:rFonts w:ascii="宋体" w:eastAsia="宋体" w:hAnsi="宋体" w:cs="宋体"/>
                <w:sz w:val="18"/>
                <w:szCs w:val="18"/>
              </w:rPr>
              <w:t>日</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37,600</w:t>
            </w:r>
          </w:p>
        </w:tc>
        <w:tc>
          <w:tcPr>
            <w:tcW w:w="83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923" w:type="dxa"/>
            <w:gridSpan w:val="2"/>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876" w:type="dxa"/>
            <w:gridSpan w:val="2"/>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三年</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trHeight w:val="240"/>
        </w:trPr>
        <w:tc>
          <w:tcPr>
            <w:tcW w:w="87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浙江华孚色纺有限公司</w:t>
            </w:r>
          </w:p>
        </w:tc>
        <w:tc>
          <w:tcPr>
            <w:tcW w:w="8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04</w:t>
            </w:r>
            <w:r>
              <w:rPr>
                <w:rFonts w:ascii="宋体" w:eastAsia="宋体" w:hAnsi="宋体" w:cs="宋体"/>
                <w:sz w:val="18"/>
                <w:szCs w:val="18"/>
              </w:rPr>
              <w:t>月</w:t>
            </w:r>
            <w:r>
              <w:rPr>
                <w:rFonts w:ascii="宋体" w:eastAsia="宋体" w:hAnsi="宋体" w:cs="宋体"/>
                <w:sz w:val="18"/>
                <w:szCs w:val="18"/>
              </w:rPr>
              <w:t>29</w:t>
            </w:r>
            <w:r>
              <w:rPr>
                <w:rFonts w:ascii="宋体" w:eastAsia="宋体" w:hAnsi="宋体" w:cs="宋体"/>
                <w:sz w:val="18"/>
                <w:szCs w:val="18"/>
              </w:rPr>
              <w:t>日</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80,000</w:t>
            </w:r>
          </w:p>
        </w:tc>
        <w:tc>
          <w:tcPr>
            <w:tcW w:w="8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06</w:t>
            </w:r>
            <w:r>
              <w:rPr>
                <w:rFonts w:ascii="宋体" w:eastAsia="宋体" w:hAnsi="宋体" w:cs="宋体"/>
                <w:sz w:val="18"/>
                <w:szCs w:val="18"/>
              </w:rPr>
              <w:t>月</w:t>
            </w:r>
            <w:r>
              <w:rPr>
                <w:rFonts w:ascii="宋体" w:eastAsia="宋体" w:hAnsi="宋体" w:cs="宋体"/>
                <w:sz w:val="18"/>
                <w:szCs w:val="18"/>
              </w:rPr>
              <w:t>08</w:t>
            </w:r>
            <w:r>
              <w:rPr>
                <w:rFonts w:ascii="宋体" w:eastAsia="宋体" w:hAnsi="宋体" w:cs="宋体"/>
                <w:sz w:val="18"/>
                <w:szCs w:val="18"/>
              </w:rPr>
              <w:t>日</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4,300</w:t>
            </w:r>
          </w:p>
        </w:tc>
        <w:tc>
          <w:tcPr>
            <w:tcW w:w="83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923" w:type="dxa"/>
            <w:gridSpan w:val="2"/>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876" w:type="dxa"/>
            <w:gridSpan w:val="2"/>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三年</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trHeight w:val="240"/>
        </w:trPr>
        <w:tc>
          <w:tcPr>
            <w:tcW w:w="87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新疆六孚纺织工业园有限公司</w:t>
            </w:r>
          </w:p>
        </w:tc>
        <w:tc>
          <w:tcPr>
            <w:tcW w:w="8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2022</w:t>
            </w:r>
            <w:r>
              <w:rPr>
                <w:rFonts w:ascii="宋体" w:eastAsia="宋体" w:hAnsi="宋体" w:cs="宋体"/>
                <w:sz w:val="18"/>
                <w:szCs w:val="18"/>
              </w:rPr>
              <w:t>年</w:t>
            </w:r>
            <w:r>
              <w:rPr>
                <w:rFonts w:ascii="宋体" w:eastAsia="宋体" w:hAnsi="宋体" w:cs="宋体"/>
                <w:sz w:val="18"/>
                <w:szCs w:val="18"/>
              </w:rPr>
              <w:t>04</w:t>
            </w:r>
            <w:r>
              <w:rPr>
                <w:rFonts w:ascii="宋体" w:eastAsia="宋体" w:hAnsi="宋体" w:cs="宋体"/>
                <w:sz w:val="18"/>
                <w:szCs w:val="18"/>
              </w:rPr>
              <w:t>月</w:t>
            </w:r>
            <w:r>
              <w:rPr>
                <w:rFonts w:ascii="宋体" w:eastAsia="宋体" w:hAnsi="宋体" w:cs="宋体"/>
                <w:sz w:val="18"/>
                <w:szCs w:val="18"/>
              </w:rPr>
              <w:t>28</w:t>
            </w:r>
            <w:r>
              <w:rPr>
                <w:rFonts w:ascii="宋体" w:eastAsia="宋体" w:hAnsi="宋体" w:cs="宋体"/>
                <w:sz w:val="18"/>
                <w:szCs w:val="18"/>
              </w:rPr>
              <w:t>日</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30,000</w:t>
            </w:r>
          </w:p>
        </w:tc>
        <w:tc>
          <w:tcPr>
            <w:tcW w:w="8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03</w:t>
            </w:r>
            <w:r>
              <w:rPr>
                <w:rFonts w:ascii="宋体" w:eastAsia="宋体" w:hAnsi="宋体" w:cs="宋体"/>
                <w:sz w:val="18"/>
                <w:szCs w:val="18"/>
              </w:rPr>
              <w:t>月</w:t>
            </w:r>
            <w:r>
              <w:rPr>
                <w:rFonts w:ascii="宋体" w:eastAsia="宋体" w:hAnsi="宋体" w:cs="宋体"/>
                <w:sz w:val="18"/>
                <w:szCs w:val="18"/>
              </w:rPr>
              <w:t>12</w:t>
            </w:r>
            <w:r>
              <w:rPr>
                <w:rFonts w:ascii="宋体" w:eastAsia="宋体" w:hAnsi="宋体" w:cs="宋体"/>
                <w:sz w:val="18"/>
                <w:szCs w:val="18"/>
              </w:rPr>
              <w:t>日</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11,000</w:t>
            </w:r>
          </w:p>
        </w:tc>
        <w:tc>
          <w:tcPr>
            <w:tcW w:w="83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923" w:type="dxa"/>
            <w:gridSpan w:val="2"/>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876" w:type="dxa"/>
            <w:gridSpan w:val="2"/>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三年</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trHeight w:val="240"/>
        </w:trPr>
        <w:tc>
          <w:tcPr>
            <w:tcW w:w="87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阿克苏华孚色纺有限公司</w:t>
            </w:r>
          </w:p>
        </w:tc>
        <w:tc>
          <w:tcPr>
            <w:tcW w:w="8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2019</w:t>
            </w:r>
            <w:r>
              <w:rPr>
                <w:rFonts w:ascii="宋体" w:eastAsia="宋体" w:hAnsi="宋体" w:cs="宋体"/>
                <w:sz w:val="18"/>
                <w:szCs w:val="18"/>
              </w:rPr>
              <w:t>年</w:t>
            </w:r>
            <w:r>
              <w:rPr>
                <w:rFonts w:ascii="宋体" w:eastAsia="宋体" w:hAnsi="宋体" w:cs="宋体"/>
                <w:sz w:val="18"/>
                <w:szCs w:val="18"/>
              </w:rPr>
              <w:t>04</w:t>
            </w:r>
            <w:r>
              <w:rPr>
                <w:rFonts w:ascii="宋体" w:eastAsia="宋体" w:hAnsi="宋体" w:cs="宋体"/>
                <w:sz w:val="18"/>
                <w:szCs w:val="18"/>
              </w:rPr>
              <w:t>月</w:t>
            </w:r>
            <w:r>
              <w:rPr>
                <w:rFonts w:ascii="宋体" w:eastAsia="宋体" w:hAnsi="宋体" w:cs="宋体"/>
                <w:sz w:val="18"/>
                <w:szCs w:val="18"/>
              </w:rPr>
              <w:t>25</w:t>
            </w:r>
            <w:r>
              <w:rPr>
                <w:rFonts w:ascii="宋体" w:eastAsia="宋体" w:hAnsi="宋体" w:cs="宋体"/>
                <w:sz w:val="18"/>
                <w:szCs w:val="18"/>
              </w:rPr>
              <w:t>日</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120,000</w:t>
            </w:r>
          </w:p>
        </w:tc>
        <w:tc>
          <w:tcPr>
            <w:tcW w:w="8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2019</w:t>
            </w:r>
            <w:r>
              <w:rPr>
                <w:rFonts w:ascii="宋体" w:eastAsia="宋体" w:hAnsi="宋体" w:cs="宋体"/>
                <w:sz w:val="18"/>
                <w:szCs w:val="18"/>
              </w:rPr>
              <w:t>年</w:t>
            </w:r>
            <w:r>
              <w:rPr>
                <w:rFonts w:ascii="宋体" w:eastAsia="宋体" w:hAnsi="宋体" w:cs="宋体"/>
                <w:sz w:val="18"/>
                <w:szCs w:val="18"/>
              </w:rPr>
              <w:t>07</w:t>
            </w:r>
            <w:r>
              <w:rPr>
                <w:rFonts w:ascii="宋体" w:eastAsia="宋体" w:hAnsi="宋体" w:cs="宋体"/>
                <w:sz w:val="18"/>
                <w:szCs w:val="18"/>
              </w:rPr>
              <w:t>月</w:t>
            </w:r>
            <w:r>
              <w:rPr>
                <w:rFonts w:ascii="宋体" w:eastAsia="宋体" w:hAnsi="宋体" w:cs="宋体"/>
                <w:sz w:val="18"/>
                <w:szCs w:val="18"/>
              </w:rPr>
              <w:t>30</w:t>
            </w:r>
            <w:r>
              <w:rPr>
                <w:rFonts w:ascii="宋体" w:eastAsia="宋体" w:hAnsi="宋体" w:cs="宋体"/>
                <w:sz w:val="18"/>
                <w:szCs w:val="18"/>
              </w:rPr>
              <w:t>日</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35,881</w:t>
            </w:r>
          </w:p>
        </w:tc>
        <w:tc>
          <w:tcPr>
            <w:tcW w:w="83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923" w:type="dxa"/>
            <w:gridSpan w:val="2"/>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876" w:type="dxa"/>
            <w:gridSpan w:val="2"/>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三年</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trHeight w:val="240"/>
        </w:trPr>
        <w:tc>
          <w:tcPr>
            <w:tcW w:w="87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阿克苏华孚色纺有限公司</w:t>
            </w:r>
          </w:p>
        </w:tc>
        <w:tc>
          <w:tcPr>
            <w:tcW w:w="8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2021</w:t>
            </w:r>
            <w:r>
              <w:rPr>
                <w:rFonts w:ascii="宋体" w:eastAsia="宋体" w:hAnsi="宋体" w:cs="宋体"/>
                <w:sz w:val="18"/>
                <w:szCs w:val="18"/>
              </w:rPr>
              <w:t>年</w:t>
            </w:r>
            <w:r>
              <w:rPr>
                <w:rFonts w:ascii="宋体" w:eastAsia="宋体" w:hAnsi="宋体" w:cs="宋体"/>
                <w:sz w:val="18"/>
                <w:szCs w:val="18"/>
              </w:rPr>
              <w:t>04</w:t>
            </w:r>
            <w:r>
              <w:rPr>
                <w:rFonts w:ascii="宋体" w:eastAsia="宋体" w:hAnsi="宋体" w:cs="宋体"/>
                <w:sz w:val="18"/>
                <w:szCs w:val="18"/>
              </w:rPr>
              <w:t>月</w:t>
            </w:r>
            <w:r>
              <w:rPr>
                <w:rFonts w:ascii="宋体" w:eastAsia="宋体" w:hAnsi="宋体" w:cs="宋体"/>
                <w:sz w:val="18"/>
                <w:szCs w:val="18"/>
              </w:rPr>
              <w:t>28</w:t>
            </w:r>
            <w:r>
              <w:rPr>
                <w:rFonts w:ascii="宋体" w:eastAsia="宋体" w:hAnsi="宋体" w:cs="宋体"/>
                <w:sz w:val="18"/>
                <w:szCs w:val="18"/>
              </w:rPr>
              <w:t>日</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307,000</w:t>
            </w:r>
          </w:p>
        </w:tc>
        <w:tc>
          <w:tcPr>
            <w:tcW w:w="8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2021</w:t>
            </w:r>
            <w:r>
              <w:rPr>
                <w:rFonts w:ascii="宋体" w:eastAsia="宋体" w:hAnsi="宋体" w:cs="宋体"/>
                <w:sz w:val="18"/>
                <w:szCs w:val="18"/>
              </w:rPr>
              <w:t>年</w:t>
            </w:r>
            <w:r>
              <w:rPr>
                <w:rFonts w:ascii="宋体" w:eastAsia="宋体" w:hAnsi="宋体" w:cs="宋体"/>
                <w:sz w:val="18"/>
                <w:szCs w:val="18"/>
              </w:rPr>
              <w:t>08</w:t>
            </w:r>
            <w:r>
              <w:rPr>
                <w:rFonts w:ascii="宋体" w:eastAsia="宋体" w:hAnsi="宋体" w:cs="宋体"/>
                <w:sz w:val="18"/>
                <w:szCs w:val="18"/>
              </w:rPr>
              <w:t>月</w:t>
            </w:r>
            <w:r>
              <w:rPr>
                <w:rFonts w:ascii="宋体" w:eastAsia="宋体" w:hAnsi="宋体" w:cs="宋体"/>
                <w:sz w:val="18"/>
                <w:szCs w:val="18"/>
              </w:rPr>
              <w:t>31</w:t>
            </w:r>
            <w:r>
              <w:rPr>
                <w:rFonts w:ascii="宋体" w:eastAsia="宋体" w:hAnsi="宋体" w:cs="宋体"/>
                <w:sz w:val="18"/>
                <w:szCs w:val="18"/>
              </w:rPr>
              <w:t>日</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26,400</w:t>
            </w:r>
          </w:p>
        </w:tc>
        <w:tc>
          <w:tcPr>
            <w:tcW w:w="83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923" w:type="dxa"/>
            <w:gridSpan w:val="2"/>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876" w:type="dxa"/>
            <w:gridSpan w:val="2"/>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三年</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trHeight w:val="240"/>
        </w:trPr>
        <w:tc>
          <w:tcPr>
            <w:tcW w:w="87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阿克苏华孚色纺有限公司</w:t>
            </w:r>
          </w:p>
        </w:tc>
        <w:tc>
          <w:tcPr>
            <w:tcW w:w="8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2022</w:t>
            </w:r>
            <w:r>
              <w:rPr>
                <w:rFonts w:ascii="宋体" w:eastAsia="宋体" w:hAnsi="宋体" w:cs="宋体"/>
                <w:sz w:val="18"/>
                <w:szCs w:val="18"/>
              </w:rPr>
              <w:t>年</w:t>
            </w:r>
            <w:r>
              <w:rPr>
                <w:rFonts w:ascii="宋体" w:eastAsia="宋体" w:hAnsi="宋体" w:cs="宋体"/>
                <w:sz w:val="18"/>
                <w:szCs w:val="18"/>
              </w:rPr>
              <w:t>04</w:t>
            </w:r>
            <w:r>
              <w:rPr>
                <w:rFonts w:ascii="宋体" w:eastAsia="宋体" w:hAnsi="宋体" w:cs="宋体"/>
                <w:sz w:val="18"/>
                <w:szCs w:val="18"/>
              </w:rPr>
              <w:t>月</w:t>
            </w:r>
            <w:r>
              <w:rPr>
                <w:rFonts w:ascii="宋体" w:eastAsia="宋体" w:hAnsi="宋体" w:cs="宋体"/>
                <w:sz w:val="18"/>
                <w:szCs w:val="18"/>
              </w:rPr>
              <w:t>28</w:t>
            </w:r>
            <w:r>
              <w:rPr>
                <w:rFonts w:ascii="宋体" w:eastAsia="宋体" w:hAnsi="宋体" w:cs="宋体"/>
                <w:sz w:val="18"/>
                <w:szCs w:val="18"/>
              </w:rPr>
              <w:t>日</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327,000</w:t>
            </w:r>
          </w:p>
        </w:tc>
        <w:tc>
          <w:tcPr>
            <w:tcW w:w="8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2022</w:t>
            </w:r>
            <w:r>
              <w:rPr>
                <w:rFonts w:ascii="宋体" w:eastAsia="宋体" w:hAnsi="宋体" w:cs="宋体"/>
                <w:sz w:val="18"/>
                <w:szCs w:val="18"/>
              </w:rPr>
              <w:t>年</w:t>
            </w:r>
            <w:r>
              <w:rPr>
                <w:rFonts w:ascii="宋体" w:eastAsia="宋体" w:hAnsi="宋体" w:cs="宋体"/>
                <w:sz w:val="18"/>
                <w:szCs w:val="18"/>
              </w:rPr>
              <w:t>09</w:t>
            </w:r>
            <w:r>
              <w:rPr>
                <w:rFonts w:ascii="宋体" w:eastAsia="宋体" w:hAnsi="宋体" w:cs="宋体"/>
                <w:sz w:val="18"/>
                <w:szCs w:val="18"/>
              </w:rPr>
              <w:t>月</w:t>
            </w:r>
            <w:r>
              <w:rPr>
                <w:rFonts w:ascii="宋体" w:eastAsia="宋体" w:hAnsi="宋体" w:cs="宋体"/>
                <w:sz w:val="18"/>
                <w:szCs w:val="18"/>
              </w:rPr>
              <w:t>26</w:t>
            </w:r>
            <w:r>
              <w:rPr>
                <w:rFonts w:ascii="宋体" w:eastAsia="宋体" w:hAnsi="宋体" w:cs="宋体"/>
                <w:sz w:val="18"/>
                <w:szCs w:val="18"/>
              </w:rPr>
              <w:t>日</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87,250</w:t>
            </w:r>
          </w:p>
        </w:tc>
        <w:tc>
          <w:tcPr>
            <w:tcW w:w="83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923" w:type="dxa"/>
            <w:gridSpan w:val="2"/>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876" w:type="dxa"/>
            <w:gridSpan w:val="2"/>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三年</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trHeight w:val="240"/>
        </w:trPr>
        <w:tc>
          <w:tcPr>
            <w:tcW w:w="87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阿克苏华孚色纺有限公司</w:t>
            </w:r>
          </w:p>
        </w:tc>
        <w:tc>
          <w:tcPr>
            <w:tcW w:w="8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04</w:t>
            </w:r>
            <w:r>
              <w:rPr>
                <w:rFonts w:ascii="宋体" w:eastAsia="宋体" w:hAnsi="宋体" w:cs="宋体"/>
                <w:sz w:val="18"/>
                <w:szCs w:val="18"/>
              </w:rPr>
              <w:t>月</w:t>
            </w:r>
            <w:r>
              <w:rPr>
                <w:rFonts w:ascii="宋体" w:eastAsia="宋体" w:hAnsi="宋体" w:cs="宋体"/>
                <w:sz w:val="18"/>
                <w:szCs w:val="18"/>
              </w:rPr>
              <w:t>29</w:t>
            </w:r>
            <w:r>
              <w:rPr>
                <w:rFonts w:ascii="宋体" w:eastAsia="宋体" w:hAnsi="宋体" w:cs="宋体"/>
                <w:sz w:val="18"/>
                <w:szCs w:val="18"/>
              </w:rPr>
              <w:t>日</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300,000</w:t>
            </w:r>
          </w:p>
        </w:tc>
        <w:tc>
          <w:tcPr>
            <w:tcW w:w="8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05</w:t>
            </w:r>
            <w:r>
              <w:rPr>
                <w:rFonts w:ascii="宋体" w:eastAsia="宋体" w:hAnsi="宋体" w:cs="宋体"/>
                <w:sz w:val="18"/>
                <w:szCs w:val="18"/>
              </w:rPr>
              <w:t>月</w:t>
            </w:r>
            <w:r>
              <w:rPr>
                <w:rFonts w:ascii="宋体" w:eastAsia="宋体" w:hAnsi="宋体" w:cs="宋体"/>
                <w:sz w:val="18"/>
                <w:szCs w:val="18"/>
              </w:rPr>
              <w:t>25</w:t>
            </w:r>
            <w:r>
              <w:rPr>
                <w:rFonts w:ascii="宋体" w:eastAsia="宋体" w:hAnsi="宋体" w:cs="宋体"/>
                <w:sz w:val="18"/>
                <w:szCs w:val="18"/>
              </w:rPr>
              <w:t>日</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55,750</w:t>
            </w:r>
          </w:p>
        </w:tc>
        <w:tc>
          <w:tcPr>
            <w:tcW w:w="83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923" w:type="dxa"/>
            <w:gridSpan w:val="2"/>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876" w:type="dxa"/>
            <w:gridSpan w:val="2"/>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三年</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trHeight w:val="240"/>
        </w:trPr>
        <w:tc>
          <w:tcPr>
            <w:tcW w:w="87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新疆华孚棉业集团有限公司</w:t>
            </w:r>
          </w:p>
        </w:tc>
        <w:tc>
          <w:tcPr>
            <w:tcW w:w="8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2022</w:t>
            </w:r>
            <w:r>
              <w:rPr>
                <w:rFonts w:ascii="宋体" w:eastAsia="宋体" w:hAnsi="宋体" w:cs="宋体"/>
                <w:sz w:val="18"/>
                <w:szCs w:val="18"/>
              </w:rPr>
              <w:t>年</w:t>
            </w:r>
            <w:r>
              <w:rPr>
                <w:rFonts w:ascii="宋体" w:eastAsia="宋体" w:hAnsi="宋体" w:cs="宋体"/>
                <w:sz w:val="18"/>
                <w:szCs w:val="18"/>
              </w:rPr>
              <w:t>04</w:t>
            </w:r>
            <w:r>
              <w:rPr>
                <w:rFonts w:ascii="宋体" w:eastAsia="宋体" w:hAnsi="宋体" w:cs="宋体"/>
                <w:sz w:val="18"/>
                <w:szCs w:val="18"/>
              </w:rPr>
              <w:t>月</w:t>
            </w:r>
            <w:r>
              <w:rPr>
                <w:rFonts w:ascii="宋体" w:eastAsia="宋体" w:hAnsi="宋体" w:cs="宋体"/>
                <w:sz w:val="18"/>
                <w:szCs w:val="18"/>
              </w:rPr>
              <w:t>28</w:t>
            </w:r>
            <w:r>
              <w:rPr>
                <w:rFonts w:ascii="宋体" w:eastAsia="宋体" w:hAnsi="宋体" w:cs="宋体"/>
                <w:sz w:val="18"/>
                <w:szCs w:val="18"/>
              </w:rPr>
              <w:t>日</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150,000</w:t>
            </w:r>
          </w:p>
        </w:tc>
        <w:tc>
          <w:tcPr>
            <w:tcW w:w="8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01</w:t>
            </w:r>
            <w:r>
              <w:rPr>
                <w:rFonts w:ascii="宋体" w:eastAsia="宋体" w:hAnsi="宋体" w:cs="宋体"/>
                <w:sz w:val="18"/>
                <w:szCs w:val="18"/>
              </w:rPr>
              <w:t>月</w:t>
            </w:r>
            <w:r>
              <w:rPr>
                <w:rFonts w:ascii="宋体" w:eastAsia="宋体" w:hAnsi="宋体" w:cs="宋体"/>
                <w:sz w:val="18"/>
                <w:szCs w:val="18"/>
              </w:rPr>
              <w:t>01</w:t>
            </w:r>
            <w:r>
              <w:rPr>
                <w:rFonts w:ascii="宋体" w:eastAsia="宋体" w:hAnsi="宋体" w:cs="宋体"/>
                <w:sz w:val="18"/>
                <w:szCs w:val="18"/>
              </w:rPr>
              <w:t>日</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20,000</w:t>
            </w:r>
          </w:p>
        </w:tc>
        <w:tc>
          <w:tcPr>
            <w:tcW w:w="83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923" w:type="dxa"/>
            <w:gridSpan w:val="2"/>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876" w:type="dxa"/>
            <w:gridSpan w:val="2"/>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三年</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trHeight w:val="240"/>
        </w:trPr>
        <w:tc>
          <w:tcPr>
            <w:tcW w:w="175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报告期内审批对子公司担保额度合计（</w:t>
            </w:r>
            <w:r>
              <w:rPr>
                <w:rFonts w:ascii="宋体" w:eastAsia="宋体" w:hAnsi="宋体" w:cs="宋体"/>
                <w:sz w:val="18"/>
                <w:szCs w:val="18"/>
              </w:rPr>
              <w:t>B1</w:t>
            </w:r>
            <w:r>
              <w:rPr>
                <w:rFonts w:ascii="宋体" w:eastAsia="宋体" w:hAnsi="宋体" w:cs="宋体"/>
                <w:sz w:val="18"/>
                <w:szCs w:val="18"/>
              </w:rPr>
              <w:t>）</w:t>
            </w:r>
          </w:p>
        </w:tc>
        <w:tc>
          <w:tcPr>
            <w:tcW w:w="1753" w:type="dxa"/>
            <w:gridSpan w:val="2"/>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1,100,000</w:t>
            </w:r>
          </w:p>
        </w:tc>
        <w:tc>
          <w:tcPr>
            <w:tcW w:w="17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报告期内对子公司担保实际发生额合计（</w:t>
            </w:r>
            <w:r>
              <w:rPr>
                <w:rFonts w:ascii="宋体" w:eastAsia="宋体" w:hAnsi="宋体" w:cs="宋体"/>
                <w:sz w:val="18"/>
                <w:szCs w:val="18"/>
              </w:rPr>
              <w:t>B2</w:t>
            </w:r>
            <w:r>
              <w:rPr>
                <w:rFonts w:ascii="宋体" w:eastAsia="宋体" w:hAnsi="宋体" w:cs="宋体"/>
                <w:sz w:val="18"/>
                <w:szCs w:val="18"/>
              </w:rPr>
              <w:t>）</w:t>
            </w:r>
          </w:p>
        </w:tc>
        <w:tc>
          <w:tcPr>
            <w:tcW w:w="4428" w:type="dxa"/>
            <w:gridSpan w:val="7"/>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165,738</w:t>
            </w:r>
          </w:p>
        </w:tc>
      </w:tr>
      <w:tr w:rsidR="00A067C6">
        <w:trPr>
          <w:trHeight w:val="240"/>
        </w:trPr>
        <w:tc>
          <w:tcPr>
            <w:tcW w:w="175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报告期末已审批的对子公司担保额度合计（</w:t>
            </w:r>
            <w:r>
              <w:rPr>
                <w:rFonts w:ascii="宋体" w:eastAsia="宋体" w:hAnsi="宋体" w:cs="宋体"/>
                <w:sz w:val="18"/>
                <w:szCs w:val="18"/>
              </w:rPr>
              <w:t>B3</w:t>
            </w:r>
            <w:r>
              <w:rPr>
                <w:rFonts w:ascii="宋体" w:eastAsia="宋体" w:hAnsi="宋体" w:cs="宋体"/>
                <w:sz w:val="18"/>
                <w:szCs w:val="18"/>
              </w:rPr>
              <w:t>）</w:t>
            </w:r>
          </w:p>
        </w:tc>
        <w:tc>
          <w:tcPr>
            <w:tcW w:w="1753" w:type="dxa"/>
            <w:gridSpan w:val="2"/>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1,100,000</w:t>
            </w:r>
          </w:p>
        </w:tc>
        <w:tc>
          <w:tcPr>
            <w:tcW w:w="17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报告期末对子公司实际担保余额合计（</w:t>
            </w:r>
            <w:r>
              <w:rPr>
                <w:rFonts w:ascii="宋体" w:eastAsia="宋体" w:hAnsi="宋体" w:cs="宋体"/>
                <w:sz w:val="18"/>
                <w:szCs w:val="18"/>
              </w:rPr>
              <w:t>B4</w:t>
            </w:r>
            <w:r>
              <w:rPr>
                <w:rFonts w:ascii="宋体" w:eastAsia="宋体" w:hAnsi="宋体" w:cs="宋体"/>
                <w:sz w:val="18"/>
                <w:szCs w:val="18"/>
              </w:rPr>
              <w:t>）</w:t>
            </w:r>
          </w:p>
        </w:tc>
        <w:tc>
          <w:tcPr>
            <w:tcW w:w="4428" w:type="dxa"/>
            <w:gridSpan w:val="7"/>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507,848.6</w:t>
            </w:r>
          </w:p>
        </w:tc>
      </w:tr>
      <w:tr w:rsidR="00A067C6">
        <w:trPr>
          <w:trHeight w:val="240"/>
        </w:trPr>
        <w:tc>
          <w:tcPr>
            <w:tcW w:w="9639" w:type="dxa"/>
            <w:gridSpan w:val="13"/>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子公司对子公司的担保情况</w:t>
            </w:r>
          </w:p>
        </w:tc>
      </w:tr>
      <w:tr w:rsidR="00A067C6">
        <w:trPr>
          <w:trHeight w:val="240"/>
        </w:trPr>
        <w:tc>
          <w:tcPr>
            <w:tcW w:w="87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担保对象名称</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担保额度相关公告披露日期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实际发生日期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实际担保金额</w:t>
            </w:r>
          </w:p>
        </w:tc>
        <w:tc>
          <w:tcPr>
            <w:tcW w:w="83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担保类型</w:t>
            </w:r>
          </w:p>
        </w:tc>
        <w:tc>
          <w:tcPr>
            <w:tcW w:w="92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担保物（如有）</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反担保情况（如有）</w:t>
            </w:r>
          </w:p>
        </w:tc>
        <w:tc>
          <w:tcPr>
            <w:tcW w:w="87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担保期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是否履行完毕</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是否为关联方担保</w:t>
            </w:r>
          </w:p>
        </w:tc>
      </w:tr>
      <w:tr w:rsidR="00A067C6">
        <w:trPr>
          <w:trHeight w:val="240"/>
        </w:trPr>
        <w:tc>
          <w:tcPr>
            <w:tcW w:w="9639" w:type="dxa"/>
            <w:gridSpan w:val="13"/>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公司担保总额（即前三大项的合计）</w:t>
            </w:r>
          </w:p>
        </w:tc>
      </w:tr>
      <w:tr w:rsidR="00A067C6">
        <w:trPr>
          <w:trHeight w:val="240"/>
        </w:trPr>
        <w:tc>
          <w:tcPr>
            <w:tcW w:w="175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报告期内审批担保额度合计（</w:t>
            </w:r>
            <w:r>
              <w:rPr>
                <w:rFonts w:ascii="宋体" w:eastAsia="宋体" w:hAnsi="宋体" w:cs="宋体"/>
                <w:sz w:val="18"/>
                <w:szCs w:val="18"/>
              </w:rPr>
              <w:t>A1+B1+C1</w:t>
            </w:r>
            <w:r>
              <w:rPr>
                <w:rFonts w:ascii="宋体" w:eastAsia="宋体" w:hAnsi="宋体" w:cs="宋体"/>
                <w:sz w:val="18"/>
                <w:szCs w:val="18"/>
              </w:rPr>
              <w:t>）</w:t>
            </w:r>
          </w:p>
        </w:tc>
        <w:tc>
          <w:tcPr>
            <w:tcW w:w="1753" w:type="dxa"/>
            <w:gridSpan w:val="2"/>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1,100,000</w:t>
            </w:r>
          </w:p>
        </w:tc>
        <w:tc>
          <w:tcPr>
            <w:tcW w:w="17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报告期内担保实际发生额合计（</w:t>
            </w:r>
            <w:r>
              <w:rPr>
                <w:rFonts w:ascii="宋体" w:eastAsia="宋体" w:hAnsi="宋体" w:cs="宋体"/>
                <w:sz w:val="18"/>
                <w:szCs w:val="18"/>
              </w:rPr>
              <w:t>A2+B2+C2</w:t>
            </w:r>
            <w:r>
              <w:rPr>
                <w:rFonts w:ascii="宋体" w:eastAsia="宋体" w:hAnsi="宋体" w:cs="宋体"/>
                <w:sz w:val="18"/>
                <w:szCs w:val="18"/>
              </w:rPr>
              <w:t>）</w:t>
            </w:r>
          </w:p>
        </w:tc>
        <w:tc>
          <w:tcPr>
            <w:tcW w:w="4428" w:type="dxa"/>
            <w:gridSpan w:val="7"/>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165,738</w:t>
            </w:r>
          </w:p>
        </w:tc>
      </w:tr>
      <w:tr w:rsidR="00A067C6">
        <w:trPr>
          <w:trHeight w:val="240"/>
        </w:trPr>
        <w:tc>
          <w:tcPr>
            <w:tcW w:w="175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报告期末已审批的担保额度合计（</w:t>
            </w:r>
            <w:r>
              <w:rPr>
                <w:rFonts w:ascii="宋体" w:eastAsia="宋体" w:hAnsi="宋体" w:cs="宋体"/>
                <w:sz w:val="18"/>
                <w:szCs w:val="18"/>
              </w:rPr>
              <w:t>A3+B3+C3</w:t>
            </w:r>
            <w:r>
              <w:rPr>
                <w:rFonts w:ascii="宋体" w:eastAsia="宋体" w:hAnsi="宋体" w:cs="宋体"/>
                <w:sz w:val="18"/>
                <w:szCs w:val="18"/>
              </w:rPr>
              <w:t>）</w:t>
            </w:r>
          </w:p>
        </w:tc>
        <w:tc>
          <w:tcPr>
            <w:tcW w:w="1753" w:type="dxa"/>
            <w:gridSpan w:val="2"/>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1,100,000</w:t>
            </w:r>
          </w:p>
        </w:tc>
        <w:tc>
          <w:tcPr>
            <w:tcW w:w="17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报告期末实际担保余额合计（</w:t>
            </w:r>
            <w:r>
              <w:rPr>
                <w:rFonts w:ascii="宋体" w:eastAsia="宋体" w:hAnsi="宋体" w:cs="宋体"/>
                <w:sz w:val="18"/>
                <w:szCs w:val="18"/>
              </w:rPr>
              <w:t>A4+B4+C4</w:t>
            </w:r>
            <w:r>
              <w:rPr>
                <w:rFonts w:ascii="宋体" w:eastAsia="宋体" w:hAnsi="宋体" w:cs="宋体"/>
                <w:sz w:val="18"/>
                <w:szCs w:val="18"/>
              </w:rPr>
              <w:t>）</w:t>
            </w:r>
          </w:p>
        </w:tc>
        <w:tc>
          <w:tcPr>
            <w:tcW w:w="4428" w:type="dxa"/>
            <w:gridSpan w:val="7"/>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507,848.6</w:t>
            </w:r>
          </w:p>
        </w:tc>
      </w:tr>
      <w:tr w:rsidR="00A067C6">
        <w:trPr>
          <w:trHeight w:val="240"/>
        </w:trPr>
        <w:tc>
          <w:tcPr>
            <w:tcW w:w="7054" w:type="dxa"/>
            <w:gridSpan w:val="10"/>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实际担保总额（即</w:t>
            </w:r>
            <w:r>
              <w:rPr>
                <w:rFonts w:ascii="宋体" w:eastAsia="宋体" w:hAnsi="宋体" w:cs="宋体"/>
                <w:sz w:val="18"/>
                <w:szCs w:val="18"/>
              </w:rPr>
              <w:t>A4+B4+C4</w:t>
            </w:r>
            <w:r>
              <w:rPr>
                <w:rFonts w:ascii="宋体" w:eastAsia="宋体" w:hAnsi="宋体" w:cs="宋体"/>
                <w:sz w:val="18"/>
                <w:szCs w:val="18"/>
              </w:rPr>
              <w:t>）占公司净资产的比例</w:t>
            </w:r>
          </w:p>
        </w:tc>
        <w:tc>
          <w:tcPr>
            <w:tcW w:w="2585"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81.62%</w:t>
            </w:r>
          </w:p>
        </w:tc>
      </w:tr>
      <w:tr w:rsidR="00A067C6">
        <w:trPr>
          <w:trHeight w:val="240"/>
        </w:trPr>
        <w:tc>
          <w:tcPr>
            <w:tcW w:w="9639" w:type="dxa"/>
            <w:gridSpan w:val="13"/>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其中：</w:t>
            </w:r>
          </w:p>
        </w:tc>
      </w:tr>
      <w:tr w:rsidR="00A067C6">
        <w:trPr>
          <w:trHeight w:val="240"/>
        </w:trPr>
        <w:tc>
          <w:tcPr>
            <w:tcW w:w="7054" w:type="dxa"/>
            <w:gridSpan w:val="10"/>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为股东、实际控制人及其关联方提供担保的余额（</w:t>
            </w:r>
            <w:r>
              <w:rPr>
                <w:rFonts w:ascii="宋体" w:eastAsia="宋体" w:hAnsi="宋体" w:cs="宋体"/>
                <w:sz w:val="18"/>
                <w:szCs w:val="18"/>
              </w:rPr>
              <w:t>D</w:t>
            </w:r>
            <w:r>
              <w:rPr>
                <w:rFonts w:ascii="宋体" w:eastAsia="宋体" w:hAnsi="宋体" w:cs="宋体"/>
                <w:sz w:val="18"/>
                <w:szCs w:val="18"/>
              </w:rPr>
              <w:t>）</w:t>
            </w:r>
          </w:p>
        </w:tc>
        <w:tc>
          <w:tcPr>
            <w:tcW w:w="2585"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A067C6">
        <w:trPr>
          <w:trHeight w:val="240"/>
        </w:trPr>
        <w:tc>
          <w:tcPr>
            <w:tcW w:w="7054" w:type="dxa"/>
            <w:gridSpan w:val="10"/>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直接或间接为资产负债率超过</w:t>
            </w:r>
            <w:r>
              <w:rPr>
                <w:rFonts w:ascii="宋体" w:eastAsia="宋体" w:hAnsi="宋体" w:cs="宋体"/>
                <w:sz w:val="18"/>
                <w:szCs w:val="18"/>
              </w:rPr>
              <w:t>70%</w:t>
            </w:r>
            <w:r>
              <w:rPr>
                <w:rFonts w:ascii="宋体" w:eastAsia="宋体" w:hAnsi="宋体" w:cs="宋体"/>
                <w:sz w:val="18"/>
                <w:szCs w:val="18"/>
              </w:rPr>
              <w:t>的被担保对象提供的债务担保余额（</w:t>
            </w:r>
            <w:r>
              <w:rPr>
                <w:rFonts w:ascii="宋体" w:eastAsia="宋体" w:hAnsi="宋体" w:cs="宋体"/>
                <w:sz w:val="18"/>
                <w:szCs w:val="18"/>
              </w:rPr>
              <w:t>E</w:t>
            </w:r>
            <w:r>
              <w:rPr>
                <w:rFonts w:ascii="宋体" w:eastAsia="宋体" w:hAnsi="宋体" w:cs="宋体"/>
                <w:sz w:val="18"/>
                <w:szCs w:val="18"/>
              </w:rPr>
              <w:t>）</w:t>
            </w:r>
          </w:p>
        </w:tc>
        <w:tc>
          <w:tcPr>
            <w:tcW w:w="2585"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229,668</w:t>
            </w:r>
          </w:p>
        </w:tc>
      </w:tr>
      <w:tr w:rsidR="00A067C6">
        <w:trPr>
          <w:trHeight w:val="240"/>
        </w:trPr>
        <w:tc>
          <w:tcPr>
            <w:tcW w:w="7054" w:type="dxa"/>
            <w:gridSpan w:val="10"/>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担保总额超过净资产</w:t>
            </w:r>
            <w:r>
              <w:rPr>
                <w:rFonts w:ascii="宋体" w:eastAsia="宋体" w:hAnsi="宋体" w:cs="宋体"/>
                <w:sz w:val="18"/>
                <w:szCs w:val="18"/>
              </w:rPr>
              <w:t>50%</w:t>
            </w:r>
            <w:r>
              <w:rPr>
                <w:rFonts w:ascii="宋体" w:eastAsia="宋体" w:hAnsi="宋体" w:cs="宋体"/>
                <w:sz w:val="18"/>
                <w:szCs w:val="18"/>
              </w:rPr>
              <w:t>部分的金额（</w:t>
            </w:r>
            <w:r>
              <w:rPr>
                <w:rFonts w:ascii="宋体" w:eastAsia="宋体" w:hAnsi="宋体" w:cs="宋体"/>
                <w:sz w:val="18"/>
                <w:szCs w:val="18"/>
              </w:rPr>
              <w:t>F</w:t>
            </w:r>
            <w:r>
              <w:rPr>
                <w:rFonts w:ascii="宋体" w:eastAsia="宋体" w:hAnsi="宋体" w:cs="宋体"/>
                <w:sz w:val="18"/>
                <w:szCs w:val="18"/>
              </w:rPr>
              <w:t>）</w:t>
            </w:r>
          </w:p>
        </w:tc>
        <w:tc>
          <w:tcPr>
            <w:tcW w:w="2585"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196,736.77</w:t>
            </w:r>
          </w:p>
        </w:tc>
      </w:tr>
      <w:tr w:rsidR="00A067C6">
        <w:trPr>
          <w:trHeight w:val="240"/>
        </w:trPr>
        <w:tc>
          <w:tcPr>
            <w:tcW w:w="7054" w:type="dxa"/>
            <w:gridSpan w:val="10"/>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上述三项担保金额合计（</w:t>
            </w:r>
            <w:r>
              <w:rPr>
                <w:rFonts w:ascii="宋体" w:eastAsia="宋体" w:hAnsi="宋体" w:cs="宋体"/>
                <w:sz w:val="18"/>
                <w:szCs w:val="18"/>
              </w:rPr>
              <w:t>D+E+F</w:t>
            </w:r>
            <w:r>
              <w:rPr>
                <w:rFonts w:ascii="宋体" w:eastAsia="宋体" w:hAnsi="宋体" w:cs="宋体"/>
                <w:sz w:val="18"/>
                <w:szCs w:val="18"/>
              </w:rPr>
              <w:t>）</w:t>
            </w:r>
          </w:p>
        </w:tc>
        <w:tc>
          <w:tcPr>
            <w:tcW w:w="2585"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426,404.77</w:t>
            </w:r>
          </w:p>
        </w:tc>
      </w:tr>
      <w:tr w:rsidR="00A067C6">
        <w:trPr>
          <w:trHeight w:val="240"/>
        </w:trPr>
        <w:tc>
          <w:tcPr>
            <w:tcW w:w="7054" w:type="dxa"/>
            <w:gridSpan w:val="10"/>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对未到期担保合同，报告期内发生担保责任或有证据表明有可能承担连带清偿责任的情况说明（如有）</w:t>
            </w:r>
          </w:p>
        </w:tc>
        <w:tc>
          <w:tcPr>
            <w:tcW w:w="2585"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无</w:t>
            </w:r>
          </w:p>
        </w:tc>
      </w:tr>
      <w:tr w:rsidR="00A067C6">
        <w:trPr>
          <w:trHeight w:val="240"/>
        </w:trPr>
        <w:tc>
          <w:tcPr>
            <w:tcW w:w="7054" w:type="dxa"/>
            <w:gridSpan w:val="10"/>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违反规定程序对外提供担保的说明（如有）</w:t>
            </w:r>
          </w:p>
        </w:tc>
        <w:tc>
          <w:tcPr>
            <w:tcW w:w="2585"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无</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采用复合方式担保的具体情况说明</w:t>
      </w:r>
    </w:p>
    <w:p w:rsidR="00A067C6" w:rsidRDefault="005C4966">
      <w:pPr>
        <w:rPr>
          <w:sz w:val="18"/>
          <w:szCs w:val="18"/>
        </w:rPr>
      </w:pPr>
      <w:r>
        <w:rPr>
          <w:rFonts w:hint="eastAsia"/>
          <w:sz w:val="18"/>
          <w:szCs w:val="18"/>
        </w:rPr>
        <w:t>无</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公司需遵守《深圳证券交易所上市公司自律监管指引第</w:t>
      </w:r>
      <w:r>
        <w:rPr>
          <w:rFonts w:ascii="宋体" w:eastAsia="宋体" w:hAnsi="宋体" w:cs="宋体"/>
          <w:sz w:val="18"/>
          <w:szCs w:val="18"/>
        </w:rPr>
        <w:t>3</w:t>
      </w:r>
      <w:r>
        <w:rPr>
          <w:rFonts w:ascii="宋体" w:eastAsia="宋体" w:hAnsi="宋体" w:cs="宋体"/>
          <w:sz w:val="18"/>
          <w:szCs w:val="18"/>
        </w:rPr>
        <w:t>号</w:t>
      </w:r>
      <w:r>
        <w:rPr>
          <w:rFonts w:ascii="宋体" w:eastAsia="宋体" w:hAnsi="宋体" w:cs="宋体"/>
          <w:sz w:val="18"/>
          <w:szCs w:val="18"/>
        </w:rPr>
        <w:t>——</w:t>
      </w:r>
      <w:r>
        <w:rPr>
          <w:rFonts w:ascii="宋体" w:eastAsia="宋体" w:hAnsi="宋体" w:cs="宋体"/>
          <w:sz w:val="18"/>
          <w:szCs w:val="18"/>
        </w:rPr>
        <w:t>行业信息披露》中纺织服装相关业的披露要求</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公司是否存在为经销商提供担保或财务资助</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是</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否</w:t>
      </w:r>
    </w:p>
    <w:p w:rsidR="00A067C6" w:rsidRDefault="005C4966">
      <w:pPr>
        <w:pStyle w:val="3"/>
        <w:spacing w:line="280" w:lineRule="exact"/>
        <w:jc w:val="left"/>
        <w:rPr>
          <w:rFonts w:ascii="宋体" w:hAnsi="宋体" w:cs="宋体"/>
          <w:b/>
          <w:bCs/>
        </w:rPr>
      </w:pPr>
      <w:bookmarkStart w:id="91" w:name="_Toc988979"/>
      <w:r>
        <w:rPr>
          <w:rFonts w:ascii="宋体" w:hAnsi="宋体" w:cs="宋体"/>
          <w:b/>
          <w:bCs/>
        </w:rPr>
        <w:t>3</w:t>
      </w:r>
      <w:r>
        <w:rPr>
          <w:rFonts w:ascii="宋体" w:hAnsi="宋体" w:cs="宋体"/>
          <w:b/>
          <w:bCs/>
        </w:rPr>
        <w:t>、委托理财</w:t>
      </w:r>
      <w:bookmarkEnd w:id="91"/>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t>不适用</w:t>
      </w:r>
    </w:p>
    <w:p w:rsidR="00A067C6" w:rsidRDefault="005C4966">
      <w:pPr>
        <w:spacing w:before="120" w:after="120" w:line="240" w:lineRule="exact"/>
        <w:jc w:val="right"/>
        <w:rPr>
          <w:rFonts w:ascii="宋体" w:eastAsia="宋体" w:hAnsi="宋体" w:cs="宋体"/>
          <w:sz w:val="18"/>
          <w:szCs w:val="18"/>
        </w:rPr>
      </w:pPr>
      <w:r>
        <w:rPr>
          <w:rFonts w:ascii="宋体" w:eastAsia="宋体" w:hAnsi="宋体" w:cs="宋体"/>
          <w:sz w:val="18"/>
          <w:szCs w:val="18"/>
        </w:rPr>
        <w:t>单位：万元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7"/>
        <w:gridCol w:w="1608"/>
        <w:gridCol w:w="1606"/>
        <w:gridCol w:w="1606"/>
        <w:gridCol w:w="1606"/>
        <w:gridCol w:w="1606"/>
      </w:tblGrid>
      <w:tr w:rsidR="00A067C6">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具体类型</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委托理财的资金来源</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委托理财发生额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未到期余额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逾期未收回的金额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逾期未收回理财已计提减值金额</w:t>
            </w:r>
          </w:p>
        </w:tc>
      </w:tr>
      <w:tr w:rsidR="00A067C6">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银行理财产品</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自有资金</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89,297.48</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7,442.12</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A067C6">
        <w:trPr>
          <w:trHeight w:val="240"/>
        </w:trPr>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89,297.48</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7,442.12</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单项金额重大或安全性较低、流动性较差的高风险委托理财具体情况</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委托理财出现预期无法收回本金或存在其他可能导致减值的情形</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pStyle w:val="3"/>
        <w:spacing w:line="280" w:lineRule="exact"/>
        <w:jc w:val="left"/>
        <w:rPr>
          <w:rFonts w:ascii="宋体" w:hAnsi="宋体" w:cs="宋体"/>
          <w:b/>
          <w:bCs/>
        </w:rPr>
      </w:pPr>
      <w:bookmarkStart w:id="92" w:name="_Toc988980"/>
      <w:r>
        <w:rPr>
          <w:rFonts w:ascii="宋体" w:hAnsi="宋体" w:cs="宋体"/>
          <w:b/>
          <w:bCs/>
        </w:rPr>
        <w:t>4</w:t>
      </w:r>
      <w:r>
        <w:rPr>
          <w:rFonts w:ascii="宋体" w:hAnsi="宋体" w:cs="宋体"/>
          <w:b/>
          <w:bCs/>
        </w:rPr>
        <w:t>、其他重大合同</w:t>
      </w:r>
      <w:bookmarkEnd w:id="92"/>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公司报告期不存在其他重大合同。</w:t>
      </w:r>
    </w:p>
    <w:p w:rsidR="00A067C6" w:rsidRDefault="005C4966">
      <w:pPr>
        <w:pStyle w:val="2"/>
        <w:spacing w:before="300" w:after="300" w:line="320" w:lineRule="exact"/>
        <w:rPr>
          <w:rFonts w:ascii="宋体" w:eastAsia="宋体" w:hAnsi="宋体" w:cs="宋体"/>
          <w:b/>
          <w:bCs/>
          <w:sz w:val="24"/>
          <w:szCs w:val="24"/>
        </w:rPr>
      </w:pPr>
      <w:bookmarkStart w:id="93" w:name="_Toc988981"/>
      <w:r>
        <w:rPr>
          <w:rFonts w:ascii="宋体" w:eastAsia="宋体" w:hAnsi="宋体" w:cs="宋体"/>
          <w:b/>
          <w:bCs/>
          <w:sz w:val="24"/>
          <w:szCs w:val="24"/>
        </w:rPr>
        <w:t>十三、其他重大事项的说明</w:t>
      </w:r>
      <w:bookmarkEnd w:id="93"/>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t>不适用</w:t>
      </w:r>
    </w:p>
    <w:p w:rsidR="00A067C6" w:rsidRDefault="005C4966">
      <w:pPr>
        <w:pStyle w:val="a6"/>
        <w:spacing w:before="0" w:beforeAutospacing="0" w:after="0" w:afterAutospacing="0"/>
        <w:jc w:val="both"/>
        <w:rPr>
          <w:rFonts w:ascii="Times New Roman" w:hAnsi="Times New Roman" w:cs="Times New Roman"/>
          <w:sz w:val="21"/>
          <w:szCs w:val="21"/>
        </w:rPr>
      </w:pPr>
      <w:r>
        <w:rPr>
          <w:rStyle w:val="a7"/>
          <w:rFonts w:cs="Times New Roman" w:hint="eastAsia"/>
          <w:color w:val="333333"/>
          <w:sz w:val="18"/>
          <w:szCs w:val="18"/>
          <w:shd w:val="clear" w:color="auto" w:fill="FFFFFF"/>
        </w:rPr>
        <w:t>一、</w:t>
      </w:r>
      <w:r>
        <w:rPr>
          <w:rStyle w:val="a7"/>
          <w:rFonts w:cs="Times New Roman" w:hint="eastAsia"/>
          <w:color w:val="333333"/>
          <w:sz w:val="18"/>
          <w:szCs w:val="18"/>
          <w:shd w:val="clear" w:color="auto" w:fill="FFFFFF"/>
        </w:rPr>
        <w:t>2022</w:t>
      </w:r>
      <w:r>
        <w:rPr>
          <w:rStyle w:val="a7"/>
          <w:rFonts w:cs="Times New Roman" w:hint="eastAsia"/>
          <w:color w:val="333333"/>
          <w:sz w:val="18"/>
          <w:szCs w:val="18"/>
          <w:shd w:val="clear" w:color="auto" w:fill="FFFFFF"/>
        </w:rPr>
        <w:t>年股份回购事项</w:t>
      </w:r>
    </w:p>
    <w:p w:rsidR="00A067C6" w:rsidRDefault="005C4966">
      <w:pPr>
        <w:spacing w:line="240" w:lineRule="exact"/>
        <w:ind w:firstLineChars="200" w:firstLine="360"/>
        <w:jc w:val="both"/>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hint="eastAsia"/>
          <w:sz w:val="18"/>
          <w:szCs w:val="18"/>
        </w:rPr>
        <w:t>、</w:t>
      </w:r>
      <w:r>
        <w:rPr>
          <w:rFonts w:ascii="宋体" w:eastAsia="宋体" w:hAnsi="宋体" w:cs="宋体" w:hint="eastAsia"/>
          <w:sz w:val="18"/>
          <w:szCs w:val="18"/>
        </w:rPr>
        <w:t>2022</w:t>
      </w:r>
      <w:r>
        <w:rPr>
          <w:rFonts w:ascii="宋体" w:eastAsia="宋体" w:hAnsi="宋体" w:cs="宋体" w:hint="eastAsia"/>
          <w:sz w:val="18"/>
          <w:szCs w:val="18"/>
        </w:rPr>
        <w:t>年</w:t>
      </w:r>
      <w:r>
        <w:rPr>
          <w:rFonts w:ascii="宋体" w:eastAsia="宋体" w:hAnsi="宋体" w:cs="宋体" w:hint="eastAsia"/>
          <w:sz w:val="18"/>
          <w:szCs w:val="18"/>
        </w:rPr>
        <w:t>4</w:t>
      </w:r>
      <w:r>
        <w:rPr>
          <w:rFonts w:ascii="宋体" w:eastAsia="宋体" w:hAnsi="宋体" w:cs="宋体" w:hint="eastAsia"/>
          <w:sz w:val="18"/>
          <w:szCs w:val="18"/>
        </w:rPr>
        <w:t>月</w:t>
      </w:r>
      <w:r>
        <w:rPr>
          <w:rFonts w:ascii="宋体" w:eastAsia="宋体" w:hAnsi="宋体" w:cs="宋体" w:hint="eastAsia"/>
          <w:sz w:val="18"/>
          <w:szCs w:val="18"/>
        </w:rPr>
        <w:t>28</w:t>
      </w:r>
      <w:r>
        <w:rPr>
          <w:rFonts w:ascii="宋体" w:eastAsia="宋体" w:hAnsi="宋体" w:cs="宋体" w:hint="eastAsia"/>
          <w:sz w:val="18"/>
          <w:szCs w:val="18"/>
        </w:rPr>
        <w:t>日，公司通过股份回购专用证券账户以集中竞价方式实施了首次回购，回购股份数量</w:t>
      </w:r>
      <w:r>
        <w:rPr>
          <w:rFonts w:ascii="宋体" w:eastAsia="宋体" w:hAnsi="宋体" w:cs="宋体" w:hint="eastAsia"/>
          <w:sz w:val="18"/>
          <w:szCs w:val="18"/>
        </w:rPr>
        <w:t>7,895,300</w:t>
      </w:r>
      <w:r>
        <w:rPr>
          <w:rFonts w:ascii="宋体" w:eastAsia="宋体" w:hAnsi="宋体" w:cs="宋体" w:hint="eastAsia"/>
          <w:sz w:val="18"/>
          <w:szCs w:val="18"/>
        </w:rPr>
        <w:t>股，占公司目前总股本的</w:t>
      </w:r>
      <w:r>
        <w:rPr>
          <w:rFonts w:ascii="宋体" w:eastAsia="宋体" w:hAnsi="宋体" w:cs="宋体" w:hint="eastAsia"/>
          <w:sz w:val="18"/>
          <w:szCs w:val="18"/>
        </w:rPr>
        <w:t>0.46%</w:t>
      </w:r>
      <w:r>
        <w:rPr>
          <w:rFonts w:ascii="宋体" w:eastAsia="宋体" w:hAnsi="宋体" w:cs="宋体" w:hint="eastAsia"/>
          <w:sz w:val="18"/>
          <w:szCs w:val="18"/>
        </w:rPr>
        <w:t>。最高成交价格</w:t>
      </w:r>
      <w:r>
        <w:rPr>
          <w:rFonts w:ascii="宋体" w:eastAsia="宋体" w:hAnsi="宋体" w:cs="宋体" w:hint="eastAsia"/>
          <w:sz w:val="18"/>
          <w:szCs w:val="18"/>
        </w:rPr>
        <w:t xml:space="preserve"> 3.65</w:t>
      </w:r>
      <w:r>
        <w:rPr>
          <w:rFonts w:ascii="宋体" w:eastAsia="宋体" w:hAnsi="宋体" w:cs="宋体" w:hint="eastAsia"/>
          <w:sz w:val="18"/>
          <w:szCs w:val="18"/>
        </w:rPr>
        <w:t>元</w:t>
      </w:r>
      <w:r>
        <w:rPr>
          <w:rFonts w:ascii="宋体" w:eastAsia="宋体" w:hAnsi="宋体" w:cs="宋体" w:hint="eastAsia"/>
          <w:sz w:val="18"/>
          <w:szCs w:val="18"/>
        </w:rPr>
        <w:t>/</w:t>
      </w:r>
      <w:r>
        <w:rPr>
          <w:rFonts w:ascii="宋体" w:eastAsia="宋体" w:hAnsi="宋体" w:cs="宋体" w:hint="eastAsia"/>
          <w:sz w:val="18"/>
          <w:szCs w:val="18"/>
        </w:rPr>
        <w:t>股，最低成交价格</w:t>
      </w:r>
      <w:r>
        <w:rPr>
          <w:rFonts w:ascii="宋体" w:eastAsia="宋体" w:hAnsi="宋体" w:cs="宋体" w:hint="eastAsia"/>
          <w:sz w:val="18"/>
          <w:szCs w:val="18"/>
        </w:rPr>
        <w:t>3.52</w:t>
      </w:r>
      <w:r>
        <w:rPr>
          <w:rFonts w:ascii="宋体" w:eastAsia="宋体" w:hAnsi="宋体" w:cs="宋体" w:hint="eastAsia"/>
          <w:sz w:val="18"/>
          <w:szCs w:val="18"/>
        </w:rPr>
        <w:t>元</w:t>
      </w:r>
      <w:r>
        <w:rPr>
          <w:rFonts w:ascii="宋体" w:eastAsia="宋体" w:hAnsi="宋体" w:cs="宋体" w:hint="eastAsia"/>
          <w:sz w:val="18"/>
          <w:szCs w:val="18"/>
        </w:rPr>
        <w:t>/</w:t>
      </w:r>
      <w:r>
        <w:rPr>
          <w:rFonts w:ascii="宋体" w:eastAsia="宋体" w:hAnsi="宋体" w:cs="宋体" w:hint="eastAsia"/>
          <w:sz w:val="18"/>
          <w:szCs w:val="18"/>
        </w:rPr>
        <w:t>股，成交总金额为</w:t>
      </w:r>
      <w:r>
        <w:rPr>
          <w:rFonts w:ascii="宋体" w:eastAsia="宋体" w:hAnsi="宋体" w:cs="宋体" w:hint="eastAsia"/>
          <w:sz w:val="18"/>
          <w:szCs w:val="18"/>
        </w:rPr>
        <w:t>28,303,349.00</w:t>
      </w:r>
      <w:r>
        <w:rPr>
          <w:rFonts w:ascii="宋体" w:eastAsia="宋体" w:hAnsi="宋体" w:cs="宋体" w:hint="eastAsia"/>
          <w:sz w:val="18"/>
          <w:szCs w:val="18"/>
        </w:rPr>
        <w:t>元（不含手续费），具体详见</w:t>
      </w:r>
      <w:r>
        <w:rPr>
          <w:rFonts w:ascii="宋体" w:eastAsia="宋体" w:hAnsi="宋体" w:cs="宋体" w:hint="eastAsia"/>
          <w:sz w:val="18"/>
          <w:szCs w:val="18"/>
        </w:rPr>
        <w:t>2022</w:t>
      </w:r>
      <w:r>
        <w:rPr>
          <w:rFonts w:ascii="宋体" w:eastAsia="宋体" w:hAnsi="宋体" w:cs="宋体" w:hint="eastAsia"/>
          <w:sz w:val="18"/>
          <w:szCs w:val="18"/>
        </w:rPr>
        <w:t>年</w:t>
      </w:r>
      <w:r>
        <w:rPr>
          <w:rFonts w:ascii="宋体" w:eastAsia="宋体" w:hAnsi="宋体" w:cs="宋体" w:hint="eastAsia"/>
          <w:sz w:val="18"/>
          <w:szCs w:val="18"/>
        </w:rPr>
        <w:t>4</w:t>
      </w:r>
      <w:r>
        <w:rPr>
          <w:rFonts w:ascii="宋体" w:eastAsia="宋体" w:hAnsi="宋体" w:cs="宋体" w:hint="eastAsia"/>
          <w:sz w:val="18"/>
          <w:szCs w:val="18"/>
        </w:rPr>
        <w:t>月</w:t>
      </w:r>
      <w:r>
        <w:rPr>
          <w:rFonts w:ascii="宋体" w:eastAsia="宋体" w:hAnsi="宋体" w:cs="宋体" w:hint="eastAsia"/>
          <w:sz w:val="18"/>
          <w:szCs w:val="18"/>
        </w:rPr>
        <w:t>29</w:t>
      </w:r>
      <w:r>
        <w:rPr>
          <w:rFonts w:ascii="宋体" w:eastAsia="宋体" w:hAnsi="宋体" w:cs="宋体" w:hint="eastAsia"/>
          <w:sz w:val="18"/>
          <w:szCs w:val="18"/>
        </w:rPr>
        <w:t>日公司于《中国证券报》、《证券时报》及巨潮资讯网（</w:t>
      </w:r>
      <w:hyperlink r:id="rId9" w:history="1">
        <w:r>
          <w:rPr>
            <w:rFonts w:ascii="宋体" w:eastAsia="宋体" w:hAnsi="宋体" w:cs="宋体" w:hint="eastAsia"/>
            <w:sz w:val="18"/>
            <w:szCs w:val="18"/>
          </w:rPr>
          <w:t>www.cninfo.com.cn</w:t>
        </w:r>
      </w:hyperlink>
      <w:r>
        <w:rPr>
          <w:rFonts w:ascii="宋体" w:eastAsia="宋体" w:hAnsi="宋体" w:cs="宋体" w:hint="eastAsia"/>
          <w:sz w:val="18"/>
          <w:szCs w:val="18"/>
        </w:rPr>
        <w:t>）披露的《关于首次回购公司股份的公告》（</w:t>
      </w:r>
      <w:r>
        <w:rPr>
          <w:rFonts w:ascii="宋体" w:eastAsia="宋体" w:hAnsi="宋体" w:cs="宋体" w:hint="eastAsia"/>
          <w:sz w:val="18"/>
          <w:szCs w:val="18"/>
        </w:rPr>
        <w:t>2022-30</w:t>
      </w:r>
      <w:r>
        <w:rPr>
          <w:rFonts w:ascii="宋体" w:eastAsia="宋体" w:hAnsi="宋体" w:cs="宋体" w:hint="eastAsia"/>
          <w:sz w:val="18"/>
          <w:szCs w:val="18"/>
        </w:rPr>
        <w:t>）。</w:t>
      </w:r>
    </w:p>
    <w:p w:rsidR="00A067C6" w:rsidRDefault="005C4966">
      <w:pPr>
        <w:spacing w:line="240" w:lineRule="exact"/>
        <w:ind w:firstLineChars="200" w:firstLine="360"/>
        <w:jc w:val="both"/>
        <w:rPr>
          <w:rFonts w:ascii="宋体" w:eastAsia="宋体" w:hAnsi="宋体" w:cs="宋体"/>
          <w:sz w:val="18"/>
          <w:szCs w:val="18"/>
        </w:rPr>
      </w:pPr>
      <w:r>
        <w:rPr>
          <w:rFonts w:ascii="宋体" w:eastAsia="宋体" w:hAnsi="宋体" w:cs="宋体" w:hint="eastAsia"/>
          <w:sz w:val="18"/>
          <w:szCs w:val="18"/>
        </w:rPr>
        <w:t>2</w:t>
      </w:r>
      <w:r>
        <w:rPr>
          <w:rFonts w:ascii="宋体" w:eastAsia="宋体" w:hAnsi="宋体" w:cs="宋体" w:hint="eastAsia"/>
          <w:sz w:val="18"/>
          <w:szCs w:val="18"/>
        </w:rPr>
        <w:t>、根据《深圳证券交易所上市公司自律监管指引第</w:t>
      </w:r>
      <w:r>
        <w:rPr>
          <w:rFonts w:ascii="宋体" w:eastAsia="宋体" w:hAnsi="宋体" w:cs="宋体" w:hint="eastAsia"/>
          <w:sz w:val="18"/>
          <w:szCs w:val="18"/>
        </w:rPr>
        <w:t>9</w:t>
      </w:r>
      <w:r>
        <w:rPr>
          <w:rFonts w:ascii="宋体" w:eastAsia="宋体" w:hAnsi="宋体" w:cs="宋体" w:hint="eastAsia"/>
          <w:sz w:val="18"/>
          <w:szCs w:val="18"/>
        </w:rPr>
        <w:t>号——回购股份》等法律法规、规范性文件的有关规定，公司应当在每个月的前三个交易日内披露截至上月末的回购进展情况，公司回购股份进展具体详见公司分别于</w:t>
      </w:r>
      <w:r>
        <w:rPr>
          <w:rFonts w:ascii="宋体" w:eastAsia="宋体" w:hAnsi="宋体" w:cs="宋体" w:hint="eastAsia"/>
          <w:sz w:val="18"/>
          <w:szCs w:val="18"/>
        </w:rPr>
        <w:t>2022</w:t>
      </w:r>
      <w:r>
        <w:rPr>
          <w:rFonts w:ascii="宋体" w:eastAsia="宋体" w:hAnsi="宋体" w:cs="宋体" w:hint="eastAsia"/>
          <w:sz w:val="18"/>
          <w:szCs w:val="18"/>
        </w:rPr>
        <w:t>年</w:t>
      </w:r>
      <w:r>
        <w:rPr>
          <w:rFonts w:ascii="宋体" w:eastAsia="宋体" w:hAnsi="宋体" w:cs="宋体" w:hint="eastAsia"/>
          <w:sz w:val="18"/>
          <w:szCs w:val="18"/>
        </w:rPr>
        <w:t>4</w:t>
      </w:r>
      <w:r>
        <w:rPr>
          <w:rFonts w:ascii="宋体" w:eastAsia="宋体" w:hAnsi="宋体" w:cs="宋体" w:hint="eastAsia"/>
          <w:sz w:val="18"/>
          <w:szCs w:val="18"/>
        </w:rPr>
        <w:t>月</w:t>
      </w:r>
      <w:r>
        <w:rPr>
          <w:rFonts w:ascii="宋体" w:eastAsia="宋体" w:hAnsi="宋体" w:cs="宋体" w:hint="eastAsia"/>
          <w:sz w:val="18"/>
          <w:szCs w:val="18"/>
        </w:rPr>
        <w:t>2</w:t>
      </w:r>
      <w:r>
        <w:rPr>
          <w:rFonts w:ascii="宋体" w:eastAsia="宋体" w:hAnsi="宋体" w:cs="宋体" w:hint="eastAsia"/>
          <w:sz w:val="18"/>
          <w:szCs w:val="18"/>
        </w:rPr>
        <w:t>日、</w:t>
      </w:r>
      <w:r>
        <w:rPr>
          <w:rFonts w:ascii="宋体" w:eastAsia="宋体" w:hAnsi="宋体" w:cs="宋体" w:hint="eastAsia"/>
          <w:sz w:val="18"/>
          <w:szCs w:val="18"/>
        </w:rPr>
        <w:t>2022</w:t>
      </w:r>
      <w:r>
        <w:rPr>
          <w:rFonts w:ascii="宋体" w:eastAsia="宋体" w:hAnsi="宋体" w:cs="宋体" w:hint="eastAsia"/>
          <w:sz w:val="18"/>
          <w:szCs w:val="18"/>
        </w:rPr>
        <w:t>年</w:t>
      </w:r>
      <w:r>
        <w:rPr>
          <w:rFonts w:ascii="宋体" w:eastAsia="宋体" w:hAnsi="宋体" w:cs="宋体" w:hint="eastAsia"/>
          <w:sz w:val="18"/>
          <w:szCs w:val="18"/>
        </w:rPr>
        <w:t>5</w:t>
      </w:r>
      <w:r>
        <w:rPr>
          <w:rFonts w:ascii="宋体" w:eastAsia="宋体" w:hAnsi="宋体" w:cs="宋体" w:hint="eastAsia"/>
          <w:sz w:val="18"/>
          <w:szCs w:val="18"/>
        </w:rPr>
        <w:t>月</w:t>
      </w:r>
      <w:r>
        <w:rPr>
          <w:rFonts w:ascii="宋体" w:eastAsia="宋体" w:hAnsi="宋体" w:cs="宋体" w:hint="eastAsia"/>
          <w:sz w:val="18"/>
          <w:szCs w:val="18"/>
        </w:rPr>
        <w:t>6</w:t>
      </w:r>
      <w:r>
        <w:rPr>
          <w:rFonts w:ascii="宋体" w:eastAsia="宋体" w:hAnsi="宋体" w:cs="宋体" w:hint="eastAsia"/>
          <w:sz w:val="18"/>
          <w:szCs w:val="18"/>
        </w:rPr>
        <w:t>日、</w:t>
      </w:r>
      <w:r>
        <w:rPr>
          <w:rFonts w:ascii="宋体" w:eastAsia="宋体" w:hAnsi="宋体" w:cs="宋体" w:hint="eastAsia"/>
          <w:sz w:val="18"/>
          <w:szCs w:val="18"/>
        </w:rPr>
        <w:t>2022</w:t>
      </w:r>
      <w:r>
        <w:rPr>
          <w:rFonts w:ascii="宋体" w:eastAsia="宋体" w:hAnsi="宋体" w:cs="宋体" w:hint="eastAsia"/>
          <w:sz w:val="18"/>
          <w:szCs w:val="18"/>
        </w:rPr>
        <w:t>年</w:t>
      </w:r>
      <w:r>
        <w:rPr>
          <w:rFonts w:ascii="宋体" w:eastAsia="宋体" w:hAnsi="宋体" w:cs="宋体" w:hint="eastAsia"/>
          <w:sz w:val="18"/>
          <w:szCs w:val="18"/>
        </w:rPr>
        <w:t>6</w:t>
      </w:r>
      <w:r>
        <w:rPr>
          <w:rFonts w:ascii="宋体" w:eastAsia="宋体" w:hAnsi="宋体" w:cs="宋体" w:hint="eastAsia"/>
          <w:sz w:val="18"/>
          <w:szCs w:val="18"/>
        </w:rPr>
        <w:t>月</w:t>
      </w:r>
      <w:r>
        <w:rPr>
          <w:rFonts w:ascii="宋体" w:eastAsia="宋体" w:hAnsi="宋体" w:cs="宋体" w:hint="eastAsia"/>
          <w:sz w:val="18"/>
          <w:szCs w:val="18"/>
        </w:rPr>
        <w:t>2</w:t>
      </w:r>
      <w:r>
        <w:rPr>
          <w:rFonts w:ascii="宋体" w:eastAsia="宋体" w:hAnsi="宋体" w:cs="宋体" w:hint="eastAsia"/>
          <w:sz w:val="18"/>
          <w:szCs w:val="18"/>
        </w:rPr>
        <w:t>日、</w:t>
      </w:r>
      <w:r>
        <w:rPr>
          <w:rFonts w:ascii="宋体" w:eastAsia="宋体" w:hAnsi="宋体" w:cs="宋体" w:hint="eastAsia"/>
          <w:sz w:val="18"/>
          <w:szCs w:val="18"/>
        </w:rPr>
        <w:t>2022</w:t>
      </w:r>
      <w:r>
        <w:rPr>
          <w:rFonts w:ascii="宋体" w:eastAsia="宋体" w:hAnsi="宋体" w:cs="宋体" w:hint="eastAsia"/>
          <w:sz w:val="18"/>
          <w:szCs w:val="18"/>
        </w:rPr>
        <w:t>年</w:t>
      </w:r>
      <w:r>
        <w:rPr>
          <w:rFonts w:ascii="宋体" w:eastAsia="宋体" w:hAnsi="宋体" w:cs="宋体" w:hint="eastAsia"/>
          <w:sz w:val="18"/>
          <w:szCs w:val="18"/>
        </w:rPr>
        <w:t>7</w:t>
      </w:r>
      <w:r>
        <w:rPr>
          <w:rFonts w:ascii="宋体" w:eastAsia="宋体" w:hAnsi="宋体" w:cs="宋体" w:hint="eastAsia"/>
          <w:sz w:val="18"/>
          <w:szCs w:val="18"/>
        </w:rPr>
        <w:t>月</w:t>
      </w:r>
      <w:r>
        <w:rPr>
          <w:rFonts w:ascii="宋体" w:eastAsia="宋体" w:hAnsi="宋体" w:cs="宋体" w:hint="eastAsia"/>
          <w:sz w:val="18"/>
          <w:szCs w:val="18"/>
        </w:rPr>
        <w:t>5</w:t>
      </w:r>
      <w:r>
        <w:rPr>
          <w:rFonts w:ascii="宋体" w:eastAsia="宋体" w:hAnsi="宋体" w:cs="宋体" w:hint="eastAsia"/>
          <w:sz w:val="18"/>
          <w:szCs w:val="18"/>
        </w:rPr>
        <w:t>日、</w:t>
      </w:r>
      <w:r>
        <w:rPr>
          <w:rFonts w:ascii="宋体" w:eastAsia="宋体" w:hAnsi="宋体" w:cs="宋体" w:hint="eastAsia"/>
          <w:sz w:val="18"/>
          <w:szCs w:val="18"/>
        </w:rPr>
        <w:t>2022</w:t>
      </w:r>
      <w:r>
        <w:rPr>
          <w:rFonts w:ascii="宋体" w:eastAsia="宋体" w:hAnsi="宋体" w:cs="宋体" w:hint="eastAsia"/>
          <w:sz w:val="18"/>
          <w:szCs w:val="18"/>
        </w:rPr>
        <w:t>年</w:t>
      </w:r>
      <w:r>
        <w:rPr>
          <w:rFonts w:ascii="宋体" w:eastAsia="宋体" w:hAnsi="宋体" w:cs="宋体" w:hint="eastAsia"/>
          <w:sz w:val="18"/>
          <w:szCs w:val="18"/>
        </w:rPr>
        <w:t>8</w:t>
      </w:r>
      <w:r>
        <w:rPr>
          <w:rFonts w:ascii="宋体" w:eastAsia="宋体" w:hAnsi="宋体" w:cs="宋体" w:hint="eastAsia"/>
          <w:sz w:val="18"/>
          <w:szCs w:val="18"/>
        </w:rPr>
        <w:t>月</w:t>
      </w:r>
      <w:r>
        <w:rPr>
          <w:rFonts w:ascii="宋体" w:eastAsia="宋体" w:hAnsi="宋体" w:cs="宋体" w:hint="eastAsia"/>
          <w:sz w:val="18"/>
          <w:szCs w:val="18"/>
        </w:rPr>
        <w:t>3</w:t>
      </w:r>
      <w:r>
        <w:rPr>
          <w:rFonts w:ascii="宋体" w:eastAsia="宋体" w:hAnsi="宋体" w:cs="宋体" w:hint="eastAsia"/>
          <w:sz w:val="18"/>
          <w:szCs w:val="18"/>
        </w:rPr>
        <w:t>日、</w:t>
      </w:r>
      <w:r>
        <w:rPr>
          <w:rFonts w:ascii="宋体" w:eastAsia="宋体" w:hAnsi="宋体" w:cs="宋体" w:hint="eastAsia"/>
          <w:sz w:val="18"/>
          <w:szCs w:val="18"/>
        </w:rPr>
        <w:t>2022</w:t>
      </w:r>
      <w:r>
        <w:rPr>
          <w:rFonts w:ascii="宋体" w:eastAsia="宋体" w:hAnsi="宋体" w:cs="宋体" w:hint="eastAsia"/>
          <w:sz w:val="18"/>
          <w:szCs w:val="18"/>
        </w:rPr>
        <w:t>年</w:t>
      </w:r>
      <w:r>
        <w:rPr>
          <w:rFonts w:ascii="宋体" w:eastAsia="宋体" w:hAnsi="宋体" w:cs="宋体" w:hint="eastAsia"/>
          <w:sz w:val="18"/>
          <w:szCs w:val="18"/>
        </w:rPr>
        <w:t>9</w:t>
      </w:r>
      <w:r>
        <w:rPr>
          <w:rFonts w:ascii="宋体" w:eastAsia="宋体" w:hAnsi="宋体" w:cs="宋体" w:hint="eastAsia"/>
          <w:sz w:val="18"/>
          <w:szCs w:val="18"/>
        </w:rPr>
        <w:t>月</w:t>
      </w:r>
      <w:r>
        <w:rPr>
          <w:rFonts w:ascii="宋体" w:eastAsia="宋体" w:hAnsi="宋体" w:cs="宋体" w:hint="eastAsia"/>
          <w:sz w:val="18"/>
          <w:szCs w:val="18"/>
        </w:rPr>
        <w:t>3</w:t>
      </w:r>
      <w:r>
        <w:rPr>
          <w:rFonts w:ascii="宋体" w:eastAsia="宋体" w:hAnsi="宋体" w:cs="宋体" w:hint="eastAsia"/>
          <w:sz w:val="18"/>
          <w:szCs w:val="18"/>
        </w:rPr>
        <w:t>日、</w:t>
      </w:r>
      <w:r>
        <w:rPr>
          <w:rFonts w:ascii="宋体" w:eastAsia="宋体" w:hAnsi="宋体" w:cs="宋体" w:hint="eastAsia"/>
          <w:sz w:val="18"/>
          <w:szCs w:val="18"/>
        </w:rPr>
        <w:t>2022</w:t>
      </w:r>
      <w:r>
        <w:rPr>
          <w:rFonts w:ascii="宋体" w:eastAsia="宋体" w:hAnsi="宋体" w:cs="宋体" w:hint="eastAsia"/>
          <w:sz w:val="18"/>
          <w:szCs w:val="18"/>
        </w:rPr>
        <w:t>年</w:t>
      </w:r>
      <w:r>
        <w:rPr>
          <w:rFonts w:ascii="宋体" w:eastAsia="宋体" w:hAnsi="宋体" w:cs="宋体" w:hint="eastAsia"/>
          <w:sz w:val="18"/>
          <w:szCs w:val="18"/>
        </w:rPr>
        <w:t>10</w:t>
      </w:r>
      <w:r>
        <w:rPr>
          <w:rFonts w:ascii="宋体" w:eastAsia="宋体" w:hAnsi="宋体" w:cs="宋体" w:hint="eastAsia"/>
          <w:sz w:val="18"/>
          <w:szCs w:val="18"/>
        </w:rPr>
        <w:t>月</w:t>
      </w:r>
      <w:r>
        <w:rPr>
          <w:rFonts w:ascii="宋体" w:eastAsia="宋体" w:hAnsi="宋体" w:cs="宋体" w:hint="eastAsia"/>
          <w:sz w:val="18"/>
          <w:szCs w:val="18"/>
        </w:rPr>
        <w:t>11</w:t>
      </w:r>
      <w:r>
        <w:rPr>
          <w:rFonts w:ascii="宋体" w:eastAsia="宋体" w:hAnsi="宋体" w:cs="宋体" w:hint="eastAsia"/>
          <w:sz w:val="18"/>
          <w:szCs w:val="18"/>
        </w:rPr>
        <w:t>日、</w:t>
      </w:r>
      <w:r>
        <w:rPr>
          <w:rFonts w:ascii="宋体" w:eastAsia="宋体" w:hAnsi="宋体" w:cs="宋体" w:hint="eastAsia"/>
          <w:sz w:val="18"/>
          <w:szCs w:val="18"/>
        </w:rPr>
        <w:t>2022</w:t>
      </w:r>
      <w:r>
        <w:rPr>
          <w:rFonts w:ascii="宋体" w:eastAsia="宋体" w:hAnsi="宋体" w:cs="宋体" w:hint="eastAsia"/>
          <w:sz w:val="18"/>
          <w:szCs w:val="18"/>
        </w:rPr>
        <w:t>年</w:t>
      </w:r>
      <w:r>
        <w:rPr>
          <w:rFonts w:ascii="宋体" w:eastAsia="宋体" w:hAnsi="宋体" w:cs="宋体" w:hint="eastAsia"/>
          <w:sz w:val="18"/>
          <w:szCs w:val="18"/>
        </w:rPr>
        <w:t>11</w:t>
      </w:r>
      <w:r>
        <w:rPr>
          <w:rFonts w:ascii="宋体" w:eastAsia="宋体" w:hAnsi="宋体" w:cs="宋体" w:hint="eastAsia"/>
          <w:sz w:val="18"/>
          <w:szCs w:val="18"/>
        </w:rPr>
        <w:t>月</w:t>
      </w:r>
      <w:r>
        <w:rPr>
          <w:rFonts w:ascii="宋体" w:eastAsia="宋体" w:hAnsi="宋体" w:cs="宋体" w:hint="eastAsia"/>
          <w:sz w:val="18"/>
          <w:szCs w:val="18"/>
        </w:rPr>
        <w:t>3</w:t>
      </w:r>
      <w:r>
        <w:rPr>
          <w:rFonts w:ascii="宋体" w:eastAsia="宋体" w:hAnsi="宋体" w:cs="宋体" w:hint="eastAsia"/>
          <w:sz w:val="18"/>
          <w:szCs w:val="18"/>
        </w:rPr>
        <w:t>日、</w:t>
      </w:r>
      <w:r>
        <w:rPr>
          <w:rFonts w:ascii="宋体" w:eastAsia="宋体" w:hAnsi="宋体" w:cs="宋体" w:hint="eastAsia"/>
          <w:sz w:val="18"/>
          <w:szCs w:val="18"/>
        </w:rPr>
        <w:t>2022</w:t>
      </w:r>
      <w:r>
        <w:rPr>
          <w:rFonts w:ascii="宋体" w:eastAsia="宋体" w:hAnsi="宋体" w:cs="宋体" w:hint="eastAsia"/>
          <w:sz w:val="18"/>
          <w:szCs w:val="18"/>
        </w:rPr>
        <w:t>年</w:t>
      </w:r>
      <w:r>
        <w:rPr>
          <w:rFonts w:ascii="宋体" w:eastAsia="宋体" w:hAnsi="宋体" w:cs="宋体" w:hint="eastAsia"/>
          <w:sz w:val="18"/>
          <w:szCs w:val="18"/>
        </w:rPr>
        <w:t>12</w:t>
      </w:r>
      <w:r>
        <w:rPr>
          <w:rFonts w:ascii="宋体" w:eastAsia="宋体" w:hAnsi="宋体" w:cs="宋体" w:hint="eastAsia"/>
          <w:sz w:val="18"/>
          <w:szCs w:val="18"/>
        </w:rPr>
        <w:t>月</w:t>
      </w:r>
      <w:r>
        <w:rPr>
          <w:rFonts w:ascii="宋体" w:eastAsia="宋体" w:hAnsi="宋体" w:cs="宋体" w:hint="eastAsia"/>
          <w:sz w:val="18"/>
          <w:szCs w:val="18"/>
        </w:rPr>
        <w:t>3</w:t>
      </w:r>
      <w:r>
        <w:rPr>
          <w:rFonts w:ascii="宋体" w:eastAsia="宋体" w:hAnsi="宋体" w:cs="宋体" w:hint="eastAsia"/>
          <w:sz w:val="18"/>
          <w:szCs w:val="18"/>
        </w:rPr>
        <w:t>日、</w:t>
      </w:r>
      <w:r>
        <w:rPr>
          <w:rFonts w:ascii="宋体" w:eastAsia="宋体" w:hAnsi="宋体" w:cs="宋体" w:hint="eastAsia"/>
          <w:sz w:val="18"/>
          <w:szCs w:val="18"/>
        </w:rPr>
        <w:t>2023</w:t>
      </w:r>
      <w:r>
        <w:rPr>
          <w:rFonts w:ascii="宋体" w:eastAsia="宋体" w:hAnsi="宋体" w:cs="宋体" w:hint="eastAsia"/>
          <w:sz w:val="18"/>
          <w:szCs w:val="18"/>
        </w:rPr>
        <w:t>年</w:t>
      </w:r>
      <w:r>
        <w:rPr>
          <w:rFonts w:ascii="宋体" w:eastAsia="宋体" w:hAnsi="宋体" w:cs="宋体" w:hint="eastAsia"/>
          <w:sz w:val="18"/>
          <w:szCs w:val="18"/>
        </w:rPr>
        <w:t>1</w:t>
      </w:r>
      <w:r>
        <w:rPr>
          <w:rFonts w:ascii="宋体" w:eastAsia="宋体" w:hAnsi="宋体" w:cs="宋体" w:hint="eastAsia"/>
          <w:sz w:val="18"/>
          <w:szCs w:val="18"/>
        </w:rPr>
        <w:t>月</w:t>
      </w:r>
      <w:r>
        <w:rPr>
          <w:rFonts w:ascii="宋体" w:eastAsia="宋体" w:hAnsi="宋体" w:cs="宋体" w:hint="eastAsia"/>
          <w:sz w:val="18"/>
          <w:szCs w:val="18"/>
        </w:rPr>
        <w:t>5</w:t>
      </w:r>
      <w:r>
        <w:rPr>
          <w:rFonts w:ascii="宋体" w:eastAsia="宋体" w:hAnsi="宋体" w:cs="宋体" w:hint="eastAsia"/>
          <w:sz w:val="18"/>
          <w:szCs w:val="18"/>
        </w:rPr>
        <w:t>日、</w:t>
      </w:r>
      <w:r>
        <w:rPr>
          <w:rFonts w:ascii="宋体" w:eastAsia="宋体" w:hAnsi="宋体" w:cs="宋体" w:hint="eastAsia"/>
          <w:sz w:val="18"/>
          <w:szCs w:val="18"/>
        </w:rPr>
        <w:t>2023</w:t>
      </w:r>
      <w:r>
        <w:rPr>
          <w:rFonts w:ascii="宋体" w:eastAsia="宋体" w:hAnsi="宋体" w:cs="宋体" w:hint="eastAsia"/>
          <w:sz w:val="18"/>
          <w:szCs w:val="18"/>
        </w:rPr>
        <w:t>年</w:t>
      </w:r>
      <w:r>
        <w:rPr>
          <w:rFonts w:ascii="宋体" w:eastAsia="宋体" w:hAnsi="宋体" w:cs="宋体" w:hint="eastAsia"/>
          <w:sz w:val="18"/>
          <w:szCs w:val="18"/>
        </w:rPr>
        <w:t>3</w:t>
      </w:r>
      <w:r>
        <w:rPr>
          <w:rFonts w:ascii="宋体" w:eastAsia="宋体" w:hAnsi="宋体" w:cs="宋体" w:hint="eastAsia"/>
          <w:sz w:val="18"/>
          <w:szCs w:val="18"/>
        </w:rPr>
        <w:t>月</w:t>
      </w:r>
      <w:r>
        <w:rPr>
          <w:rFonts w:ascii="宋体" w:eastAsia="宋体" w:hAnsi="宋体" w:cs="宋体" w:hint="eastAsia"/>
          <w:sz w:val="18"/>
          <w:szCs w:val="18"/>
        </w:rPr>
        <w:t>3</w:t>
      </w:r>
      <w:r>
        <w:rPr>
          <w:rFonts w:ascii="宋体" w:eastAsia="宋体" w:hAnsi="宋体" w:cs="宋体" w:hint="eastAsia"/>
          <w:sz w:val="18"/>
          <w:szCs w:val="18"/>
        </w:rPr>
        <w:t>日披露的《关于回购公司股份进展的公告》。</w:t>
      </w:r>
    </w:p>
    <w:p w:rsidR="00A067C6" w:rsidRDefault="005C4966">
      <w:pPr>
        <w:spacing w:line="240" w:lineRule="exact"/>
        <w:ind w:firstLineChars="200" w:firstLine="360"/>
        <w:jc w:val="both"/>
        <w:rPr>
          <w:rFonts w:ascii="宋体" w:eastAsia="宋体" w:hAnsi="宋体" w:cs="宋体"/>
          <w:sz w:val="18"/>
          <w:szCs w:val="18"/>
        </w:rPr>
      </w:pPr>
      <w:r>
        <w:rPr>
          <w:rFonts w:ascii="宋体" w:eastAsia="宋体" w:hAnsi="宋体" w:cs="宋体" w:hint="eastAsia"/>
          <w:sz w:val="18"/>
          <w:szCs w:val="18"/>
        </w:rPr>
        <w:t>3</w:t>
      </w:r>
      <w:r>
        <w:rPr>
          <w:rFonts w:ascii="宋体" w:eastAsia="宋体" w:hAnsi="宋体" w:cs="宋体" w:hint="eastAsia"/>
          <w:sz w:val="18"/>
          <w:szCs w:val="18"/>
        </w:rPr>
        <w:t>、截至</w:t>
      </w:r>
      <w:r>
        <w:rPr>
          <w:rFonts w:ascii="宋体" w:eastAsia="宋体" w:hAnsi="宋体" w:cs="宋体" w:hint="eastAsia"/>
          <w:sz w:val="18"/>
          <w:szCs w:val="18"/>
        </w:rPr>
        <w:t>2023</w:t>
      </w:r>
      <w:r>
        <w:rPr>
          <w:rFonts w:ascii="宋体" w:eastAsia="宋体" w:hAnsi="宋体" w:cs="宋体" w:hint="eastAsia"/>
          <w:sz w:val="18"/>
          <w:szCs w:val="18"/>
        </w:rPr>
        <w:t>年</w:t>
      </w:r>
      <w:r>
        <w:rPr>
          <w:rFonts w:ascii="宋体" w:eastAsia="宋体" w:hAnsi="宋体" w:cs="宋体" w:hint="eastAsia"/>
          <w:sz w:val="18"/>
          <w:szCs w:val="18"/>
        </w:rPr>
        <w:t>1</w:t>
      </w:r>
      <w:r>
        <w:rPr>
          <w:rFonts w:ascii="宋体" w:eastAsia="宋体" w:hAnsi="宋体" w:cs="宋体" w:hint="eastAsia"/>
          <w:sz w:val="18"/>
          <w:szCs w:val="18"/>
        </w:rPr>
        <w:t>月</w:t>
      </w:r>
      <w:r>
        <w:rPr>
          <w:rFonts w:ascii="宋体" w:eastAsia="宋体" w:hAnsi="宋体" w:cs="宋体" w:hint="eastAsia"/>
          <w:sz w:val="18"/>
          <w:szCs w:val="18"/>
        </w:rPr>
        <w:t>31</w:t>
      </w:r>
      <w:r>
        <w:rPr>
          <w:rFonts w:ascii="宋体" w:eastAsia="宋体" w:hAnsi="宋体" w:cs="宋体" w:hint="eastAsia"/>
          <w:sz w:val="18"/>
          <w:szCs w:val="18"/>
        </w:rPr>
        <w:t>日，公司回购股份比例达到公司已发行总股数的</w:t>
      </w:r>
      <w:r>
        <w:rPr>
          <w:rFonts w:ascii="宋体" w:eastAsia="宋体" w:hAnsi="宋体" w:cs="宋体" w:hint="eastAsia"/>
          <w:sz w:val="18"/>
          <w:szCs w:val="18"/>
        </w:rPr>
        <w:t>1%</w:t>
      </w:r>
      <w:r>
        <w:rPr>
          <w:rFonts w:ascii="宋体" w:eastAsia="宋体" w:hAnsi="宋体" w:cs="宋体" w:hint="eastAsia"/>
          <w:sz w:val="18"/>
          <w:szCs w:val="18"/>
        </w:rPr>
        <w:t>，根据《深圳证券交易所上市公司自律监管指引第</w:t>
      </w:r>
      <w:r>
        <w:rPr>
          <w:rFonts w:ascii="宋体" w:eastAsia="宋体" w:hAnsi="宋体" w:cs="宋体" w:hint="eastAsia"/>
          <w:sz w:val="18"/>
          <w:szCs w:val="18"/>
        </w:rPr>
        <w:t>9</w:t>
      </w:r>
      <w:r>
        <w:rPr>
          <w:rFonts w:ascii="宋体" w:eastAsia="宋体" w:hAnsi="宋体" w:cs="宋体" w:hint="eastAsia"/>
          <w:sz w:val="18"/>
          <w:szCs w:val="18"/>
        </w:rPr>
        <w:t>号——回购股份》等法律法规、规范性文件的有关规定，回购股份占上市公司总股本的比例每增加</w:t>
      </w:r>
      <w:r>
        <w:rPr>
          <w:rFonts w:ascii="宋体" w:eastAsia="宋体" w:hAnsi="宋体" w:cs="宋体" w:hint="eastAsia"/>
          <w:sz w:val="18"/>
          <w:szCs w:val="18"/>
        </w:rPr>
        <w:t>1%</w:t>
      </w:r>
      <w:r>
        <w:rPr>
          <w:rFonts w:ascii="宋体" w:eastAsia="宋体" w:hAnsi="宋体" w:cs="宋体" w:hint="eastAsia"/>
          <w:sz w:val="18"/>
          <w:szCs w:val="18"/>
        </w:rPr>
        <w:t>，应当在事实发生之日起</w:t>
      </w:r>
      <w:r>
        <w:rPr>
          <w:rFonts w:ascii="宋体" w:eastAsia="宋体" w:hAnsi="宋体" w:cs="宋体" w:hint="eastAsia"/>
          <w:sz w:val="18"/>
          <w:szCs w:val="18"/>
        </w:rPr>
        <w:t>3</w:t>
      </w:r>
      <w:r>
        <w:rPr>
          <w:rFonts w:ascii="宋体" w:eastAsia="宋体" w:hAnsi="宋体" w:cs="宋体" w:hint="eastAsia"/>
          <w:sz w:val="18"/>
          <w:szCs w:val="18"/>
        </w:rPr>
        <w:t>日内予以披露。具体详见公司于</w:t>
      </w:r>
      <w:r>
        <w:rPr>
          <w:rFonts w:ascii="宋体" w:eastAsia="宋体" w:hAnsi="宋体" w:cs="宋体" w:hint="eastAsia"/>
          <w:sz w:val="18"/>
          <w:szCs w:val="18"/>
        </w:rPr>
        <w:t>2023</w:t>
      </w:r>
      <w:r>
        <w:rPr>
          <w:rFonts w:ascii="宋体" w:eastAsia="宋体" w:hAnsi="宋体" w:cs="宋体" w:hint="eastAsia"/>
          <w:sz w:val="18"/>
          <w:szCs w:val="18"/>
        </w:rPr>
        <w:t>年</w:t>
      </w:r>
      <w:r>
        <w:rPr>
          <w:rFonts w:ascii="宋体" w:eastAsia="宋体" w:hAnsi="宋体" w:cs="宋体" w:hint="eastAsia"/>
          <w:sz w:val="18"/>
          <w:szCs w:val="18"/>
        </w:rPr>
        <w:t>2</w:t>
      </w:r>
      <w:r>
        <w:rPr>
          <w:rFonts w:ascii="宋体" w:eastAsia="宋体" w:hAnsi="宋体" w:cs="宋体" w:hint="eastAsia"/>
          <w:sz w:val="18"/>
          <w:szCs w:val="18"/>
        </w:rPr>
        <w:t>月</w:t>
      </w:r>
      <w:r>
        <w:rPr>
          <w:rFonts w:ascii="宋体" w:eastAsia="宋体" w:hAnsi="宋体" w:cs="宋体" w:hint="eastAsia"/>
          <w:sz w:val="18"/>
          <w:szCs w:val="18"/>
        </w:rPr>
        <w:t>1</w:t>
      </w:r>
      <w:r>
        <w:rPr>
          <w:rFonts w:ascii="宋体" w:eastAsia="宋体" w:hAnsi="宋体" w:cs="宋体" w:hint="eastAsia"/>
          <w:sz w:val="18"/>
          <w:szCs w:val="18"/>
        </w:rPr>
        <w:t>日披露的《关于回购公司股份比例达到</w:t>
      </w:r>
      <w:r>
        <w:rPr>
          <w:rFonts w:ascii="宋体" w:eastAsia="宋体" w:hAnsi="宋体" w:cs="宋体" w:hint="eastAsia"/>
          <w:sz w:val="18"/>
          <w:szCs w:val="18"/>
        </w:rPr>
        <w:t>1%</w:t>
      </w:r>
      <w:r>
        <w:rPr>
          <w:rFonts w:ascii="宋体" w:eastAsia="宋体" w:hAnsi="宋体" w:cs="宋体" w:hint="eastAsia"/>
          <w:sz w:val="18"/>
          <w:szCs w:val="18"/>
        </w:rPr>
        <w:t>暨回购股份进展公告》（</w:t>
      </w:r>
      <w:r>
        <w:rPr>
          <w:rFonts w:ascii="宋体" w:eastAsia="宋体" w:hAnsi="宋体" w:cs="宋体" w:hint="eastAsia"/>
          <w:sz w:val="18"/>
          <w:szCs w:val="18"/>
        </w:rPr>
        <w:t>2023-02</w:t>
      </w:r>
      <w:r>
        <w:rPr>
          <w:rFonts w:ascii="宋体" w:eastAsia="宋体" w:hAnsi="宋体" w:cs="宋体" w:hint="eastAsia"/>
          <w:sz w:val="18"/>
          <w:szCs w:val="18"/>
        </w:rPr>
        <w:t>）。</w:t>
      </w:r>
    </w:p>
    <w:p w:rsidR="00A067C6" w:rsidRDefault="005C4966">
      <w:pPr>
        <w:spacing w:line="240" w:lineRule="exact"/>
        <w:ind w:firstLineChars="200" w:firstLine="360"/>
        <w:jc w:val="both"/>
        <w:rPr>
          <w:rFonts w:ascii="宋体" w:eastAsia="宋体" w:hAnsi="宋体" w:cs="宋体"/>
          <w:sz w:val="18"/>
          <w:szCs w:val="18"/>
        </w:rPr>
      </w:pPr>
      <w:r>
        <w:rPr>
          <w:rFonts w:ascii="宋体" w:eastAsia="宋体" w:hAnsi="宋体" w:cs="宋体" w:hint="eastAsia"/>
          <w:sz w:val="18"/>
          <w:szCs w:val="18"/>
        </w:rPr>
        <w:t>4</w:t>
      </w:r>
      <w:r>
        <w:rPr>
          <w:rFonts w:ascii="宋体" w:eastAsia="宋体" w:hAnsi="宋体" w:cs="宋体" w:hint="eastAsia"/>
          <w:sz w:val="18"/>
          <w:szCs w:val="18"/>
        </w:rPr>
        <w:t>、截至</w:t>
      </w:r>
      <w:r>
        <w:rPr>
          <w:rFonts w:ascii="宋体" w:eastAsia="宋体" w:hAnsi="宋体" w:cs="宋体" w:hint="eastAsia"/>
          <w:sz w:val="18"/>
          <w:szCs w:val="18"/>
        </w:rPr>
        <w:t>2023</w:t>
      </w:r>
      <w:r>
        <w:rPr>
          <w:rFonts w:ascii="宋体" w:eastAsia="宋体" w:hAnsi="宋体" w:cs="宋体" w:hint="eastAsia"/>
          <w:sz w:val="18"/>
          <w:szCs w:val="18"/>
        </w:rPr>
        <w:t>年</w:t>
      </w:r>
      <w:r>
        <w:rPr>
          <w:rFonts w:ascii="宋体" w:eastAsia="宋体" w:hAnsi="宋体" w:cs="宋体" w:hint="eastAsia"/>
          <w:sz w:val="18"/>
          <w:szCs w:val="18"/>
        </w:rPr>
        <w:t>3</w:t>
      </w:r>
      <w:r>
        <w:rPr>
          <w:rFonts w:ascii="宋体" w:eastAsia="宋体" w:hAnsi="宋体" w:cs="宋体" w:hint="eastAsia"/>
          <w:sz w:val="18"/>
          <w:szCs w:val="18"/>
        </w:rPr>
        <w:t>月</w:t>
      </w:r>
      <w:r>
        <w:rPr>
          <w:rFonts w:ascii="宋体" w:eastAsia="宋体" w:hAnsi="宋体" w:cs="宋体" w:hint="eastAsia"/>
          <w:sz w:val="18"/>
          <w:szCs w:val="18"/>
        </w:rPr>
        <w:t>20</w:t>
      </w:r>
      <w:r>
        <w:rPr>
          <w:rFonts w:ascii="宋体" w:eastAsia="宋体" w:hAnsi="宋体" w:cs="宋体" w:hint="eastAsia"/>
          <w:sz w:val="18"/>
          <w:szCs w:val="18"/>
        </w:rPr>
        <w:t>日，公司本次股份回购已完成。在回购期间，公司通过股份回购专用证券账户以集中竞价交易方式累计回购公司股票</w:t>
      </w:r>
      <w:r>
        <w:rPr>
          <w:rFonts w:ascii="宋体" w:eastAsia="宋体" w:hAnsi="宋体" w:cs="宋体" w:hint="eastAsia"/>
          <w:sz w:val="18"/>
          <w:szCs w:val="18"/>
        </w:rPr>
        <w:t>29,800,000</w:t>
      </w:r>
      <w:r>
        <w:rPr>
          <w:rFonts w:ascii="宋体" w:eastAsia="宋体" w:hAnsi="宋体" w:cs="宋体" w:hint="eastAsia"/>
          <w:sz w:val="18"/>
          <w:szCs w:val="18"/>
        </w:rPr>
        <w:t>股，占公司总股本的</w:t>
      </w:r>
      <w:r>
        <w:rPr>
          <w:rFonts w:ascii="宋体" w:eastAsia="宋体" w:hAnsi="宋体" w:cs="宋体" w:hint="eastAsia"/>
          <w:sz w:val="18"/>
          <w:szCs w:val="18"/>
        </w:rPr>
        <w:t>1.75%</w:t>
      </w:r>
      <w:r>
        <w:rPr>
          <w:rFonts w:ascii="宋体" w:eastAsia="宋体" w:hAnsi="宋体" w:cs="宋体" w:hint="eastAsia"/>
          <w:sz w:val="18"/>
          <w:szCs w:val="18"/>
        </w:rPr>
        <w:t>（以公司截止</w:t>
      </w:r>
      <w:r>
        <w:rPr>
          <w:rFonts w:ascii="宋体" w:eastAsia="宋体" w:hAnsi="宋体" w:cs="宋体" w:hint="eastAsia"/>
          <w:sz w:val="18"/>
          <w:szCs w:val="18"/>
        </w:rPr>
        <w:t>2023</w:t>
      </w:r>
      <w:r>
        <w:rPr>
          <w:rFonts w:ascii="宋体" w:eastAsia="宋体" w:hAnsi="宋体" w:cs="宋体" w:hint="eastAsia"/>
          <w:sz w:val="18"/>
          <w:szCs w:val="18"/>
        </w:rPr>
        <w:t>年</w:t>
      </w:r>
      <w:r>
        <w:rPr>
          <w:rFonts w:ascii="宋体" w:eastAsia="宋体" w:hAnsi="宋体" w:cs="宋体" w:hint="eastAsia"/>
          <w:sz w:val="18"/>
          <w:szCs w:val="18"/>
        </w:rPr>
        <w:t>3</w:t>
      </w:r>
      <w:r>
        <w:rPr>
          <w:rFonts w:ascii="宋体" w:eastAsia="宋体" w:hAnsi="宋体" w:cs="宋体" w:hint="eastAsia"/>
          <w:sz w:val="18"/>
          <w:szCs w:val="18"/>
        </w:rPr>
        <w:t>月</w:t>
      </w:r>
      <w:r>
        <w:rPr>
          <w:rFonts w:ascii="宋体" w:eastAsia="宋体" w:hAnsi="宋体" w:cs="宋体" w:hint="eastAsia"/>
          <w:sz w:val="18"/>
          <w:szCs w:val="18"/>
        </w:rPr>
        <w:t>20</w:t>
      </w:r>
      <w:r>
        <w:rPr>
          <w:rFonts w:ascii="宋体" w:eastAsia="宋体" w:hAnsi="宋体" w:cs="宋体" w:hint="eastAsia"/>
          <w:sz w:val="18"/>
          <w:szCs w:val="18"/>
        </w:rPr>
        <w:t>日总股本</w:t>
      </w:r>
      <w:r>
        <w:rPr>
          <w:rFonts w:ascii="宋体" w:eastAsia="宋体" w:hAnsi="宋体" w:cs="宋体" w:hint="eastAsia"/>
          <w:sz w:val="18"/>
          <w:szCs w:val="18"/>
        </w:rPr>
        <w:t>1,700,681,355</w:t>
      </w:r>
      <w:r>
        <w:rPr>
          <w:rFonts w:ascii="宋体" w:eastAsia="宋体" w:hAnsi="宋体" w:cs="宋体" w:hint="eastAsia"/>
          <w:sz w:val="18"/>
          <w:szCs w:val="18"/>
        </w:rPr>
        <w:t>股为基准），实际回购期间为</w:t>
      </w:r>
      <w:r>
        <w:rPr>
          <w:rFonts w:ascii="宋体" w:eastAsia="宋体" w:hAnsi="宋体" w:cs="宋体" w:hint="eastAsia"/>
          <w:sz w:val="18"/>
          <w:szCs w:val="18"/>
        </w:rPr>
        <w:t>2022</w:t>
      </w:r>
      <w:r>
        <w:rPr>
          <w:rFonts w:ascii="宋体" w:eastAsia="宋体" w:hAnsi="宋体" w:cs="宋体" w:hint="eastAsia"/>
          <w:sz w:val="18"/>
          <w:szCs w:val="18"/>
        </w:rPr>
        <w:t>年</w:t>
      </w:r>
      <w:r>
        <w:rPr>
          <w:rFonts w:ascii="宋体" w:eastAsia="宋体" w:hAnsi="宋体" w:cs="宋体" w:hint="eastAsia"/>
          <w:sz w:val="18"/>
          <w:szCs w:val="18"/>
        </w:rPr>
        <w:t>4</w:t>
      </w:r>
      <w:r>
        <w:rPr>
          <w:rFonts w:ascii="宋体" w:eastAsia="宋体" w:hAnsi="宋体" w:cs="宋体" w:hint="eastAsia"/>
          <w:sz w:val="18"/>
          <w:szCs w:val="18"/>
        </w:rPr>
        <w:t>月</w:t>
      </w:r>
      <w:r>
        <w:rPr>
          <w:rFonts w:ascii="宋体" w:eastAsia="宋体" w:hAnsi="宋体" w:cs="宋体" w:hint="eastAsia"/>
          <w:sz w:val="18"/>
          <w:szCs w:val="18"/>
        </w:rPr>
        <w:t>28</w:t>
      </w:r>
      <w:r>
        <w:rPr>
          <w:rFonts w:ascii="宋体" w:eastAsia="宋体" w:hAnsi="宋体" w:cs="宋体" w:hint="eastAsia"/>
          <w:sz w:val="18"/>
          <w:szCs w:val="18"/>
        </w:rPr>
        <w:t>日至</w:t>
      </w:r>
      <w:r>
        <w:rPr>
          <w:rFonts w:ascii="宋体" w:eastAsia="宋体" w:hAnsi="宋体" w:cs="宋体" w:hint="eastAsia"/>
          <w:sz w:val="18"/>
          <w:szCs w:val="18"/>
        </w:rPr>
        <w:t>2023</w:t>
      </w:r>
      <w:r>
        <w:rPr>
          <w:rFonts w:ascii="宋体" w:eastAsia="宋体" w:hAnsi="宋体" w:cs="宋体" w:hint="eastAsia"/>
          <w:sz w:val="18"/>
          <w:szCs w:val="18"/>
        </w:rPr>
        <w:t>年</w:t>
      </w:r>
      <w:r>
        <w:rPr>
          <w:rFonts w:ascii="宋体" w:eastAsia="宋体" w:hAnsi="宋体" w:cs="宋体" w:hint="eastAsia"/>
          <w:sz w:val="18"/>
          <w:szCs w:val="18"/>
        </w:rPr>
        <w:t>3</w:t>
      </w:r>
      <w:r>
        <w:rPr>
          <w:rFonts w:ascii="宋体" w:eastAsia="宋体" w:hAnsi="宋体" w:cs="宋体" w:hint="eastAsia"/>
          <w:sz w:val="18"/>
          <w:szCs w:val="18"/>
        </w:rPr>
        <w:t>月</w:t>
      </w:r>
      <w:r>
        <w:rPr>
          <w:rFonts w:ascii="宋体" w:eastAsia="宋体" w:hAnsi="宋体" w:cs="宋体" w:hint="eastAsia"/>
          <w:sz w:val="18"/>
          <w:szCs w:val="18"/>
        </w:rPr>
        <w:t>20</w:t>
      </w:r>
      <w:r>
        <w:rPr>
          <w:rFonts w:ascii="宋体" w:eastAsia="宋体" w:hAnsi="宋体" w:cs="宋体" w:hint="eastAsia"/>
          <w:sz w:val="18"/>
          <w:szCs w:val="18"/>
        </w:rPr>
        <w:t>日，其中最高成交价为</w:t>
      </w:r>
      <w:r>
        <w:rPr>
          <w:rFonts w:ascii="宋体" w:eastAsia="宋体" w:hAnsi="宋体" w:cs="宋体" w:hint="eastAsia"/>
          <w:sz w:val="18"/>
          <w:szCs w:val="18"/>
        </w:rPr>
        <w:t>3.67</w:t>
      </w:r>
      <w:r>
        <w:rPr>
          <w:rFonts w:ascii="宋体" w:eastAsia="宋体" w:hAnsi="宋体" w:cs="宋体" w:hint="eastAsia"/>
          <w:sz w:val="18"/>
          <w:szCs w:val="18"/>
        </w:rPr>
        <w:t>元</w:t>
      </w:r>
      <w:r>
        <w:rPr>
          <w:rFonts w:ascii="宋体" w:eastAsia="宋体" w:hAnsi="宋体" w:cs="宋体" w:hint="eastAsia"/>
          <w:sz w:val="18"/>
          <w:szCs w:val="18"/>
        </w:rPr>
        <w:t>/</w:t>
      </w:r>
      <w:r>
        <w:rPr>
          <w:rFonts w:ascii="宋体" w:eastAsia="宋体" w:hAnsi="宋体" w:cs="宋体" w:hint="eastAsia"/>
          <w:sz w:val="18"/>
          <w:szCs w:val="18"/>
        </w:rPr>
        <w:t>股，最低成交价为</w:t>
      </w:r>
      <w:r>
        <w:rPr>
          <w:rFonts w:ascii="宋体" w:eastAsia="宋体" w:hAnsi="宋体" w:cs="宋体" w:hint="eastAsia"/>
          <w:sz w:val="18"/>
          <w:szCs w:val="18"/>
        </w:rPr>
        <w:t>3.04</w:t>
      </w:r>
      <w:r>
        <w:rPr>
          <w:rFonts w:ascii="宋体" w:eastAsia="宋体" w:hAnsi="宋体" w:cs="宋体" w:hint="eastAsia"/>
          <w:sz w:val="18"/>
          <w:szCs w:val="18"/>
        </w:rPr>
        <w:t>元</w:t>
      </w:r>
      <w:r>
        <w:rPr>
          <w:rFonts w:ascii="宋体" w:eastAsia="宋体" w:hAnsi="宋体" w:cs="宋体" w:hint="eastAsia"/>
          <w:sz w:val="18"/>
          <w:szCs w:val="18"/>
        </w:rPr>
        <w:t>/</w:t>
      </w:r>
      <w:r>
        <w:rPr>
          <w:rFonts w:ascii="宋体" w:eastAsia="宋体" w:hAnsi="宋体" w:cs="宋体" w:hint="eastAsia"/>
          <w:sz w:val="18"/>
          <w:szCs w:val="18"/>
        </w:rPr>
        <w:t>股，成交总金额为人民</w:t>
      </w:r>
      <w:r>
        <w:rPr>
          <w:rFonts w:ascii="宋体" w:eastAsia="宋体" w:hAnsi="宋体" w:cs="宋体" w:hint="eastAsia"/>
          <w:sz w:val="18"/>
          <w:szCs w:val="18"/>
        </w:rPr>
        <w:t>99,916,654.12</w:t>
      </w:r>
      <w:r>
        <w:rPr>
          <w:rFonts w:ascii="宋体" w:eastAsia="宋体" w:hAnsi="宋体" w:cs="宋体" w:hint="eastAsia"/>
          <w:sz w:val="18"/>
          <w:szCs w:val="18"/>
        </w:rPr>
        <w:t>元（不含交易费用）。</w:t>
      </w:r>
    </w:p>
    <w:p w:rsidR="00A067C6" w:rsidRDefault="005C4966">
      <w:pPr>
        <w:spacing w:line="240" w:lineRule="exact"/>
        <w:ind w:firstLineChars="200" w:firstLine="360"/>
        <w:jc w:val="both"/>
        <w:rPr>
          <w:rFonts w:ascii="宋体" w:eastAsia="宋体" w:hAnsi="宋体" w:cs="宋体"/>
          <w:sz w:val="18"/>
          <w:szCs w:val="18"/>
        </w:rPr>
      </w:pPr>
      <w:r>
        <w:rPr>
          <w:rFonts w:ascii="宋体" w:eastAsia="宋体" w:hAnsi="宋体" w:cs="宋体" w:hint="eastAsia"/>
          <w:sz w:val="18"/>
          <w:szCs w:val="18"/>
        </w:rPr>
        <w:t>5</w:t>
      </w:r>
      <w:r>
        <w:rPr>
          <w:rFonts w:ascii="宋体" w:eastAsia="宋体" w:hAnsi="宋体" w:cs="宋体" w:hint="eastAsia"/>
          <w:sz w:val="18"/>
          <w:szCs w:val="18"/>
        </w:rPr>
        <w:t>、本次回购符合相关法律法规的要求，符合公司既定的回购方案，本次回购股份方案已实施完毕。</w:t>
      </w:r>
    </w:p>
    <w:p w:rsidR="00A067C6" w:rsidRDefault="005C4966">
      <w:pPr>
        <w:spacing w:line="240" w:lineRule="exact"/>
        <w:rPr>
          <w:rFonts w:ascii="宋体" w:eastAsia="宋体" w:hAnsi="宋体" w:cs="宋体"/>
          <w:sz w:val="18"/>
          <w:szCs w:val="18"/>
        </w:rPr>
      </w:pPr>
      <w:r>
        <w:rPr>
          <w:rFonts w:ascii="宋体" w:eastAsia="宋体" w:hAnsi="宋体" w:cs="宋体" w:hint="eastAsia"/>
          <w:b/>
          <w:bCs/>
        </w:rPr>
        <w:t>二、</w:t>
      </w:r>
      <w:r>
        <w:rPr>
          <w:rFonts w:ascii="宋体" w:eastAsia="宋体" w:hAnsi="宋体" w:cs="宋体" w:hint="eastAsia"/>
          <w:b/>
          <w:bCs/>
        </w:rPr>
        <w:t>2</w:t>
      </w:r>
      <w:r>
        <w:rPr>
          <w:rFonts w:ascii="宋体" w:eastAsia="宋体" w:hAnsi="宋体" w:cs="宋体" w:hint="eastAsia"/>
          <w:b/>
          <w:bCs/>
        </w:rPr>
        <w:t>023</w:t>
      </w:r>
      <w:r>
        <w:rPr>
          <w:rFonts w:ascii="宋体" w:eastAsia="宋体" w:hAnsi="宋体" w:cs="宋体" w:hint="eastAsia"/>
          <w:b/>
          <w:bCs/>
        </w:rPr>
        <w:t>年股份回购事项</w:t>
      </w:r>
    </w:p>
    <w:p w:rsidR="00A067C6" w:rsidRDefault="005C4966">
      <w:pPr>
        <w:spacing w:line="240" w:lineRule="exact"/>
        <w:ind w:firstLineChars="200" w:firstLine="360"/>
        <w:jc w:val="both"/>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hint="eastAsia"/>
          <w:sz w:val="18"/>
          <w:szCs w:val="18"/>
        </w:rPr>
        <w:t>、公司于</w:t>
      </w:r>
      <w:r>
        <w:rPr>
          <w:rFonts w:ascii="宋体" w:eastAsia="宋体" w:hAnsi="宋体" w:cs="宋体" w:hint="eastAsia"/>
          <w:sz w:val="18"/>
          <w:szCs w:val="18"/>
        </w:rPr>
        <w:t>2023</w:t>
      </w:r>
      <w:r>
        <w:rPr>
          <w:rFonts w:ascii="宋体" w:eastAsia="宋体" w:hAnsi="宋体" w:cs="宋体" w:hint="eastAsia"/>
          <w:sz w:val="18"/>
          <w:szCs w:val="18"/>
        </w:rPr>
        <w:t>年</w:t>
      </w:r>
      <w:r>
        <w:rPr>
          <w:rFonts w:ascii="宋体" w:eastAsia="宋体" w:hAnsi="宋体" w:cs="宋体" w:hint="eastAsia"/>
          <w:sz w:val="18"/>
          <w:szCs w:val="18"/>
        </w:rPr>
        <w:t>3</w:t>
      </w:r>
      <w:r>
        <w:rPr>
          <w:rFonts w:ascii="宋体" w:eastAsia="宋体" w:hAnsi="宋体" w:cs="宋体" w:hint="eastAsia"/>
          <w:sz w:val="18"/>
          <w:szCs w:val="18"/>
        </w:rPr>
        <w:t>月</w:t>
      </w:r>
      <w:r>
        <w:rPr>
          <w:rFonts w:ascii="宋体" w:eastAsia="宋体" w:hAnsi="宋体" w:cs="宋体" w:hint="eastAsia"/>
          <w:sz w:val="18"/>
          <w:szCs w:val="18"/>
        </w:rPr>
        <w:t>17</w:t>
      </w:r>
      <w:r>
        <w:rPr>
          <w:rFonts w:ascii="宋体" w:eastAsia="宋体" w:hAnsi="宋体" w:cs="宋体" w:hint="eastAsia"/>
          <w:sz w:val="18"/>
          <w:szCs w:val="18"/>
        </w:rPr>
        <w:t>日召开第八届董事会</w:t>
      </w:r>
      <w:r>
        <w:rPr>
          <w:rFonts w:ascii="宋体" w:eastAsia="宋体" w:hAnsi="宋体" w:cs="宋体" w:hint="eastAsia"/>
          <w:sz w:val="18"/>
          <w:szCs w:val="18"/>
        </w:rPr>
        <w:t>2023</w:t>
      </w:r>
      <w:r>
        <w:rPr>
          <w:rFonts w:ascii="宋体" w:eastAsia="宋体" w:hAnsi="宋体" w:cs="宋体" w:hint="eastAsia"/>
          <w:sz w:val="18"/>
          <w:szCs w:val="18"/>
        </w:rPr>
        <w:t>年第一次临时会议，审议通过《关于</w:t>
      </w:r>
      <w:r>
        <w:rPr>
          <w:rFonts w:ascii="宋体" w:eastAsia="宋体" w:hAnsi="宋体" w:cs="宋体" w:hint="eastAsia"/>
          <w:sz w:val="18"/>
          <w:szCs w:val="18"/>
        </w:rPr>
        <w:t>2023</w:t>
      </w:r>
      <w:r>
        <w:rPr>
          <w:rFonts w:ascii="宋体" w:eastAsia="宋体" w:hAnsi="宋体" w:cs="宋体" w:hint="eastAsia"/>
          <w:sz w:val="18"/>
          <w:szCs w:val="18"/>
        </w:rPr>
        <w:t>年回购公司股份方案的议案》，公司拟使用自有资金以集中竞价交易方式回购已发行的人民币普通股（</w:t>
      </w:r>
      <w:r>
        <w:rPr>
          <w:rFonts w:ascii="宋体" w:eastAsia="宋体" w:hAnsi="宋体" w:cs="宋体" w:hint="eastAsia"/>
          <w:sz w:val="18"/>
          <w:szCs w:val="18"/>
        </w:rPr>
        <w:t>A</w:t>
      </w:r>
      <w:r>
        <w:rPr>
          <w:rFonts w:ascii="宋体" w:eastAsia="宋体" w:hAnsi="宋体" w:cs="宋体" w:hint="eastAsia"/>
          <w:sz w:val="18"/>
          <w:szCs w:val="18"/>
        </w:rPr>
        <w:t>股）股份，回购股份用于维护公司价值及股东权益所必需，公司本次回购的股份后续将按有关规定予以全部出售。回购总金额为不低于人民币</w:t>
      </w:r>
      <w:r>
        <w:rPr>
          <w:rFonts w:ascii="宋体" w:eastAsia="宋体" w:hAnsi="宋体" w:cs="宋体" w:hint="eastAsia"/>
          <w:sz w:val="18"/>
          <w:szCs w:val="18"/>
        </w:rPr>
        <w:t>10,000</w:t>
      </w:r>
      <w:r>
        <w:rPr>
          <w:rFonts w:ascii="宋体" w:eastAsia="宋体" w:hAnsi="宋体" w:cs="宋体" w:hint="eastAsia"/>
          <w:sz w:val="18"/>
          <w:szCs w:val="18"/>
        </w:rPr>
        <w:t>万元，不超过人民币</w:t>
      </w:r>
      <w:r>
        <w:rPr>
          <w:rFonts w:ascii="宋体" w:eastAsia="宋体" w:hAnsi="宋体" w:cs="宋体" w:hint="eastAsia"/>
          <w:sz w:val="18"/>
          <w:szCs w:val="18"/>
        </w:rPr>
        <w:t>20,000</w:t>
      </w:r>
      <w:r>
        <w:rPr>
          <w:rFonts w:ascii="宋体" w:eastAsia="宋体" w:hAnsi="宋体" w:cs="宋体" w:hint="eastAsia"/>
          <w:sz w:val="18"/>
          <w:szCs w:val="18"/>
        </w:rPr>
        <w:t>万元，回购价格不超过</w:t>
      </w:r>
      <w:r>
        <w:rPr>
          <w:rFonts w:ascii="宋体" w:eastAsia="宋体" w:hAnsi="宋体" w:cs="宋体" w:hint="eastAsia"/>
          <w:sz w:val="18"/>
          <w:szCs w:val="18"/>
        </w:rPr>
        <w:t>4.60</w:t>
      </w:r>
      <w:r>
        <w:rPr>
          <w:rFonts w:ascii="宋体" w:eastAsia="宋体" w:hAnsi="宋体" w:cs="宋体" w:hint="eastAsia"/>
          <w:sz w:val="18"/>
          <w:szCs w:val="18"/>
        </w:rPr>
        <w:t>元</w:t>
      </w:r>
      <w:r>
        <w:rPr>
          <w:rFonts w:ascii="宋体" w:eastAsia="宋体" w:hAnsi="宋体" w:cs="宋体" w:hint="eastAsia"/>
          <w:sz w:val="18"/>
          <w:szCs w:val="18"/>
        </w:rPr>
        <w:t>/</w:t>
      </w:r>
      <w:r>
        <w:rPr>
          <w:rFonts w:ascii="宋体" w:eastAsia="宋体" w:hAnsi="宋体" w:cs="宋体" w:hint="eastAsia"/>
          <w:sz w:val="18"/>
          <w:szCs w:val="18"/>
        </w:rPr>
        <w:t>股，按回购资金总额下限人民币</w:t>
      </w:r>
      <w:r>
        <w:rPr>
          <w:rFonts w:ascii="宋体" w:eastAsia="宋体" w:hAnsi="宋体" w:cs="宋体" w:hint="eastAsia"/>
          <w:sz w:val="18"/>
          <w:szCs w:val="18"/>
        </w:rPr>
        <w:t>10,000</w:t>
      </w:r>
      <w:r>
        <w:rPr>
          <w:rFonts w:ascii="宋体" w:eastAsia="宋体" w:hAnsi="宋体" w:cs="宋体" w:hint="eastAsia"/>
          <w:sz w:val="18"/>
          <w:szCs w:val="18"/>
        </w:rPr>
        <w:t>万元和回购股份价格上限</w:t>
      </w:r>
      <w:r>
        <w:rPr>
          <w:rFonts w:ascii="宋体" w:eastAsia="宋体" w:hAnsi="宋体" w:cs="宋体" w:hint="eastAsia"/>
          <w:sz w:val="18"/>
          <w:szCs w:val="18"/>
        </w:rPr>
        <w:t>4.60</w:t>
      </w:r>
      <w:r>
        <w:rPr>
          <w:rFonts w:ascii="宋体" w:eastAsia="宋体" w:hAnsi="宋体" w:cs="宋体" w:hint="eastAsia"/>
          <w:sz w:val="18"/>
          <w:szCs w:val="18"/>
        </w:rPr>
        <w:t>元</w:t>
      </w:r>
      <w:r>
        <w:rPr>
          <w:rFonts w:ascii="宋体" w:eastAsia="宋体" w:hAnsi="宋体" w:cs="宋体" w:hint="eastAsia"/>
          <w:sz w:val="18"/>
          <w:szCs w:val="18"/>
        </w:rPr>
        <w:t>/</w:t>
      </w:r>
      <w:r>
        <w:rPr>
          <w:rFonts w:ascii="宋体" w:eastAsia="宋体" w:hAnsi="宋体" w:cs="宋体" w:hint="eastAsia"/>
          <w:sz w:val="18"/>
          <w:szCs w:val="18"/>
        </w:rPr>
        <w:t>股测算，预计回购股份数量约为</w:t>
      </w:r>
      <w:r>
        <w:rPr>
          <w:rFonts w:ascii="宋体" w:eastAsia="宋体" w:hAnsi="宋体" w:cs="宋体" w:hint="eastAsia"/>
          <w:sz w:val="18"/>
          <w:szCs w:val="18"/>
        </w:rPr>
        <w:t>21</w:t>
      </w:r>
      <w:r>
        <w:rPr>
          <w:rFonts w:ascii="宋体" w:eastAsia="宋体" w:hAnsi="宋体" w:cs="宋体" w:hint="eastAsia"/>
          <w:sz w:val="18"/>
          <w:szCs w:val="18"/>
        </w:rPr>
        <w:t>,739,130</w:t>
      </w:r>
      <w:r>
        <w:rPr>
          <w:rFonts w:ascii="宋体" w:eastAsia="宋体" w:hAnsi="宋体" w:cs="宋体" w:hint="eastAsia"/>
          <w:sz w:val="18"/>
          <w:szCs w:val="18"/>
        </w:rPr>
        <w:t>股，约占目前公司总股本的</w:t>
      </w:r>
      <w:r>
        <w:rPr>
          <w:rFonts w:ascii="宋体" w:eastAsia="宋体" w:hAnsi="宋体" w:cs="宋体" w:hint="eastAsia"/>
          <w:sz w:val="18"/>
          <w:szCs w:val="18"/>
        </w:rPr>
        <w:t>1.28%</w:t>
      </w:r>
      <w:r>
        <w:rPr>
          <w:rFonts w:ascii="宋体" w:eastAsia="宋体" w:hAnsi="宋体" w:cs="宋体" w:hint="eastAsia"/>
          <w:sz w:val="18"/>
          <w:szCs w:val="18"/>
        </w:rPr>
        <w:t>；按回购总金额上限人民币</w:t>
      </w:r>
      <w:r>
        <w:rPr>
          <w:rFonts w:ascii="宋体" w:eastAsia="宋体" w:hAnsi="宋体" w:cs="宋体" w:hint="eastAsia"/>
          <w:sz w:val="18"/>
          <w:szCs w:val="18"/>
        </w:rPr>
        <w:t>20,000</w:t>
      </w:r>
      <w:r>
        <w:rPr>
          <w:rFonts w:ascii="宋体" w:eastAsia="宋体" w:hAnsi="宋体" w:cs="宋体" w:hint="eastAsia"/>
          <w:sz w:val="18"/>
          <w:szCs w:val="18"/>
        </w:rPr>
        <w:t>万元和回购股份价格上限</w:t>
      </w:r>
      <w:r>
        <w:rPr>
          <w:rFonts w:ascii="宋体" w:eastAsia="宋体" w:hAnsi="宋体" w:cs="宋体" w:hint="eastAsia"/>
          <w:sz w:val="18"/>
          <w:szCs w:val="18"/>
        </w:rPr>
        <w:t>4.60</w:t>
      </w:r>
      <w:r>
        <w:rPr>
          <w:rFonts w:ascii="宋体" w:eastAsia="宋体" w:hAnsi="宋体" w:cs="宋体" w:hint="eastAsia"/>
          <w:sz w:val="18"/>
          <w:szCs w:val="18"/>
        </w:rPr>
        <w:t>元</w:t>
      </w:r>
      <w:r>
        <w:rPr>
          <w:rFonts w:ascii="宋体" w:eastAsia="宋体" w:hAnsi="宋体" w:cs="宋体" w:hint="eastAsia"/>
          <w:sz w:val="18"/>
          <w:szCs w:val="18"/>
        </w:rPr>
        <w:t>/</w:t>
      </w:r>
      <w:r>
        <w:rPr>
          <w:rFonts w:ascii="宋体" w:eastAsia="宋体" w:hAnsi="宋体" w:cs="宋体" w:hint="eastAsia"/>
          <w:sz w:val="18"/>
          <w:szCs w:val="18"/>
        </w:rPr>
        <w:t>股测算，预计回购股份数量约为</w:t>
      </w:r>
      <w:r>
        <w:rPr>
          <w:rFonts w:ascii="宋体" w:eastAsia="宋体" w:hAnsi="宋体" w:cs="宋体" w:hint="eastAsia"/>
          <w:sz w:val="18"/>
          <w:szCs w:val="18"/>
        </w:rPr>
        <w:t>43,478,260</w:t>
      </w:r>
      <w:r>
        <w:rPr>
          <w:rFonts w:ascii="宋体" w:eastAsia="宋体" w:hAnsi="宋体" w:cs="宋体" w:hint="eastAsia"/>
          <w:sz w:val="18"/>
          <w:szCs w:val="18"/>
        </w:rPr>
        <w:t>股，约占目前公司总股本的</w:t>
      </w:r>
      <w:r>
        <w:rPr>
          <w:rFonts w:ascii="宋体" w:eastAsia="宋体" w:hAnsi="宋体" w:cs="宋体" w:hint="eastAsia"/>
          <w:sz w:val="18"/>
          <w:szCs w:val="18"/>
        </w:rPr>
        <w:t>2.56%</w:t>
      </w:r>
      <w:r>
        <w:rPr>
          <w:rFonts w:ascii="宋体" w:eastAsia="宋体" w:hAnsi="宋体" w:cs="宋体" w:hint="eastAsia"/>
          <w:sz w:val="18"/>
          <w:szCs w:val="18"/>
        </w:rPr>
        <w:t>。</w:t>
      </w:r>
    </w:p>
    <w:p w:rsidR="00A067C6" w:rsidRDefault="005C4966">
      <w:pPr>
        <w:spacing w:line="240" w:lineRule="exact"/>
        <w:ind w:firstLineChars="200" w:firstLine="360"/>
        <w:jc w:val="both"/>
        <w:rPr>
          <w:rFonts w:ascii="宋体" w:eastAsia="宋体" w:hAnsi="宋体" w:cs="宋体"/>
          <w:sz w:val="18"/>
          <w:szCs w:val="18"/>
        </w:rPr>
      </w:pPr>
      <w:r>
        <w:rPr>
          <w:rFonts w:ascii="宋体" w:eastAsia="宋体" w:hAnsi="宋体" w:cs="宋体" w:hint="eastAsia"/>
          <w:sz w:val="18"/>
          <w:szCs w:val="18"/>
        </w:rPr>
        <w:t>2</w:t>
      </w:r>
      <w:r>
        <w:rPr>
          <w:rFonts w:ascii="宋体" w:eastAsia="宋体" w:hAnsi="宋体" w:cs="宋体" w:hint="eastAsia"/>
          <w:sz w:val="18"/>
          <w:szCs w:val="18"/>
        </w:rPr>
        <w:t>、</w:t>
      </w:r>
      <w:r>
        <w:rPr>
          <w:rFonts w:ascii="宋体" w:eastAsia="宋体" w:hAnsi="宋体" w:cs="宋体" w:hint="eastAsia"/>
          <w:sz w:val="18"/>
          <w:szCs w:val="18"/>
        </w:rPr>
        <w:t>2023</w:t>
      </w:r>
      <w:r>
        <w:rPr>
          <w:rFonts w:ascii="宋体" w:eastAsia="宋体" w:hAnsi="宋体" w:cs="宋体" w:hint="eastAsia"/>
          <w:sz w:val="18"/>
          <w:szCs w:val="18"/>
        </w:rPr>
        <w:t>年</w:t>
      </w:r>
      <w:r>
        <w:rPr>
          <w:rFonts w:ascii="宋体" w:eastAsia="宋体" w:hAnsi="宋体" w:cs="宋体" w:hint="eastAsia"/>
          <w:sz w:val="18"/>
          <w:szCs w:val="18"/>
        </w:rPr>
        <w:t>3</w:t>
      </w:r>
      <w:r>
        <w:rPr>
          <w:rFonts w:ascii="宋体" w:eastAsia="宋体" w:hAnsi="宋体" w:cs="宋体" w:hint="eastAsia"/>
          <w:sz w:val="18"/>
          <w:szCs w:val="18"/>
        </w:rPr>
        <w:t>月</w:t>
      </w:r>
      <w:r>
        <w:rPr>
          <w:rFonts w:ascii="宋体" w:eastAsia="宋体" w:hAnsi="宋体" w:cs="宋体" w:hint="eastAsia"/>
          <w:sz w:val="18"/>
          <w:szCs w:val="18"/>
        </w:rPr>
        <w:t>20</w:t>
      </w:r>
      <w:r>
        <w:rPr>
          <w:rFonts w:ascii="宋体" w:eastAsia="宋体" w:hAnsi="宋体" w:cs="宋体" w:hint="eastAsia"/>
          <w:sz w:val="18"/>
          <w:szCs w:val="18"/>
        </w:rPr>
        <w:t>日，公司通过股份回购专用证券账户以集中竞价方式实施了首次回购，回购股份数量</w:t>
      </w:r>
      <w:r>
        <w:rPr>
          <w:rFonts w:ascii="宋体" w:eastAsia="宋体" w:hAnsi="宋体" w:cs="宋体" w:hint="eastAsia"/>
          <w:sz w:val="18"/>
          <w:szCs w:val="18"/>
        </w:rPr>
        <w:t>38,000</w:t>
      </w:r>
      <w:r>
        <w:rPr>
          <w:rFonts w:ascii="宋体" w:eastAsia="宋体" w:hAnsi="宋体" w:cs="宋体" w:hint="eastAsia"/>
          <w:sz w:val="18"/>
          <w:szCs w:val="18"/>
        </w:rPr>
        <w:t>股，占公司目前总股本的</w:t>
      </w:r>
      <w:r>
        <w:rPr>
          <w:rFonts w:ascii="宋体" w:eastAsia="宋体" w:hAnsi="宋体" w:cs="宋体" w:hint="eastAsia"/>
          <w:sz w:val="18"/>
          <w:szCs w:val="18"/>
        </w:rPr>
        <w:t>0.00%</w:t>
      </w:r>
      <w:r>
        <w:rPr>
          <w:rFonts w:ascii="宋体" w:eastAsia="宋体" w:hAnsi="宋体" w:cs="宋体" w:hint="eastAsia"/>
          <w:sz w:val="18"/>
          <w:szCs w:val="18"/>
        </w:rPr>
        <w:t>。最高成交价格</w:t>
      </w:r>
      <w:r>
        <w:rPr>
          <w:rFonts w:ascii="宋体" w:eastAsia="宋体" w:hAnsi="宋体" w:cs="宋体" w:hint="eastAsia"/>
          <w:sz w:val="18"/>
          <w:szCs w:val="18"/>
        </w:rPr>
        <w:t>3.15/</w:t>
      </w:r>
      <w:r>
        <w:rPr>
          <w:rFonts w:ascii="宋体" w:eastAsia="宋体" w:hAnsi="宋体" w:cs="宋体" w:hint="eastAsia"/>
          <w:sz w:val="18"/>
          <w:szCs w:val="18"/>
        </w:rPr>
        <w:t>股，最低成交价格</w:t>
      </w:r>
      <w:r>
        <w:rPr>
          <w:rFonts w:ascii="宋体" w:eastAsia="宋体" w:hAnsi="宋体" w:cs="宋体" w:hint="eastAsia"/>
          <w:sz w:val="18"/>
          <w:szCs w:val="18"/>
        </w:rPr>
        <w:t>3.13</w:t>
      </w:r>
      <w:r>
        <w:rPr>
          <w:rFonts w:ascii="宋体" w:eastAsia="宋体" w:hAnsi="宋体" w:cs="宋体" w:hint="eastAsia"/>
          <w:sz w:val="18"/>
          <w:szCs w:val="18"/>
        </w:rPr>
        <w:t>元</w:t>
      </w:r>
      <w:r>
        <w:rPr>
          <w:rFonts w:ascii="宋体" w:eastAsia="宋体" w:hAnsi="宋体" w:cs="宋体" w:hint="eastAsia"/>
          <w:sz w:val="18"/>
          <w:szCs w:val="18"/>
        </w:rPr>
        <w:t>/</w:t>
      </w:r>
      <w:r>
        <w:rPr>
          <w:rFonts w:ascii="宋体" w:eastAsia="宋体" w:hAnsi="宋体" w:cs="宋体" w:hint="eastAsia"/>
          <w:sz w:val="18"/>
          <w:szCs w:val="18"/>
        </w:rPr>
        <w:t>股，成交总金额为</w:t>
      </w:r>
      <w:r>
        <w:rPr>
          <w:rFonts w:ascii="宋体" w:eastAsia="宋体" w:hAnsi="宋体" w:cs="宋体" w:hint="eastAsia"/>
          <w:sz w:val="18"/>
          <w:szCs w:val="18"/>
        </w:rPr>
        <w:t>118,940</w:t>
      </w:r>
      <w:r>
        <w:rPr>
          <w:rFonts w:ascii="宋体" w:eastAsia="宋体" w:hAnsi="宋体" w:cs="宋体" w:hint="eastAsia"/>
          <w:sz w:val="18"/>
          <w:szCs w:val="18"/>
        </w:rPr>
        <w:t>元（不含手续费）。具体详见</w:t>
      </w:r>
      <w:r>
        <w:rPr>
          <w:rFonts w:ascii="宋体" w:eastAsia="宋体" w:hAnsi="宋体" w:cs="宋体" w:hint="eastAsia"/>
          <w:sz w:val="18"/>
          <w:szCs w:val="18"/>
        </w:rPr>
        <w:t>2023</w:t>
      </w:r>
      <w:r>
        <w:rPr>
          <w:rFonts w:ascii="宋体" w:eastAsia="宋体" w:hAnsi="宋体" w:cs="宋体" w:hint="eastAsia"/>
          <w:sz w:val="18"/>
          <w:szCs w:val="18"/>
        </w:rPr>
        <w:t>年</w:t>
      </w:r>
      <w:r>
        <w:rPr>
          <w:rFonts w:ascii="宋体" w:eastAsia="宋体" w:hAnsi="宋体" w:cs="宋体" w:hint="eastAsia"/>
          <w:sz w:val="18"/>
          <w:szCs w:val="18"/>
        </w:rPr>
        <w:t>3</w:t>
      </w:r>
      <w:r>
        <w:rPr>
          <w:rFonts w:ascii="宋体" w:eastAsia="宋体" w:hAnsi="宋体" w:cs="宋体" w:hint="eastAsia"/>
          <w:sz w:val="18"/>
          <w:szCs w:val="18"/>
        </w:rPr>
        <w:t>月</w:t>
      </w:r>
      <w:r>
        <w:rPr>
          <w:rFonts w:ascii="宋体" w:eastAsia="宋体" w:hAnsi="宋体" w:cs="宋体" w:hint="eastAsia"/>
          <w:sz w:val="18"/>
          <w:szCs w:val="18"/>
        </w:rPr>
        <w:t>21</w:t>
      </w:r>
      <w:r>
        <w:rPr>
          <w:rFonts w:ascii="宋体" w:eastAsia="宋体" w:hAnsi="宋体" w:cs="宋体" w:hint="eastAsia"/>
          <w:sz w:val="18"/>
          <w:szCs w:val="18"/>
        </w:rPr>
        <w:t>日公司于《中国证券报》、《证券时报》及巨</w:t>
      </w:r>
      <w:r>
        <w:rPr>
          <w:rFonts w:ascii="宋体" w:eastAsia="宋体" w:hAnsi="宋体" w:cs="宋体" w:hint="eastAsia"/>
          <w:sz w:val="18"/>
          <w:szCs w:val="18"/>
        </w:rPr>
        <w:t>潮资讯网（</w:t>
      </w:r>
      <w:hyperlink r:id="rId10" w:history="1">
        <w:r>
          <w:rPr>
            <w:rFonts w:ascii="宋体" w:eastAsia="宋体" w:hAnsi="宋体" w:cs="宋体" w:hint="eastAsia"/>
            <w:sz w:val="18"/>
            <w:szCs w:val="18"/>
          </w:rPr>
          <w:t>www.cninfo.com.cn</w:t>
        </w:r>
      </w:hyperlink>
      <w:r>
        <w:rPr>
          <w:rFonts w:ascii="宋体" w:eastAsia="宋体" w:hAnsi="宋体" w:cs="宋体" w:hint="eastAsia"/>
          <w:sz w:val="18"/>
          <w:szCs w:val="18"/>
        </w:rPr>
        <w:t>）披露的《关于</w:t>
      </w:r>
      <w:r>
        <w:rPr>
          <w:rFonts w:ascii="宋体" w:eastAsia="宋体" w:hAnsi="宋体" w:cs="宋体" w:hint="eastAsia"/>
          <w:sz w:val="18"/>
          <w:szCs w:val="18"/>
        </w:rPr>
        <w:t>2023</w:t>
      </w:r>
      <w:r>
        <w:rPr>
          <w:rFonts w:ascii="宋体" w:eastAsia="宋体" w:hAnsi="宋体" w:cs="宋体" w:hint="eastAsia"/>
          <w:sz w:val="18"/>
          <w:szCs w:val="18"/>
        </w:rPr>
        <w:t>年回购公司股份方案首次回购的公告》（</w:t>
      </w:r>
      <w:r>
        <w:rPr>
          <w:rFonts w:ascii="宋体" w:eastAsia="宋体" w:hAnsi="宋体" w:cs="宋体" w:hint="eastAsia"/>
          <w:sz w:val="18"/>
          <w:szCs w:val="18"/>
        </w:rPr>
        <w:t>2023-11</w:t>
      </w:r>
      <w:r>
        <w:rPr>
          <w:rFonts w:ascii="宋体" w:eastAsia="宋体" w:hAnsi="宋体" w:cs="宋体" w:hint="eastAsia"/>
          <w:sz w:val="18"/>
          <w:szCs w:val="18"/>
        </w:rPr>
        <w:t>）。</w:t>
      </w:r>
    </w:p>
    <w:p w:rsidR="00A067C6" w:rsidRDefault="005C4966">
      <w:pPr>
        <w:spacing w:line="240" w:lineRule="exact"/>
        <w:ind w:firstLineChars="200" w:firstLine="360"/>
        <w:jc w:val="both"/>
        <w:rPr>
          <w:rFonts w:ascii="宋体" w:eastAsia="宋体" w:hAnsi="宋体" w:cs="宋体"/>
          <w:sz w:val="18"/>
          <w:szCs w:val="18"/>
        </w:rPr>
      </w:pPr>
      <w:r>
        <w:rPr>
          <w:rFonts w:ascii="宋体" w:eastAsia="宋体" w:hAnsi="宋体" w:cs="宋体" w:hint="eastAsia"/>
          <w:sz w:val="18"/>
          <w:szCs w:val="18"/>
        </w:rPr>
        <w:t>3</w:t>
      </w:r>
      <w:r>
        <w:rPr>
          <w:rFonts w:ascii="宋体" w:eastAsia="宋体" w:hAnsi="宋体" w:cs="宋体" w:hint="eastAsia"/>
          <w:sz w:val="18"/>
          <w:szCs w:val="18"/>
        </w:rPr>
        <w:t>、根据《深圳证券交易所上市公司自律监管指引第</w:t>
      </w:r>
      <w:r>
        <w:rPr>
          <w:rFonts w:ascii="宋体" w:eastAsia="宋体" w:hAnsi="宋体" w:cs="宋体" w:hint="eastAsia"/>
          <w:sz w:val="18"/>
          <w:szCs w:val="18"/>
        </w:rPr>
        <w:t>9</w:t>
      </w:r>
      <w:r>
        <w:rPr>
          <w:rFonts w:ascii="宋体" w:eastAsia="宋体" w:hAnsi="宋体" w:cs="宋体" w:hint="eastAsia"/>
          <w:sz w:val="18"/>
          <w:szCs w:val="18"/>
        </w:rPr>
        <w:t>号——回购股份》等法律法规、规范性文件的有关规定，公司应当在每个月的前三</w:t>
      </w:r>
      <w:r>
        <w:rPr>
          <w:rFonts w:ascii="宋体" w:eastAsia="宋体" w:hAnsi="宋体" w:cs="宋体" w:hint="eastAsia"/>
          <w:sz w:val="18"/>
          <w:szCs w:val="18"/>
        </w:rPr>
        <w:t>个交易日内披露截至上月末的回购进展情况，公司回购股份进展具体详见公司分别于</w:t>
      </w:r>
      <w:r>
        <w:rPr>
          <w:rFonts w:ascii="宋体" w:eastAsia="宋体" w:hAnsi="宋体" w:cs="宋体" w:hint="eastAsia"/>
          <w:sz w:val="18"/>
          <w:szCs w:val="18"/>
        </w:rPr>
        <w:t>2023</w:t>
      </w:r>
      <w:r>
        <w:rPr>
          <w:rFonts w:ascii="宋体" w:eastAsia="宋体" w:hAnsi="宋体" w:cs="宋体" w:hint="eastAsia"/>
          <w:sz w:val="18"/>
          <w:szCs w:val="18"/>
        </w:rPr>
        <w:t>年</w:t>
      </w:r>
      <w:r>
        <w:rPr>
          <w:rFonts w:ascii="宋体" w:eastAsia="宋体" w:hAnsi="宋体" w:cs="宋体" w:hint="eastAsia"/>
          <w:sz w:val="18"/>
          <w:szCs w:val="18"/>
        </w:rPr>
        <w:t>4</w:t>
      </w:r>
      <w:r>
        <w:rPr>
          <w:rFonts w:ascii="宋体" w:eastAsia="宋体" w:hAnsi="宋体" w:cs="宋体" w:hint="eastAsia"/>
          <w:sz w:val="18"/>
          <w:szCs w:val="18"/>
        </w:rPr>
        <w:t>月</w:t>
      </w:r>
      <w:r>
        <w:rPr>
          <w:rFonts w:ascii="宋体" w:eastAsia="宋体" w:hAnsi="宋体" w:cs="宋体" w:hint="eastAsia"/>
          <w:sz w:val="18"/>
          <w:szCs w:val="18"/>
        </w:rPr>
        <w:t>6</w:t>
      </w:r>
      <w:r>
        <w:rPr>
          <w:rFonts w:ascii="宋体" w:eastAsia="宋体" w:hAnsi="宋体" w:cs="宋体" w:hint="eastAsia"/>
          <w:sz w:val="18"/>
          <w:szCs w:val="18"/>
        </w:rPr>
        <w:t>日、</w:t>
      </w:r>
      <w:r>
        <w:rPr>
          <w:rFonts w:ascii="宋体" w:eastAsia="宋体" w:hAnsi="宋体" w:cs="宋体" w:hint="eastAsia"/>
          <w:sz w:val="18"/>
          <w:szCs w:val="18"/>
        </w:rPr>
        <w:t>2023</w:t>
      </w:r>
      <w:r>
        <w:rPr>
          <w:rFonts w:ascii="宋体" w:eastAsia="宋体" w:hAnsi="宋体" w:cs="宋体" w:hint="eastAsia"/>
          <w:sz w:val="18"/>
          <w:szCs w:val="18"/>
        </w:rPr>
        <w:t>年</w:t>
      </w:r>
      <w:r>
        <w:rPr>
          <w:rFonts w:ascii="宋体" w:eastAsia="宋体" w:hAnsi="宋体" w:cs="宋体" w:hint="eastAsia"/>
          <w:sz w:val="18"/>
          <w:szCs w:val="18"/>
        </w:rPr>
        <w:t>5</w:t>
      </w:r>
      <w:r>
        <w:rPr>
          <w:rFonts w:ascii="宋体" w:eastAsia="宋体" w:hAnsi="宋体" w:cs="宋体" w:hint="eastAsia"/>
          <w:sz w:val="18"/>
          <w:szCs w:val="18"/>
        </w:rPr>
        <w:t>月</w:t>
      </w:r>
      <w:r>
        <w:rPr>
          <w:rFonts w:ascii="宋体" w:eastAsia="宋体" w:hAnsi="宋体" w:cs="宋体" w:hint="eastAsia"/>
          <w:sz w:val="18"/>
          <w:szCs w:val="18"/>
        </w:rPr>
        <w:t>6</w:t>
      </w:r>
      <w:r>
        <w:rPr>
          <w:rFonts w:ascii="宋体" w:eastAsia="宋体" w:hAnsi="宋体" w:cs="宋体" w:hint="eastAsia"/>
          <w:sz w:val="18"/>
          <w:szCs w:val="18"/>
        </w:rPr>
        <w:t>日、</w:t>
      </w:r>
      <w:r>
        <w:rPr>
          <w:rFonts w:ascii="宋体" w:eastAsia="宋体" w:hAnsi="宋体" w:cs="宋体" w:hint="eastAsia"/>
          <w:sz w:val="18"/>
          <w:szCs w:val="18"/>
        </w:rPr>
        <w:t>2023</w:t>
      </w:r>
      <w:r>
        <w:rPr>
          <w:rFonts w:ascii="宋体" w:eastAsia="宋体" w:hAnsi="宋体" w:cs="宋体" w:hint="eastAsia"/>
          <w:sz w:val="18"/>
          <w:szCs w:val="18"/>
        </w:rPr>
        <w:t>年</w:t>
      </w:r>
      <w:r>
        <w:rPr>
          <w:rFonts w:ascii="宋体" w:eastAsia="宋体" w:hAnsi="宋体" w:cs="宋体" w:hint="eastAsia"/>
          <w:sz w:val="18"/>
          <w:szCs w:val="18"/>
        </w:rPr>
        <w:t>6</w:t>
      </w:r>
      <w:r>
        <w:rPr>
          <w:rFonts w:ascii="宋体" w:eastAsia="宋体" w:hAnsi="宋体" w:cs="宋体" w:hint="eastAsia"/>
          <w:sz w:val="18"/>
          <w:szCs w:val="18"/>
        </w:rPr>
        <w:t>月</w:t>
      </w:r>
      <w:r>
        <w:rPr>
          <w:rFonts w:ascii="宋体" w:eastAsia="宋体" w:hAnsi="宋体" w:cs="宋体" w:hint="eastAsia"/>
          <w:sz w:val="18"/>
          <w:szCs w:val="18"/>
        </w:rPr>
        <w:t>2</w:t>
      </w:r>
      <w:r>
        <w:rPr>
          <w:rFonts w:ascii="宋体" w:eastAsia="宋体" w:hAnsi="宋体" w:cs="宋体" w:hint="eastAsia"/>
          <w:sz w:val="18"/>
          <w:szCs w:val="18"/>
        </w:rPr>
        <w:t>日披露的《关于</w:t>
      </w:r>
      <w:r>
        <w:rPr>
          <w:rFonts w:ascii="宋体" w:eastAsia="宋体" w:hAnsi="宋体" w:cs="宋体" w:hint="eastAsia"/>
          <w:sz w:val="18"/>
          <w:szCs w:val="18"/>
        </w:rPr>
        <w:t>2023</w:t>
      </w:r>
      <w:r>
        <w:rPr>
          <w:rFonts w:ascii="宋体" w:eastAsia="宋体" w:hAnsi="宋体" w:cs="宋体" w:hint="eastAsia"/>
          <w:sz w:val="18"/>
          <w:szCs w:val="18"/>
        </w:rPr>
        <w:t>年回购公司股份进展的公告》。</w:t>
      </w:r>
    </w:p>
    <w:p w:rsidR="00A067C6" w:rsidRDefault="005C4966">
      <w:pPr>
        <w:spacing w:line="240" w:lineRule="exact"/>
        <w:ind w:firstLineChars="200" w:firstLine="360"/>
        <w:jc w:val="both"/>
        <w:rPr>
          <w:rFonts w:ascii="宋体" w:eastAsia="宋体" w:hAnsi="宋体" w:cs="宋体"/>
          <w:sz w:val="18"/>
          <w:szCs w:val="18"/>
        </w:rPr>
      </w:pPr>
      <w:r>
        <w:rPr>
          <w:rFonts w:ascii="宋体" w:eastAsia="宋体" w:hAnsi="宋体" w:cs="宋体" w:hint="eastAsia"/>
          <w:sz w:val="18"/>
          <w:szCs w:val="18"/>
        </w:rPr>
        <w:t>4</w:t>
      </w:r>
      <w:r>
        <w:rPr>
          <w:rFonts w:ascii="宋体" w:eastAsia="宋体" w:hAnsi="宋体" w:cs="宋体" w:hint="eastAsia"/>
          <w:sz w:val="18"/>
          <w:szCs w:val="18"/>
        </w:rPr>
        <w:t>、截至</w:t>
      </w:r>
      <w:r>
        <w:rPr>
          <w:rFonts w:ascii="宋体" w:eastAsia="宋体" w:hAnsi="宋体" w:cs="宋体" w:hint="eastAsia"/>
          <w:sz w:val="18"/>
          <w:szCs w:val="18"/>
        </w:rPr>
        <w:t>2023</w:t>
      </w:r>
      <w:r>
        <w:rPr>
          <w:rFonts w:ascii="宋体" w:eastAsia="宋体" w:hAnsi="宋体" w:cs="宋体" w:hint="eastAsia"/>
          <w:sz w:val="18"/>
          <w:szCs w:val="18"/>
        </w:rPr>
        <w:t>年</w:t>
      </w:r>
      <w:r>
        <w:rPr>
          <w:rFonts w:ascii="宋体" w:eastAsia="宋体" w:hAnsi="宋体" w:cs="宋体" w:hint="eastAsia"/>
          <w:sz w:val="18"/>
          <w:szCs w:val="18"/>
        </w:rPr>
        <w:t>6</w:t>
      </w:r>
      <w:r>
        <w:rPr>
          <w:rFonts w:ascii="宋体" w:eastAsia="宋体" w:hAnsi="宋体" w:cs="宋体" w:hint="eastAsia"/>
          <w:sz w:val="18"/>
          <w:szCs w:val="18"/>
        </w:rPr>
        <w:t>月</w:t>
      </w:r>
      <w:r>
        <w:rPr>
          <w:rFonts w:ascii="宋体" w:eastAsia="宋体" w:hAnsi="宋体" w:cs="宋体" w:hint="eastAsia"/>
          <w:sz w:val="18"/>
          <w:szCs w:val="18"/>
        </w:rPr>
        <w:t>6</w:t>
      </w:r>
      <w:r>
        <w:rPr>
          <w:rFonts w:ascii="宋体" w:eastAsia="宋体" w:hAnsi="宋体" w:cs="宋体" w:hint="eastAsia"/>
          <w:sz w:val="18"/>
          <w:szCs w:val="18"/>
        </w:rPr>
        <w:t>日，公司回购股份比例达到公司已发行总股数的</w:t>
      </w:r>
      <w:r>
        <w:rPr>
          <w:rFonts w:ascii="宋体" w:eastAsia="宋体" w:hAnsi="宋体" w:cs="宋体" w:hint="eastAsia"/>
          <w:sz w:val="18"/>
          <w:szCs w:val="18"/>
        </w:rPr>
        <w:t>1.04%</w:t>
      </w:r>
      <w:r>
        <w:rPr>
          <w:rFonts w:ascii="宋体" w:eastAsia="宋体" w:hAnsi="宋体" w:cs="宋体" w:hint="eastAsia"/>
          <w:sz w:val="18"/>
          <w:szCs w:val="18"/>
        </w:rPr>
        <w:t>，根据《深圳证券交易所上市公司自律监管指引第</w:t>
      </w:r>
      <w:r>
        <w:rPr>
          <w:rFonts w:ascii="宋体" w:eastAsia="宋体" w:hAnsi="宋体" w:cs="宋体" w:hint="eastAsia"/>
          <w:sz w:val="18"/>
          <w:szCs w:val="18"/>
        </w:rPr>
        <w:t>9</w:t>
      </w:r>
      <w:r>
        <w:rPr>
          <w:rFonts w:ascii="宋体" w:eastAsia="宋体" w:hAnsi="宋体" w:cs="宋体" w:hint="eastAsia"/>
          <w:sz w:val="18"/>
          <w:szCs w:val="18"/>
        </w:rPr>
        <w:t>号——回购股份》等法律法规、规范性文件的有关规定，回购股份占上市公司总股本的比例每增加</w:t>
      </w:r>
      <w:r>
        <w:rPr>
          <w:rFonts w:ascii="宋体" w:eastAsia="宋体" w:hAnsi="宋体" w:cs="宋体" w:hint="eastAsia"/>
          <w:sz w:val="18"/>
          <w:szCs w:val="18"/>
        </w:rPr>
        <w:t>1%</w:t>
      </w:r>
      <w:r>
        <w:rPr>
          <w:rFonts w:ascii="宋体" w:eastAsia="宋体" w:hAnsi="宋体" w:cs="宋体" w:hint="eastAsia"/>
          <w:sz w:val="18"/>
          <w:szCs w:val="18"/>
        </w:rPr>
        <w:t>，应当在事实发生之日起</w:t>
      </w:r>
      <w:r>
        <w:rPr>
          <w:rFonts w:ascii="宋体" w:eastAsia="宋体" w:hAnsi="宋体" w:cs="宋体" w:hint="eastAsia"/>
          <w:sz w:val="18"/>
          <w:szCs w:val="18"/>
        </w:rPr>
        <w:t>3</w:t>
      </w:r>
      <w:r>
        <w:rPr>
          <w:rFonts w:ascii="宋体" w:eastAsia="宋体" w:hAnsi="宋体" w:cs="宋体" w:hint="eastAsia"/>
          <w:sz w:val="18"/>
          <w:szCs w:val="18"/>
        </w:rPr>
        <w:t>日内予以披露。具体详见公司于</w:t>
      </w:r>
      <w:r>
        <w:rPr>
          <w:rFonts w:ascii="宋体" w:eastAsia="宋体" w:hAnsi="宋体" w:cs="宋体" w:hint="eastAsia"/>
          <w:sz w:val="18"/>
          <w:szCs w:val="18"/>
        </w:rPr>
        <w:t>2023</w:t>
      </w:r>
      <w:r>
        <w:rPr>
          <w:rFonts w:ascii="宋体" w:eastAsia="宋体" w:hAnsi="宋体" w:cs="宋体" w:hint="eastAsia"/>
          <w:sz w:val="18"/>
          <w:szCs w:val="18"/>
        </w:rPr>
        <w:t>年</w:t>
      </w:r>
      <w:r>
        <w:rPr>
          <w:rFonts w:ascii="宋体" w:eastAsia="宋体" w:hAnsi="宋体" w:cs="宋体" w:hint="eastAsia"/>
          <w:sz w:val="18"/>
          <w:szCs w:val="18"/>
        </w:rPr>
        <w:t>6</w:t>
      </w:r>
      <w:r>
        <w:rPr>
          <w:rFonts w:ascii="宋体" w:eastAsia="宋体" w:hAnsi="宋体" w:cs="宋体" w:hint="eastAsia"/>
          <w:sz w:val="18"/>
          <w:szCs w:val="18"/>
        </w:rPr>
        <w:t>月</w:t>
      </w:r>
      <w:r>
        <w:rPr>
          <w:rFonts w:ascii="宋体" w:eastAsia="宋体" w:hAnsi="宋体" w:cs="宋体" w:hint="eastAsia"/>
          <w:sz w:val="18"/>
          <w:szCs w:val="18"/>
        </w:rPr>
        <w:t>7</w:t>
      </w:r>
      <w:r>
        <w:rPr>
          <w:rFonts w:ascii="宋体" w:eastAsia="宋体" w:hAnsi="宋体" w:cs="宋体" w:hint="eastAsia"/>
          <w:sz w:val="18"/>
          <w:szCs w:val="18"/>
        </w:rPr>
        <w:t>日披露的《关于</w:t>
      </w:r>
      <w:r>
        <w:rPr>
          <w:rFonts w:ascii="宋体" w:eastAsia="宋体" w:hAnsi="宋体" w:cs="宋体" w:hint="eastAsia"/>
          <w:sz w:val="18"/>
          <w:szCs w:val="18"/>
        </w:rPr>
        <w:t>2023</w:t>
      </w:r>
      <w:r>
        <w:rPr>
          <w:rFonts w:ascii="宋体" w:eastAsia="宋体" w:hAnsi="宋体" w:cs="宋体" w:hint="eastAsia"/>
          <w:sz w:val="18"/>
          <w:szCs w:val="18"/>
        </w:rPr>
        <w:t>年回购公司股份比例达到</w:t>
      </w:r>
      <w:r>
        <w:rPr>
          <w:rFonts w:ascii="宋体" w:eastAsia="宋体" w:hAnsi="宋体" w:cs="宋体" w:hint="eastAsia"/>
          <w:sz w:val="18"/>
          <w:szCs w:val="18"/>
        </w:rPr>
        <w:t>1%</w:t>
      </w:r>
      <w:r>
        <w:rPr>
          <w:rFonts w:ascii="宋体" w:eastAsia="宋体" w:hAnsi="宋体" w:cs="宋体" w:hint="eastAsia"/>
          <w:sz w:val="18"/>
          <w:szCs w:val="18"/>
        </w:rPr>
        <w:t>暨</w:t>
      </w:r>
      <w:r>
        <w:rPr>
          <w:rFonts w:ascii="宋体" w:eastAsia="宋体" w:hAnsi="宋体" w:cs="宋体" w:hint="eastAsia"/>
          <w:sz w:val="18"/>
          <w:szCs w:val="18"/>
        </w:rPr>
        <w:t>回购股份进展公告》（</w:t>
      </w:r>
      <w:r>
        <w:rPr>
          <w:rFonts w:ascii="宋体" w:eastAsia="宋体" w:hAnsi="宋体" w:cs="宋体" w:hint="eastAsia"/>
          <w:sz w:val="18"/>
          <w:szCs w:val="18"/>
        </w:rPr>
        <w:t>2023-32</w:t>
      </w:r>
      <w:r>
        <w:rPr>
          <w:rFonts w:ascii="宋体" w:eastAsia="宋体" w:hAnsi="宋体" w:cs="宋体" w:hint="eastAsia"/>
          <w:sz w:val="18"/>
          <w:szCs w:val="18"/>
        </w:rPr>
        <w:t>）。</w:t>
      </w:r>
    </w:p>
    <w:p w:rsidR="00A067C6" w:rsidRDefault="005C4966">
      <w:pPr>
        <w:spacing w:line="240" w:lineRule="exact"/>
        <w:ind w:firstLineChars="200" w:firstLine="360"/>
        <w:jc w:val="both"/>
        <w:rPr>
          <w:rFonts w:ascii="宋体" w:eastAsia="宋体" w:hAnsi="宋体" w:cs="宋体"/>
          <w:sz w:val="18"/>
          <w:szCs w:val="18"/>
        </w:rPr>
      </w:pPr>
      <w:r>
        <w:rPr>
          <w:rFonts w:ascii="宋体" w:eastAsia="宋体" w:hAnsi="宋体" w:cs="宋体" w:hint="eastAsia"/>
          <w:sz w:val="18"/>
          <w:szCs w:val="18"/>
        </w:rPr>
        <w:t>5</w:t>
      </w:r>
      <w:r>
        <w:rPr>
          <w:rFonts w:ascii="宋体" w:eastAsia="宋体" w:hAnsi="宋体" w:cs="宋体" w:hint="eastAsia"/>
          <w:sz w:val="18"/>
          <w:szCs w:val="18"/>
        </w:rPr>
        <w:t>、截至</w:t>
      </w:r>
      <w:r>
        <w:rPr>
          <w:rFonts w:ascii="宋体" w:eastAsia="宋体" w:hAnsi="宋体" w:cs="宋体" w:hint="eastAsia"/>
          <w:sz w:val="18"/>
          <w:szCs w:val="18"/>
        </w:rPr>
        <w:t>2023</w:t>
      </w:r>
      <w:r>
        <w:rPr>
          <w:rFonts w:ascii="宋体" w:eastAsia="宋体" w:hAnsi="宋体" w:cs="宋体" w:hint="eastAsia"/>
          <w:sz w:val="18"/>
          <w:szCs w:val="18"/>
        </w:rPr>
        <w:t>年</w:t>
      </w:r>
      <w:r>
        <w:rPr>
          <w:rFonts w:ascii="宋体" w:eastAsia="宋体" w:hAnsi="宋体" w:cs="宋体" w:hint="eastAsia"/>
          <w:sz w:val="18"/>
          <w:szCs w:val="18"/>
        </w:rPr>
        <w:t>6</w:t>
      </w:r>
      <w:r>
        <w:rPr>
          <w:rFonts w:ascii="宋体" w:eastAsia="宋体" w:hAnsi="宋体" w:cs="宋体" w:hint="eastAsia"/>
          <w:sz w:val="18"/>
          <w:szCs w:val="18"/>
        </w:rPr>
        <w:t>月</w:t>
      </w:r>
      <w:r>
        <w:rPr>
          <w:rFonts w:ascii="宋体" w:eastAsia="宋体" w:hAnsi="宋体" w:cs="宋体" w:hint="eastAsia"/>
          <w:sz w:val="18"/>
          <w:szCs w:val="18"/>
        </w:rPr>
        <w:t>16</w:t>
      </w:r>
      <w:r>
        <w:rPr>
          <w:rFonts w:ascii="宋体" w:eastAsia="宋体" w:hAnsi="宋体" w:cs="宋体" w:hint="eastAsia"/>
          <w:sz w:val="18"/>
          <w:szCs w:val="18"/>
        </w:rPr>
        <w:t>日，公司本次股份回购已完成。在回购期间，公司通过股份回购专用证券账户以集中竞价交易方式累计回购公司股票</w:t>
      </w:r>
      <w:r>
        <w:rPr>
          <w:rFonts w:ascii="宋体" w:eastAsia="宋体" w:hAnsi="宋体" w:cs="宋体" w:hint="eastAsia"/>
          <w:sz w:val="18"/>
          <w:szCs w:val="18"/>
        </w:rPr>
        <w:t>31,275,314</w:t>
      </w:r>
      <w:r>
        <w:rPr>
          <w:rFonts w:ascii="宋体" w:eastAsia="宋体" w:hAnsi="宋体" w:cs="宋体" w:hint="eastAsia"/>
          <w:sz w:val="18"/>
          <w:szCs w:val="18"/>
        </w:rPr>
        <w:t>股，占公司总股本的</w:t>
      </w:r>
      <w:r>
        <w:rPr>
          <w:rFonts w:ascii="宋体" w:eastAsia="宋体" w:hAnsi="宋体" w:cs="宋体" w:hint="eastAsia"/>
          <w:sz w:val="18"/>
          <w:szCs w:val="18"/>
        </w:rPr>
        <w:t>1.84%</w:t>
      </w:r>
      <w:r>
        <w:rPr>
          <w:rFonts w:ascii="宋体" w:eastAsia="宋体" w:hAnsi="宋体" w:cs="宋体" w:hint="eastAsia"/>
          <w:sz w:val="18"/>
          <w:szCs w:val="18"/>
        </w:rPr>
        <w:t>（以公司截止</w:t>
      </w:r>
      <w:r>
        <w:rPr>
          <w:rFonts w:ascii="宋体" w:eastAsia="宋体" w:hAnsi="宋体" w:cs="宋体" w:hint="eastAsia"/>
          <w:sz w:val="18"/>
          <w:szCs w:val="18"/>
        </w:rPr>
        <w:t>2023</w:t>
      </w:r>
      <w:r>
        <w:rPr>
          <w:rFonts w:ascii="宋体" w:eastAsia="宋体" w:hAnsi="宋体" w:cs="宋体" w:hint="eastAsia"/>
          <w:sz w:val="18"/>
          <w:szCs w:val="18"/>
        </w:rPr>
        <w:t>年</w:t>
      </w:r>
      <w:r>
        <w:rPr>
          <w:rFonts w:ascii="宋体" w:eastAsia="宋体" w:hAnsi="宋体" w:cs="宋体" w:hint="eastAsia"/>
          <w:sz w:val="18"/>
          <w:szCs w:val="18"/>
        </w:rPr>
        <w:t>6</w:t>
      </w:r>
      <w:r>
        <w:rPr>
          <w:rFonts w:ascii="宋体" w:eastAsia="宋体" w:hAnsi="宋体" w:cs="宋体" w:hint="eastAsia"/>
          <w:sz w:val="18"/>
          <w:szCs w:val="18"/>
        </w:rPr>
        <w:t>月</w:t>
      </w:r>
      <w:r>
        <w:rPr>
          <w:rFonts w:ascii="宋体" w:eastAsia="宋体" w:hAnsi="宋体" w:cs="宋体" w:hint="eastAsia"/>
          <w:sz w:val="18"/>
          <w:szCs w:val="18"/>
        </w:rPr>
        <w:t>16</w:t>
      </w:r>
      <w:r>
        <w:rPr>
          <w:rFonts w:ascii="宋体" w:eastAsia="宋体" w:hAnsi="宋体" w:cs="宋体" w:hint="eastAsia"/>
          <w:sz w:val="18"/>
          <w:szCs w:val="18"/>
        </w:rPr>
        <w:t>日总股本</w:t>
      </w:r>
      <w:r>
        <w:rPr>
          <w:rFonts w:ascii="宋体" w:eastAsia="宋体" w:hAnsi="宋体" w:cs="宋体" w:hint="eastAsia"/>
          <w:sz w:val="18"/>
          <w:szCs w:val="18"/>
        </w:rPr>
        <w:t>1,700,681,355</w:t>
      </w:r>
      <w:r>
        <w:rPr>
          <w:rFonts w:ascii="宋体" w:eastAsia="宋体" w:hAnsi="宋体" w:cs="宋体" w:hint="eastAsia"/>
          <w:sz w:val="18"/>
          <w:szCs w:val="18"/>
        </w:rPr>
        <w:t>股为基准），实际回购期间为</w:t>
      </w:r>
      <w:r>
        <w:rPr>
          <w:rFonts w:ascii="宋体" w:eastAsia="宋体" w:hAnsi="宋体" w:cs="宋体" w:hint="eastAsia"/>
          <w:sz w:val="18"/>
          <w:szCs w:val="18"/>
        </w:rPr>
        <w:t>2023</w:t>
      </w:r>
      <w:r>
        <w:rPr>
          <w:rFonts w:ascii="宋体" w:eastAsia="宋体" w:hAnsi="宋体" w:cs="宋体" w:hint="eastAsia"/>
          <w:sz w:val="18"/>
          <w:szCs w:val="18"/>
        </w:rPr>
        <w:t>年</w:t>
      </w:r>
      <w:r>
        <w:rPr>
          <w:rFonts w:ascii="宋体" w:eastAsia="宋体" w:hAnsi="宋体" w:cs="宋体" w:hint="eastAsia"/>
          <w:sz w:val="18"/>
          <w:szCs w:val="18"/>
        </w:rPr>
        <w:t>3</w:t>
      </w:r>
      <w:r>
        <w:rPr>
          <w:rFonts w:ascii="宋体" w:eastAsia="宋体" w:hAnsi="宋体" w:cs="宋体" w:hint="eastAsia"/>
          <w:sz w:val="18"/>
          <w:szCs w:val="18"/>
        </w:rPr>
        <w:t>月</w:t>
      </w:r>
      <w:r>
        <w:rPr>
          <w:rFonts w:ascii="宋体" w:eastAsia="宋体" w:hAnsi="宋体" w:cs="宋体" w:hint="eastAsia"/>
          <w:sz w:val="18"/>
          <w:szCs w:val="18"/>
        </w:rPr>
        <w:t>20</w:t>
      </w:r>
      <w:r>
        <w:rPr>
          <w:rFonts w:ascii="宋体" w:eastAsia="宋体" w:hAnsi="宋体" w:cs="宋体" w:hint="eastAsia"/>
          <w:sz w:val="18"/>
          <w:szCs w:val="18"/>
        </w:rPr>
        <w:t>日至</w:t>
      </w:r>
      <w:r>
        <w:rPr>
          <w:rFonts w:ascii="宋体" w:eastAsia="宋体" w:hAnsi="宋体" w:cs="宋体" w:hint="eastAsia"/>
          <w:sz w:val="18"/>
          <w:szCs w:val="18"/>
        </w:rPr>
        <w:t>2023</w:t>
      </w:r>
      <w:r>
        <w:rPr>
          <w:rFonts w:ascii="宋体" w:eastAsia="宋体" w:hAnsi="宋体" w:cs="宋体" w:hint="eastAsia"/>
          <w:sz w:val="18"/>
          <w:szCs w:val="18"/>
        </w:rPr>
        <w:t>年</w:t>
      </w:r>
      <w:r>
        <w:rPr>
          <w:rFonts w:ascii="宋体" w:eastAsia="宋体" w:hAnsi="宋体" w:cs="宋体" w:hint="eastAsia"/>
          <w:sz w:val="18"/>
          <w:szCs w:val="18"/>
        </w:rPr>
        <w:t>6</w:t>
      </w:r>
      <w:r>
        <w:rPr>
          <w:rFonts w:ascii="宋体" w:eastAsia="宋体" w:hAnsi="宋体" w:cs="宋体" w:hint="eastAsia"/>
          <w:sz w:val="18"/>
          <w:szCs w:val="18"/>
        </w:rPr>
        <w:t>月</w:t>
      </w:r>
      <w:r>
        <w:rPr>
          <w:rFonts w:ascii="宋体" w:eastAsia="宋体" w:hAnsi="宋体" w:cs="宋体" w:hint="eastAsia"/>
          <w:sz w:val="18"/>
          <w:szCs w:val="18"/>
        </w:rPr>
        <w:t>16</w:t>
      </w:r>
      <w:r>
        <w:rPr>
          <w:rFonts w:ascii="宋体" w:eastAsia="宋体" w:hAnsi="宋体" w:cs="宋体" w:hint="eastAsia"/>
          <w:sz w:val="18"/>
          <w:szCs w:val="18"/>
        </w:rPr>
        <w:t>日，其中最高成交价为</w:t>
      </w:r>
      <w:r>
        <w:rPr>
          <w:rFonts w:ascii="宋体" w:eastAsia="宋体" w:hAnsi="宋体" w:cs="宋体" w:hint="eastAsia"/>
          <w:sz w:val="18"/>
          <w:szCs w:val="18"/>
        </w:rPr>
        <w:t>3.28</w:t>
      </w:r>
      <w:r>
        <w:rPr>
          <w:rFonts w:ascii="宋体" w:eastAsia="宋体" w:hAnsi="宋体" w:cs="宋体" w:hint="eastAsia"/>
          <w:sz w:val="18"/>
          <w:szCs w:val="18"/>
        </w:rPr>
        <w:t>元</w:t>
      </w:r>
      <w:r>
        <w:rPr>
          <w:rFonts w:ascii="宋体" w:eastAsia="宋体" w:hAnsi="宋体" w:cs="宋体" w:hint="eastAsia"/>
          <w:sz w:val="18"/>
          <w:szCs w:val="18"/>
        </w:rPr>
        <w:t>/</w:t>
      </w:r>
      <w:r>
        <w:rPr>
          <w:rFonts w:ascii="宋体" w:eastAsia="宋体" w:hAnsi="宋体" w:cs="宋体" w:hint="eastAsia"/>
          <w:sz w:val="18"/>
          <w:szCs w:val="18"/>
        </w:rPr>
        <w:t>股，最低成交价为</w:t>
      </w:r>
      <w:r>
        <w:rPr>
          <w:rFonts w:ascii="宋体" w:eastAsia="宋体" w:hAnsi="宋体" w:cs="宋体" w:hint="eastAsia"/>
          <w:sz w:val="18"/>
          <w:szCs w:val="18"/>
        </w:rPr>
        <w:t>3.12</w:t>
      </w:r>
      <w:r>
        <w:rPr>
          <w:rFonts w:ascii="宋体" w:eastAsia="宋体" w:hAnsi="宋体" w:cs="宋体" w:hint="eastAsia"/>
          <w:sz w:val="18"/>
          <w:szCs w:val="18"/>
        </w:rPr>
        <w:t>元</w:t>
      </w:r>
      <w:r>
        <w:rPr>
          <w:rFonts w:ascii="宋体" w:eastAsia="宋体" w:hAnsi="宋体" w:cs="宋体" w:hint="eastAsia"/>
          <w:sz w:val="18"/>
          <w:szCs w:val="18"/>
        </w:rPr>
        <w:t>/</w:t>
      </w:r>
      <w:r>
        <w:rPr>
          <w:rFonts w:ascii="宋体" w:eastAsia="宋体" w:hAnsi="宋体" w:cs="宋体" w:hint="eastAsia"/>
          <w:sz w:val="18"/>
          <w:szCs w:val="18"/>
        </w:rPr>
        <w:t>股，成交总金额为人民</w:t>
      </w:r>
      <w:r>
        <w:rPr>
          <w:rFonts w:ascii="宋体" w:eastAsia="宋体" w:hAnsi="宋体" w:cs="宋体" w:hint="eastAsia"/>
          <w:sz w:val="18"/>
          <w:szCs w:val="18"/>
        </w:rPr>
        <w:t>100,128,238.70</w:t>
      </w:r>
      <w:r>
        <w:rPr>
          <w:rFonts w:ascii="宋体" w:eastAsia="宋体" w:hAnsi="宋体" w:cs="宋体" w:hint="eastAsia"/>
          <w:sz w:val="18"/>
          <w:szCs w:val="18"/>
        </w:rPr>
        <w:t>元（不含交易费用）。具体详见公司于</w:t>
      </w:r>
      <w:r>
        <w:rPr>
          <w:rFonts w:ascii="宋体" w:eastAsia="宋体" w:hAnsi="宋体" w:cs="宋体" w:hint="eastAsia"/>
          <w:sz w:val="18"/>
          <w:szCs w:val="18"/>
        </w:rPr>
        <w:t>2023</w:t>
      </w:r>
      <w:r>
        <w:rPr>
          <w:rFonts w:ascii="宋体" w:eastAsia="宋体" w:hAnsi="宋体" w:cs="宋体" w:hint="eastAsia"/>
          <w:sz w:val="18"/>
          <w:szCs w:val="18"/>
        </w:rPr>
        <w:t>年</w:t>
      </w:r>
      <w:r>
        <w:rPr>
          <w:rFonts w:ascii="宋体" w:eastAsia="宋体" w:hAnsi="宋体" w:cs="宋体" w:hint="eastAsia"/>
          <w:sz w:val="18"/>
          <w:szCs w:val="18"/>
        </w:rPr>
        <w:t>6</w:t>
      </w:r>
      <w:r>
        <w:rPr>
          <w:rFonts w:ascii="宋体" w:eastAsia="宋体" w:hAnsi="宋体" w:cs="宋体" w:hint="eastAsia"/>
          <w:sz w:val="18"/>
          <w:szCs w:val="18"/>
        </w:rPr>
        <w:t>月</w:t>
      </w:r>
      <w:r>
        <w:rPr>
          <w:rFonts w:ascii="宋体" w:eastAsia="宋体" w:hAnsi="宋体" w:cs="宋体" w:hint="eastAsia"/>
          <w:sz w:val="18"/>
          <w:szCs w:val="18"/>
        </w:rPr>
        <w:t>20</w:t>
      </w:r>
      <w:r>
        <w:rPr>
          <w:rFonts w:ascii="宋体" w:eastAsia="宋体" w:hAnsi="宋体" w:cs="宋体" w:hint="eastAsia"/>
          <w:sz w:val="18"/>
          <w:szCs w:val="18"/>
        </w:rPr>
        <w:t>日披露</w:t>
      </w:r>
      <w:r>
        <w:rPr>
          <w:rFonts w:ascii="宋体" w:eastAsia="宋体" w:hAnsi="宋体" w:cs="宋体" w:hint="eastAsia"/>
          <w:sz w:val="18"/>
          <w:szCs w:val="18"/>
        </w:rPr>
        <w:t>的《关于</w:t>
      </w:r>
      <w:r>
        <w:rPr>
          <w:rFonts w:ascii="宋体" w:eastAsia="宋体" w:hAnsi="宋体" w:cs="宋体" w:hint="eastAsia"/>
          <w:sz w:val="18"/>
          <w:szCs w:val="18"/>
        </w:rPr>
        <w:t>2023</w:t>
      </w:r>
      <w:r>
        <w:rPr>
          <w:rFonts w:ascii="宋体" w:eastAsia="宋体" w:hAnsi="宋体" w:cs="宋体" w:hint="eastAsia"/>
          <w:sz w:val="18"/>
          <w:szCs w:val="18"/>
        </w:rPr>
        <w:t>年回购公司股份方案实施完毕暨股份变动的公告》（</w:t>
      </w:r>
      <w:r>
        <w:rPr>
          <w:rFonts w:ascii="宋体" w:eastAsia="宋体" w:hAnsi="宋体" w:cs="宋体" w:hint="eastAsia"/>
          <w:sz w:val="18"/>
          <w:szCs w:val="18"/>
        </w:rPr>
        <w:t>2023-34</w:t>
      </w:r>
      <w:r>
        <w:rPr>
          <w:rFonts w:ascii="宋体" w:eastAsia="宋体" w:hAnsi="宋体" w:cs="宋体" w:hint="eastAsia"/>
          <w:sz w:val="18"/>
          <w:szCs w:val="18"/>
        </w:rPr>
        <w:t>）。</w:t>
      </w:r>
    </w:p>
    <w:p w:rsidR="00A067C6" w:rsidRDefault="005C4966">
      <w:pPr>
        <w:spacing w:line="240" w:lineRule="exact"/>
        <w:ind w:firstLineChars="200" w:firstLine="360"/>
        <w:jc w:val="both"/>
        <w:rPr>
          <w:rFonts w:ascii="宋体" w:eastAsia="宋体" w:hAnsi="宋体" w:cs="宋体"/>
          <w:sz w:val="18"/>
          <w:szCs w:val="18"/>
        </w:rPr>
      </w:pPr>
      <w:r>
        <w:rPr>
          <w:rFonts w:ascii="宋体" w:eastAsia="宋体" w:hAnsi="宋体" w:cs="宋体" w:hint="eastAsia"/>
          <w:sz w:val="18"/>
          <w:szCs w:val="18"/>
        </w:rPr>
        <w:t>6</w:t>
      </w:r>
      <w:r>
        <w:rPr>
          <w:rFonts w:ascii="宋体" w:eastAsia="宋体" w:hAnsi="宋体" w:cs="宋体" w:hint="eastAsia"/>
          <w:sz w:val="18"/>
          <w:szCs w:val="18"/>
        </w:rPr>
        <w:t>、本次回购符合相关法律法规的要求，符合公司既定的回购方案，本次回购股份方案已实施完毕。</w:t>
      </w:r>
    </w:p>
    <w:p w:rsidR="00A067C6" w:rsidRDefault="005C4966">
      <w:pPr>
        <w:pStyle w:val="2"/>
        <w:spacing w:before="300" w:after="300" w:line="320" w:lineRule="exact"/>
        <w:rPr>
          <w:rFonts w:ascii="宋体" w:eastAsia="宋体" w:hAnsi="宋体" w:cs="宋体"/>
          <w:b/>
          <w:bCs/>
          <w:sz w:val="24"/>
          <w:szCs w:val="24"/>
        </w:rPr>
      </w:pPr>
      <w:bookmarkStart w:id="94" w:name="_Toc988982"/>
      <w:r>
        <w:rPr>
          <w:rFonts w:ascii="宋体" w:eastAsia="宋体" w:hAnsi="宋体" w:cs="宋体"/>
          <w:b/>
          <w:bCs/>
          <w:sz w:val="24"/>
          <w:szCs w:val="24"/>
        </w:rPr>
        <w:t>十四、公司子公司重大事项</w:t>
      </w:r>
      <w:bookmarkEnd w:id="94"/>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r>
        <w:br w:type="page"/>
      </w:r>
    </w:p>
    <w:p w:rsidR="00A067C6" w:rsidRDefault="005C4966">
      <w:pPr>
        <w:pStyle w:val="headingh1"/>
        <w:spacing w:before="340" w:after="330" w:line="773" w:lineRule="exact"/>
        <w:jc w:val="center"/>
        <w:rPr>
          <w:rFonts w:ascii="宋体" w:eastAsia="宋体" w:hAnsi="宋体" w:cs="宋体"/>
          <w:b/>
          <w:bCs/>
          <w:sz w:val="32"/>
          <w:szCs w:val="32"/>
        </w:rPr>
      </w:pPr>
      <w:bookmarkStart w:id="95" w:name="_Toc988983"/>
      <w:r>
        <w:rPr>
          <w:rFonts w:ascii="宋体" w:eastAsia="宋体" w:hAnsi="宋体" w:cs="宋体"/>
          <w:b/>
          <w:bCs/>
          <w:sz w:val="32"/>
          <w:szCs w:val="32"/>
        </w:rPr>
        <w:t>第七节</w:t>
      </w:r>
      <w:r>
        <w:rPr>
          <w:rFonts w:ascii="宋体" w:eastAsia="宋体" w:hAnsi="宋体" w:cs="宋体"/>
          <w:b/>
          <w:bCs/>
          <w:sz w:val="32"/>
          <w:szCs w:val="32"/>
        </w:rPr>
        <w:t xml:space="preserve"> </w:t>
      </w:r>
      <w:r>
        <w:rPr>
          <w:rFonts w:ascii="宋体" w:eastAsia="宋体" w:hAnsi="宋体" w:cs="宋体"/>
          <w:b/>
          <w:bCs/>
          <w:sz w:val="32"/>
          <w:szCs w:val="32"/>
        </w:rPr>
        <w:t>股份变动及股东情况</w:t>
      </w:r>
      <w:bookmarkEnd w:id="95"/>
    </w:p>
    <w:p w:rsidR="00A067C6" w:rsidRDefault="005C4966">
      <w:pPr>
        <w:pStyle w:val="2"/>
        <w:spacing w:before="300" w:after="300" w:line="320" w:lineRule="exact"/>
        <w:rPr>
          <w:rFonts w:ascii="宋体" w:eastAsia="宋体" w:hAnsi="宋体" w:cs="宋体"/>
          <w:b/>
          <w:bCs/>
          <w:sz w:val="24"/>
          <w:szCs w:val="24"/>
        </w:rPr>
      </w:pPr>
      <w:bookmarkStart w:id="96" w:name="_Toc988984"/>
      <w:r>
        <w:rPr>
          <w:rFonts w:ascii="宋体" w:eastAsia="宋体" w:hAnsi="宋体" w:cs="宋体"/>
          <w:b/>
          <w:bCs/>
          <w:sz w:val="24"/>
          <w:szCs w:val="24"/>
        </w:rPr>
        <w:t>一、股份变动情况</w:t>
      </w:r>
      <w:bookmarkEnd w:id="96"/>
    </w:p>
    <w:p w:rsidR="00A067C6" w:rsidRDefault="005C4966">
      <w:pPr>
        <w:pStyle w:val="3"/>
        <w:spacing w:line="280" w:lineRule="exact"/>
        <w:jc w:val="left"/>
        <w:rPr>
          <w:rFonts w:ascii="宋体" w:hAnsi="宋体" w:cs="宋体"/>
          <w:b/>
          <w:bCs/>
        </w:rPr>
      </w:pPr>
      <w:bookmarkStart w:id="97" w:name="_Toc988985"/>
      <w:r>
        <w:rPr>
          <w:rFonts w:ascii="宋体" w:hAnsi="宋体" w:cs="宋体"/>
          <w:b/>
          <w:bCs/>
        </w:rPr>
        <w:t>1</w:t>
      </w:r>
      <w:r>
        <w:rPr>
          <w:rFonts w:ascii="宋体" w:hAnsi="宋体" w:cs="宋体"/>
          <w:b/>
          <w:bCs/>
        </w:rPr>
        <w:t>、股份变动情况</w:t>
      </w:r>
      <w:bookmarkEnd w:id="97"/>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单位：股</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63"/>
        <w:gridCol w:w="964"/>
        <w:gridCol w:w="964"/>
        <w:gridCol w:w="964"/>
        <w:gridCol w:w="964"/>
        <w:gridCol w:w="964"/>
        <w:gridCol w:w="964"/>
        <w:gridCol w:w="964"/>
        <w:gridCol w:w="964"/>
        <w:gridCol w:w="964"/>
      </w:tblGrid>
      <w:tr w:rsidR="00A067C6">
        <w:trPr>
          <w:trHeight w:val="240"/>
        </w:trPr>
        <w:tc>
          <w:tcPr>
            <w:tcW w:w="964"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本次变动前</w:t>
            </w:r>
          </w:p>
        </w:tc>
        <w:tc>
          <w:tcPr>
            <w:tcW w:w="4820"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本次变动增减（＋，－）</w:t>
            </w:r>
          </w:p>
        </w:tc>
        <w:tc>
          <w:tcPr>
            <w:tcW w:w="1928"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本次变动后</w:t>
            </w:r>
          </w:p>
        </w:tc>
      </w:tr>
      <w:tr w:rsidR="00A067C6">
        <w:trPr>
          <w:trHeight w:val="240"/>
        </w:trPr>
        <w:tc>
          <w:tcPr>
            <w:tcW w:w="964"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发行新股</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送股</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公积金转股</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小计</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r>
      <w:tr w:rsidR="00A067C6">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一、有限售条件股份</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A067C6">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、国家持股</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、国有法人持股</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、其他内资持股</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其中：境内法人持股</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境内自然人持股</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4</w:t>
            </w:r>
            <w:r>
              <w:rPr>
                <w:rFonts w:ascii="宋体" w:eastAsia="宋体" w:hAnsi="宋体" w:cs="宋体"/>
                <w:sz w:val="18"/>
                <w:szCs w:val="18"/>
              </w:rPr>
              <w:t>、外资持股</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其中：境外法人持股</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境外自然人持股</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二、无限售条件股份</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1,700,681,355</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1,700,681,355</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r>
      <w:tr w:rsidR="00A067C6">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、人民币普通股</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1,700,681,355</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1,700,681,355</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r>
      <w:tr w:rsidR="00A067C6">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、境内上市的外资股</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、境外上市的外资股</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4</w:t>
            </w:r>
            <w:r>
              <w:rPr>
                <w:rFonts w:ascii="宋体" w:eastAsia="宋体" w:hAnsi="宋体" w:cs="宋体"/>
                <w:sz w:val="18"/>
                <w:szCs w:val="18"/>
              </w:rPr>
              <w:t>、其他</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三、股份总数</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1,700,681,355</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1,700,681,355</w:t>
            </w:r>
          </w:p>
        </w:tc>
        <w:tc>
          <w:tcPr>
            <w:tcW w:w="96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股份变动的原因</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股份变动的批准情况</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股份变动的过户情况</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股份回购的实施进展情况</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t>不适用</w:t>
      </w:r>
    </w:p>
    <w:p w:rsidR="00A067C6" w:rsidRDefault="005C4966">
      <w:pPr>
        <w:pStyle w:val="a6"/>
        <w:spacing w:before="0" w:beforeAutospacing="0" w:after="0" w:afterAutospacing="0"/>
        <w:jc w:val="both"/>
        <w:rPr>
          <w:rFonts w:ascii="Times New Roman" w:hAnsi="Times New Roman" w:cs="Times New Roman"/>
          <w:sz w:val="21"/>
          <w:szCs w:val="21"/>
        </w:rPr>
      </w:pPr>
      <w:r>
        <w:rPr>
          <w:rStyle w:val="a7"/>
          <w:rFonts w:cs="Times New Roman" w:hint="eastAsia"/>
          <w:color w:val="333333"/>
          <w:sz w:val="18"/>
          <w:szCs w:val="18"/>
          <w:shd w:val="clear" w:color="auto" w:fill="FFFFFF"/>
        </w:rPr>
        <w:t>一、</w:t>
      </w:r>
      <w:r>
        <w:rPr>
          <w:rStyle w:val="a7"/>
          <w:rFonts w:cs="Times New Roman" w:hint="eastAsia"/>
          <w:color w:val="333333"/>
          <w:sz w:val="18"/>
          <w:szCs w:val="18"/>
          <w:shd w:val="clear" w:color="auto" w:fill="FFFFFF"/>
        </w:rPr>
        <w:t>2022</w:t>
      </w:r>
      <w:r>
        <w:rPr>
          <w:rStyle w:val="a7"/>
          <w:rFonts w:cs="Times New Roman" w:hint="eastAsia"/>
          <w:color w:val="333333"/>
          <w:sz w:val="18"/>
          <w:szCs w:val="18"/>
          <w:shd w:val="clear" w:color="auto" w:fill="FFFFFF"/>
        </w:rPr>
        <w:t>年股份回购事项</w:t>
      </w:r>
    </w:p>
    <w:p w:rsidR="00A067C6" w:rsidRDefault="005C4966">
      <w:pPr>
        <w:spacing w:line="240" w:lineRule="exact"/>
        <w:ind w:firstLineChars="200" w:firstLine="360"/>
        <w:jc w:val="both"/>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hint="eastAsia"/>
          <w:sz w:val="18"/>
          <w:szCs w:val="18"/>
        </w:rPr>
        <w:t>、</w:t>
      </w:r>
      <w:r>
        <w:rPr>
          <w:rFonts w:ascii="宋体" w:eastAsia="宋体" w:hAnsi="宋体" w:cs="宋体" w:hint="eastAsia"/>
          <w:sz w:val="18"/>
          <w:szCs w:val="18"/>
        </w:rPr>
        <w:t>2022</w:t>
      </w:r>
      <w:r>
        <w:rPr>
          <w:rFonts w:ascii="宋体" w:eastAsia="宋体" w:hAnsi="宋体" w:cs="宋体" w:hint="eastAsia"/>
          <w:sz w:val="18"/>
          <w:szCs w:val="18"/>
        </w:rPr>
        <w:t>年</w:t>
      </w:r>
      <w:r>
        <w:rPr>
          <w:rFonts w:ascii="宋体" w:eastAsia="宋体" w:hAnsi="宋体" w:cs="宋体" w:hint="eastAsia"/>
          <w:sz w:val="18"/>
          <w:szCs w:val="18"/>
        </w:rPr>
        <w:t>4</w:t>
      </w:r>
      <w:r>
        <w:rPr>
          <w:rFonts w:ascii="宋体" w:eastAsia="宋体" w:hAnsi="宋体" w:cs="宋体" w:hint="eastAsia"/>
          <w:sz w:val="18"/>
          <w:szCs w:val="18"/>
        </w:rPr>
        <w:t>月</w:t>
      </w:r>
      <w:r>
        <w:rPr>
          <w:rFonts w:ascii="宋体" w:eastAsia="宋体" w:hAnsi="宋体" w:cs="宋体" w:hint="eastAsia"/>
          <w:sz w:val="18"/>
          <w:szCs w:val="18"/>
        </w:rPr>
        <w:t>28</w:t>
      </w:r>
      <w:r>
        <w:rPr>
          <w:rFonts w:ascii="宋体" w:eastAsia="宋体" w:hAnsi="宋体" w:cs="宋体" w:hint="eastAsia"/>
          <w:sz w:val="18"/>
          <w:szCs w:val="18"/>
        </w:rPr>
        <w:t>日，公司通过股份回购专用证券账户以集中竞价方式实施了首次回购，回购股份数量</w:t>
      </w:r>
      <w:r>
        <w:rPr>
          <w:rFonts w:ascii="宋体" w:eastAsia="宋体" w:hAnsi="宋体" w:cs="宋体" w:hint="eastAsia"/>
          <w:sz w:val="18"/>
          <w:szCs w:val="18"/>
        </w:rPr>
        <w:t>7,895,300</w:t>
      </w:r>
      <w:r>
        <w:rPr>
          <w:rFonts w:ascii="宋体" w:eastAsia="宋体" w:hAnsi="宋体" w:cs="宋体" w:hint="eastAsia"/>
          <w:sz w:val="18"/>
          <w:szCs w:val="18"/>
        </w:rPr>
        <w:t>股，占公司目前总股本的</w:t>
      </w:r>
      <w:r>
        <w:rPr>
          <w:rFonts w:ascii="宋体" w:eastAsia="宋体" w:hAnsi="宋体" w:cs="宋体" w:hint="eastAsia"/>
          <w:sz w:val="18"/>
          <w:szCs w:val="18"/>
        </w:rPr>
        <w:t>0.46%</w:t>
      </w:r>
      <w:r>
        <w:rPr>
          <w:rFonts w:ascii="宋体" w:eastAsia="宋体" w:hAnsi="宋体" w:cs="宋体" w:hint="eastAsia"/>
          <w:sz w:val="18"/>
          <w:szCs w:val="18"/>
        </w:rPr>
        <w:t>。最高成交价格</w:t>
      </w:r>
      <w:r>
        <w:rPr>
          <w:rFonts w:ascii="宋体" w:eastAsia="宋体" w:hAnsi="宋体" w:cs="宋体" w:hint="eastAsia"/>
          <w:sz w:val="18"/>
          <w:szCs w:val="18"/>
        </w:rPr>
        <w:t xml:space="preserve"> 3.65</w:t>
      </w:r>
      <w:r>
        <w:rPr>
          <w:rFonts w:ascii="宋体" w:eastAsia="宋体" w:hAnsi="宋体" w:cs="宋体" w:hint="eastAsia"/>
          <w:sz w:val="18"/>
          <w:szCs w:val="18"/>
        </w:rPr>
        <w:t>元</w:t>
      </w:r>
      <w:r>
        <w:rPr>
          <w:rFonts w:ascii="宋体" w:eastAsia="宋体" w:hAnsi="宋体" w:cs="宋体" w:hint="eastAsia"/>
          <w:sz w:val="18"/>
          <w:szCs w:val="18"/>
        </w:rPr>
        <w:t>/</w:t>
      </w:r>
      <w:r>
        <w:rPr>
          <w:rFonts w:ascii="宋体" w:eastAsia="宋体" w:hAnsi="宋体" w:cs="宋体" w:hint="eastAsia"/>
          <w:sz w:val="18"/>
          <w:szCs w:val="18"/>
        </w:rPr>
        <w:t>股，最低成交价格</w:t>
      </w:r>
      <w:r>
        <w:rPr>
          <w:rFonts w:ascii="宋体" w:eastAsia="宋体" w:hAnsi="宋体" w:cs="宋体" w:hint="eastAsia"/>
          <w:sz w:val="18"/>
          <w:szCs w:val="18"/>
        </w:rPr>
        <w:t>3.52</w:t>
      </w:r>
      <w:r>
        <w:rPr>
          <w:rFonts w:ascii="宋体" w:eastAsia="宋体" w:hAnsi="宋体" w:cs="宋体" w:hint="eastAsia"/>
          <w:sz w:val="18"/>
          <w:szCs w:val="18"/>
        </w:rPr>
        <w:t>元</w:t>
      </w:r>
      <w:r>
        <w:rPr>
          <w:rFonts w:ascii="宋体" w:eastAsia="宋体" w:hAnsi="宋体" w:cs="宋体" w:hint="eastAsia"/>
          <w:sz w:val="18"/>
          <w:szCs w:val="18"/>
        </w:rPr>
        <w:t>/</w:t>
      </w:r>
      <w:r>
        <w:rPr>
          <w:rFonts w:ascii="宋体" w:eastAsia="宋体" w:hAnsi="宋体" w:cs="宋体" w:hint="eastAsia"/>
          <w:sz w:val="18"/>
          <w:szCs w:val="18"/>
        </w:rPr>
        <w:t>股，成交总金额为</w:t>
      </w:r>
      <w:r>
        <w:rPr>
          <w:rFonts w:ascii="宋体" w:eastAsia="宋体" w:hAnsi="宋体" w:cs="宋体" w:hint="eastAsia"/>
          <w:sz w:val="18"/>
          <w:szCs w:val="18"/>
        </w:rPr>
        <w:t>28,303,349.00</w:t>
      </w:r>
      <w:r>
        <w:rPr>
          <w:rFonts w:ascii="宋体" w:eastAsia="宋体" w:hAnsi="宋体" w:cs="宋体" w:hint="eastAsia"/>
          <w:sz w:val="18"/>
          <w:szCs w:val="18"/>
        </w:rPr>
        <w:t>元（不含手续费），具体详见</w:t>
      </w:r>
      <w:r>
        <w:rPr>
          <w:rFonts w:ascii="宋体" w:eastAsia="宋体" w:hAnsi="宋体" w:cs="宋体" w:hint="eastAsia"/>
          <w:sz w:val="18"/>
          <w:szCs w:val="18"/>
        </w:rPr>
        <w:t>2022</w:t>
      </w:r>
      <w:r>
        <w:rPr>
          <w:rFonts w:ascii="宋体" w:eastAsia="宋体" w:hAnsi="宋体" w:cs="宋体" w:hint="eastAsia"/>
          <w:sz w:val="18"/>
          <w:szCs w:val="18"/>
        </w:rPr>
        <w:t>年</w:t>
      </w:r>
      <w:r>
        <w:rPr>
          <w:rFonts w:ascii="宋体" w:eastAsia="宋体" w:hAnsi="宋体" w:cs="宋体" w:hint="eastAsia"/>
          <w:sz w:val="18"/>
          <w:szCs w:val="18"/>
        </w:rPr>
        <w:t>4</w:t>
      </w:r>
      <w:r>
        <w:rPr>
          <w:rFonts w:ascii="宋体" w:eastAsia="宋体" w:hAnsi="宋体" w:cs="宋体" w:hint="eastAsia"/>
          <w:sz w:val="18"/>
          <w:szCs w:val="18"/>
        </w:rPr>
        <w:t>月</w:t>
      </w:r>
      <w:r>
        <w:rPr>
          <w:rFonts w:ascii="宋体" w:eastAsia="宋体" w:hAnsi="宋体" w:cs="宋体" w:hint="eastAsia"/>
          <w:sz w:val="18"/>
          <w:szCs w:val="18"/>
        </w:rPr>
        <w:t>29</w:t>
      </w:r>
      <w:r>
        <w:rPr>
          <w:rFonts w:ascii="宋体" w:eastAsia="宋体" w:hAnsi="宋体" w:cs="宋体" w:hint="eastAsia"/>
          <w:sz w:val="18"/>
          <w:szCs w:val="18"/>
        </w:rPr>
        <w:t>日公司于《中国证券报》、《证券时报》及巨潮资讯网（</w:t>
      </w:r>
      <w:hyperlink r:id="rId11" w:history="1">
        <w:r>
          <w:rPr>
            <w:rFonts w:ascii="宋体" w:eastAsia="宋体" w:hAnsi="宋体" w:cs="宋体" w:hint="eastAsia"/>
            <w:sz w:val="18"/>
            <w:szCs w:val="18"/>
          </w:rPr>
          <w:t>www.cninfo.com.cn</w:t>
        </w:r>
      </w:hyperlink>
      <w:r>
        <w:rPr>
          <w:rFonts w:ascii="宋体" w:eastAsia="宋体" w:hAnsi="宋体" w:cs="宋体" w:hint="eastAsia"/>
          <w:sz w:val="18"/>
          <w:szCs w:val="18"/>
        </w:rPr>
        <w:t>）披露的《关于首次回购公司股份的公告》（</w:t>
      </w:r>
      <w:r>
        <w:rPr>
          <w:rFonts w:ascii="宋体" w:eastAsia="宋体" w:hAnsi="宋体" w:cs="宋体" w:hint="eastAsia"/>
          <w:sz w:val="18"/>
          <w:szCs w:val="18"/>
        </w:rPr>
        <w:t>2022-30</w:t>
      </w:r>
      <w:r>
        <w:rPr>
          <w:rFonts w:ascii="宋体" w:eastAsia="宋体" w:hAnsi="宋体" w:cs="宋体" w:hint="eastAsia"/>
          <w:sz w:val="18"/>
          <w:szCs w:val="18"/>
        </w:rPr>
        <w:t>）。</w:t>
      </w:r>
    </w:p>
    <w:p w:rsidR="00A067C6" w:rsidRDefault="005C4966">
      <w:pPr>
        <w:spacing w:line="240" w:lineRule="exact"/>
        <w:ind w:firstLineChars="200" w:firstLine="360"/>
        <w:jc w:val="both"/>
        <w:rPr>
          <w:rFonts w:ascii="宋体" w:eastAsia="宋体" w:hAnsi="宋体" w:cs="宋体"/>
          <w:sz w:val="18"/>
          <w:szCs w:val="18"/>
        </w:rPr>
      </w:pPr>
      <w:r>
        <w:rPr>
          <w:rFonts w:ascii="宋体" w:eastAsia="宋体" w:hAnsi="宋体" w:cs="宋体" w:hint="eastAsia"/>
          <w:sz w:val="18"/>
          <w:szCs w:val="18"/>
        </w:rPr>
        <w:t>2</w:t>
      </w:r>
      <w:r>
        <w:rPr>
          <w:rFonts w:ascii="宋体" w:eastAsia="宋体" w:hAnsi="宋体" w:cs="宋体" w:hint="eastAsia"/>
          <w:sz w:val="18"/>
          <w:szCs w:val="18"/>
        </w:rPr>
        <w:t>、根据《深圳证券交易所上市公司自律监管指引第</w:t>
      </w:r>
      <w:r>
        <w:rPr>
          <w:rFonts w:ascii="宋体" w:eastAsia="宋体" w:hAnsi="宋体" w:cs="宋体" w:hint="eastAsia"/>
          <w:sz w:val="18"/>
          <w:szCs w:val="18"/>
        </w:rPr>
        <w:t>9</w:t>
      </w:r>
      <w:r>
        <w:rPr>
          <w:rFonts w:ascii="宋体" w:eastAsia="宋体" w:hAnsi="宋体" w:cs="宋体" w:hint="eastAsia"/>
          <w:sz w:val="18"/>
          <w:szCs w:val="18"/>
        </w:rPr>
        <w:t>号——回购股份》等法律法规、规范性文件的有关规定，公司应当在每个月的前三个交易日内披露截至上月末的回购进展情况，公司回购股份进展具体详见公司分别于</w:t>
      </w:r>
      <w:r>
        <w:rPr>
          <w:rFonts w:ascii="宋体" w:eastAsia="宋体" w:hAnsi="宋体" w:cs="宋体" w:hint="eastAsia"/>
          <w:sz w:val="18"/>
          <w:szCs w:val="18"/>
        </w:rPr>
        <w:t>2022</w:t>
      </w:r>
      <w:r>
        <w:rPr>
          <w:rFonts w:ascii="宋体" w:eastAsia="宋体" w:hAnsi="宋体" w:cs="宋体" w:hint="eastAsia"/>
          <w:sz w:val="18"/>
          <w:szCs w:val="18"/>
        </w:rPr>
        <w:t>年</w:t>
      </w:r>
      <w:r>
        <w:rPr>
          <w:rFonts w:ascii="宋体" w:eastAsia="宋体" w:hAnsi="宋体" w:cs="宋体" w:hint="eastAsia"/>
          <w:sz w:val="18"/>
          <w:szCs w:val="18"/>
        </w:rPr>
        <w:t>4</w:t>
      </w:r>
      <w:r>
        <w:rPr>
          <w:rFonts w:ascii="宋体" w:eastAsia="宋体" w:hAnsi="宋体" w:cs="宋体" w:hint="eastAsia"/>
          <w:sz w:val="18"/>
          <w:szCs w:val="18"/>
        </w:rPr>
        <w:t>月</w:t>
      </w:r>
      <w:r>
        <w:rPr>
          <w:rFonts w:ascii="宋体" w:eastAsia="宋体" w:hAnsi="宋体" w:cs="宋体" w:hint="eastAsia"/>
          <w:sz w:val="18"/>
          <w:szCs w:val="18"/>
        </w:rPr>
        <w:t>2</w:t>
      </w:r>
      <w:r>
        <w:rPr>
          <w:rFonts w:ascii="宋体" w:eastAsia="宋体" w:hAnsi="宋体" w:cs="宋体" w:hint="eastAsia"/>
          <w:sz w:val="18"/>
          <w:szCs w:val="18"/>
        </w:rPr>
        <w:t>日、</w:t>
      </w:r>
      <w:r>
        <w:rPr>
          <w:rFonts w:ascii="宋体" w:eastAsia="宋体" w:hAnsi="宋体" w:cs="宋体" w:hint="eastAsia"/>
          <w:sz w:val="18"/>
          <w:szCs w:val="18"/>
        </w:rPr>
        <w:t>2022</w:t>
      </w:r>
      <w:r>
        <w:rPr>
          <w:rFonts w:ascii="宋体" w:eastAsia="宋体" w:hAnsi="宋体" w:cs="宋体" w:hint="eastAsia"/>
          <w:sz w:val="18"/>
          <w:szCs w:val="18"/>
        </w:rPr>
        <w:t>年</w:t>
      </w:r>
      <w:r>
        <w:rPr>
          <w:rFonts w:ascii="宋体" w:eastAsia="宋体" w:hAnsi="宋体" w:cs="宋体" w:hint="eastAsia"/>
          <w:sz w:val="18"/>
          <w:szCs w:val="18"/>
        </w:rPr>
        <w:t>5</w:t>
      </w:r>
      <w:r>
        <w:rPr>
          <w:rFonts w:ascii="宋体" w:eastAsia="宋体" w:hAnsi="宋体" w:cs="宋体" w:hint="eastAsia"/>
          <w:sz w:val="18"/>
          <w:szCs w:val="18"/>
        </w:rPr>
        <w:t>月</w:t>
      </w:r>
      <w:r>
        <w:rPr>
          <w:rFonts w:ascii="宋体" w:eastAsia="宋体" w:hAnsi="宋体" w:cs="宋体" w:hint="eastAsia"/>
          <w:sz w:val="18"/>
          <w:szCs w:val="18"/>
        </w:rPr>
        <w:t>6</w:t>
      </w:r>
      <w:r>
        <w:rPr>
          <w:rFonts w:ascii="宋体" w:eastAsia="宋体" w:hAnsi="宋体" w:cs="宋体" w:hint="eastAsia"/>
          <w:sz w:val="18"/>
          <w:szCs w:val="18"/>
        </w:rPr>
        <w:t>日、</w:t>
      </w:r>
      <w:r>
        <w:rPr>
          <w:rFonts w:ascii="宋体" w:eastAsia="宋体" w:hAnsi="宋体" w:cs="宋体" w:hint="eastAsia"/>
          <w:sz w:val="18"/>
          <w:szCs w:val="18"/>
        </w:rPr>
        <w:t>2022</w:t>
      </w:r>
      <w:r>
        <w:rPr>
          <w:rFonts w:ascii="宋体" w:eastAsia="宋体" w:hAnsi="宋体" w:cs="宋体" w:hint="eastAsia"/>
          <w:sz w:val="18"/>
          <w:szCs w:val="18"/>
        </w:rPr>
        <w:t>年</w:t>
      </w:r>
      <w:r>
        <w:rPr>
          <w:rFonts w:ascii="宋体" w:eastAsia="宋体" w:hAnsi="宋体" w:cs="宋体" w:hint="eastAsia"/>
          <w:sz w:val="18"/>
          <w:szCs w:val="18"/>
        </w:rPr>
        <w:t>6</w:t>
      </w:r>
      <w:r>
        <w:rPr>
          <w:rFonts w:ascii="宋体" w:eastAsia="宋体" w:hAnsi="宋体" w:cs="宋体" w:hint="eastAsia"/>
          <w:sz w:val="18"/>
          <w:szCs w:val="18"/>
        </w:rPr>
        <w:t>月</w:t>
      </w:r>
      <w:r>
        <w:rPr>
          <w:rFonts w:ascii="宋体" w:eastAsia="宋体" w:hAnsi="宋体" w:cs="宋体" w:hint="eastAsia"/>
          <w:sz w:val="18"/>
          <w:szCs w:val="18"/>
        </w:rPr>
        <w:t>2</w:t>
      </w:r>
      <w:r>
        <w:rPr>
          <w:rFonts w:ascii="宋体" w:eastAsia="宋体" w:hAnsi="宋体" w:cs="宋体" w:hint="eastAsia"/>
          <w:sz w:val="18"/>
          <w:szCs w:val="18"/>
        </w:rPr>
        <w:t>日、</w:t>
      </w:r>
      <w:r>
        <w:rPr>
          <w:rFonts w:ascii="宋体" w:eastAsia="宋体" w:hAnsi="宋体" w:cs="宋体" w:hint="eastAsia"/>
          <w:sz w:val="18"/>
          <w:szCs w:val="18"/>
        </w:rPr>
        <w:t>2022</w:t>
      </w:r>
      <w:r>
        <w:rPr>
          <w:rFonts w:ascii="宋体" w:eastAsia="宋体" w:hAnsi="宋体" w:cs="宋体" w:hint="eastAsia"/>
          <w:sz w:val="18"/>
          <w:szCs w:val="18"/>
        </w:rPr>
        <w:t>年</w:t>
      </w:r>
      <w:r>
        <w:rPr>
          <w:rFonts w:ascii="宋体" w:eastAsia="宋体" w:hAnsi="宋体" w:cs="宋体" w:hint="eastAsia"/>
          <w:sz w:val="18"/>
          <w:szCs w:val="18"/>
        </w:rPr>
        <w:t>7</w:t>
      </w:r>
      <w:r>
        <w:rPr>
          <w:rFonts w:ascii="宋体" w:eastAsia="宋体" w:hAnsi="宋体" w:cs="宋体" w:hint="eastAsia"/>
          <w:sz w:val="18"/>
          <w:szCs w:val="18"/>
        </w:rPr>
        <w:t>月</w:t>
      </w:r>
      <w:r>
        <w:rPr>
          <w:rFonts w:ascii="宋体" w:eastAsia="宋体" w:hAnsi="宋体" w:cs="宋体" w:hint="eastAsia"/>
          <w:sz w:val="18"/>
          <w:szCs w:val="18"/>
        </w:rPr>
        <w:t>5</w:t>
      </w:r>
      <w:r>
        <w:rPr>
          <w:rFonts w:ascii="宋体" w:eastAsia="宋体" w:hAnsi="宋体" w:cs="宋体" w:hint="eastAsia"/>
          <w:sz w:val="18"/>
          <w:szCs w:val="18"/>
        </w:rPr>
        <w:t>日、</w:t>
      </w:r>
      <w:r>
        <w:rPr>
          <w:rFonts w:ascii="宋体" w:eastAsia="宋体" w:hAnsi="宋体" w:cs="宋体" w:hint="eastAsia"/>
          <w:sz w:val="18"/>
          <w:szCs w:val="18"/>
        </w:rPr>
        <w:t>2022</w:t>
      </w:r>
      <w:r>
        <w:rPr>
          <w:rFonts w:ascii="宋体" w:eastAsia="宋体" w:hAnsi="宋体" w:cs="宋体" w:hint="eastAsia"/>
          <w:sz w:val="18"/>
          <w:szCs w:val="18"/>
        </w:rPr>
        <w:t>年</w:t>
      </w:r>
      <w:r>
        <w:rPr>
          <w:rFonts w:ascii="宋体" w:eastAsia="宋体" w:hAnsi="宋体" w:cs="宋体" w:hint="eastAsia"/>
          <w:sz w:val="18"/>
          <w:szCs w:val="18"/>
        </w:rPr>
        <w:t>8</w:t>
      </w:r>
      <w:r>
        <w:rPr>
          <w:rFonts w:ascii="宋体" w:eastAsia="宋体" w:hAnsi="宋体" w:cs="宋体" w:hint="eastAsia"/>
          <w:sz w:val="18"/>
          <w:szCs w:val="18"/>
        </w:rPr>
        <w:t>月</w:t>
      </w:r>
      <w:r>
        <w:rPr>
          <w:rFonts w:ascii="宋体" w:eastAsia="宋体" w:hAnsi="宋体" w:cs="宋体" w:hint="eastAsia"/>
          <w:sz w:val="18"/>
          <w:szCs w:val="18"/>
        </w:rPr>
        <w:t>3</w:t>
      </w:r>
      <w:r>
        <w:rPr>
          <w:rFonts w:ascii="宋体" w:eastAsia="宋体" w:hAnsi="宋体" w:cs="宋体" w:hint="eastAsia"/>
          <w:sz w:val="18"/>
          <w:szCs w:val="18"/>
        </w:rPr>
        <w:t>日、</w:t>
      </w:r>
      <w:r>
        <w:rPr>
          <w:rFonts w:ascii="宋体" w:eastAsia="宋体" w:hAnsi="宋体" w:cs="宋体" w:hint="eastAsia"/>
          <w:sz w:val="18"/>
          <w:szCs w:val="18"/>
        </w:rPr>
        <w:t>2022</w:t>
      </w:r>
      <w:r>
        <w:rPr>
          <w:rFonts w:ascii="宋体" w:eastAsia="宋体" w:hAnsi="宋体" w:cs="宋体" w:hint="eastAsia"/>
          <w:sz w:val="18"/>
          <w:szCs w:val="18"/>
        </w:rPr>
        <w:t>年</w:t>
      </w:r>
      <w:r>
        <w:rPr>
          <w:rFonts w:ascii="宋体" w:eastAsia="宋体" w:hAnsi="宋体" w:cs="宋体" w:hint="eastAsia"/>
          <w:sz w:val="18"/>
          <w:szCs w:val="18"/>
        </w:rPr>
        <w:t>9</w:t>
      </w:r>
      <w:r>
        <w:rPr>
          <w:rFonts w:ascii="宋体" w:eastAsia="宋体" w:hAnsi="宋体" w:cs="宋体" w:hint="eastAsia"/>
          <w:sz w:val="18"/>
          <w:szCs w:val="18"/>
        </w:rPr>
        <w:t>月</w:t>
      </w:r>
      <w:r>
        <w:rPr>
          <w:rFonts w:ascii="宋体" w:eastAsia="宋体" w:hAnsi="宋体" w:cs="宋体" w:hint="eastAsia"/>
          <w:sz w:val="18"/>
          <w:szCs w:val="18"/>
        </w:rPr>
        <w:t>3</w:t>
      </w:r>
      <w:r>
        <w:rPr>
          <w:rFonts w:ascii="宋体" w:eastAsia="宋体" w:hAnsi="宋体" w:cs="宋体" w:hint="eastAsia"/>
          <w:sz w:val="18"/>
          <w:szCs w:val="18"/>
        </w:rPr>
        <w:t>日、</w:t>
      </w:r>
      <w:r>
        <w:rPr>
          <w:rFonts w:ascii="宋体" w:eastAsia="宋体" w:hAnsi="宋体" w:cs="宋体" w:hint="eastAsia"/>
          <w:sz w:val="18"/>
          <w:szCs w:val="18"/>
        </w:rPr>
        <w:t>2022</w:t>
      </w:r>
      <w:r>
        <w:rPr>
          <w:rFonts w:ascii="宋体" w:eastAsia="宋体" w:hAnsi="宋体" w:cs="宋体" w:hint="eastAsia"/>
          <w:sz w:val="18"/>
          <w:szCs w:val="18"/>
        </w:rPr>
        <w:t>年</w:t>
      </w:r>
      <w:r>
        <w:rPr>
          <w:rFonts w:ascii="宋体" w:eastAsia="宋体" w:hAnsi="宋体" w:cs="宋体" w:hint="eastAsia"/>
          <w:sz w:val="18"/>
          <w:szCs w:val="18"/>
        </w:rPr>
        <w:t>10</w:t>
      </w:r>
      <w:r>
        <w:rPr>
          <w:rFonts w:ascii="宋体" w:eastAsia="宋体" w:hAnsi="宋体" w:cs="宋体" w:hint="eastAsia"/>
          <w:sz w:val="18"/>
          <w:szCs w:val="18"/>
        </w:rPr>
        <w:t>月</w:t>
      </w:r>
      <w:r>
        <w:rPr>
          <w:rFonts w:ascii="宋体" w:eastAsia="宋体" w:hAnsi="宋体" w:cs="宋体" w:hint="eastAsia"/>
          <w:sz w:val="18"/>
          <w:szCs w:val="18"/>
        </w:rPr>
        <w:t>11</w:t>
      </w:r>
      <w:r>
        <w:rPr>
          <w:rFonts w:ascii="宋体" w:eastAsia="宋体" w:hAnsi="宋体" w:cs="宋体" w:hint="eastAsia"/>
          <w:sz w:val="18"/>
          <w:szCs w:val="18"/>
        </w:rPr>
        <w:t>日、</w:t>
      </w:r>
      <w:r>
        <w:rPr>
          <w:rFonts w:ascii="宋体" w:eastAsia="宋体" w:hAnsi="宋体" w:cs="宋体" w:hint="eastAsia"/>
          <w:sz w:val="18"/>
          <w:szCs w:val="18"/>
        </w:rPr>
        <w:t>2022</w:t>
      </w:r>
      <w:r>
        <w:rPr>
          <w:rFonts w:ascii="宋体" w:eastAsia="宋体" w:hAnsi="宋体" w:cs="宋体" w:hint="eastAsia"/>
          <w:sz w:val="18"/>
          <w:szCs w:val="18"/>
        </w:rPr>
        <w:t>年</w:t>
      </w:r>
      <w:r>
        <w:rPr>
          <w:rFonts w:ascii="宋体" w:eastAsia="宋体" w:hAnsi="宋体" w:cs="宋体" w:hint="eastAsia"/>
          <w:sz w:val="18"/>
          <w:szCs w:val="18"/>
        </w:rPr>
        <w:t>11</w:t>
      </w:r>
      <w:r>
        <w:rPr>
          <w:rFonts w:ascii="宋体" w:eastAsia="宋体" w:hAnsi="宋体" w:cs="宋体" w:hint="eastAsia"/>
          <w:sz w:val="18"/>
          <w:szCs w:val="18"/>
        </w:rPr>
        <w:t>月</w:t>
      </w:r>
      <w:r>
        <w:rPr>
          <w:rFonts w:ascii="宋体" w:eastAsia="宋体" w:hAnsi="宋体" w:cs="宋体" w:hint="eastAsia"/>
          <w:sz w:val="18"/>
          <w:szCs w:val="18"/>
        </w:rPr>
        <w:t>3</w:t>
      </w:r>
      <w:r>
        <w:rPr>
          <w:rFonts w:ascii="宋体" w:eastAsia="宋体" w:hAnsi="宋体" w:cs="宋体" w:hint="eastAsia"/>
          <w:sz w:val="18"/>
          <w:szCs w:val="18"/>
        </w:rPr>
        <w:t>日、</w:t>
      </w:r>
      <w:r>
        <w:rPr>
          <w:rFonts w:ascii="宋体" w:eastAsia="宋体" w:hAnsi="宋体" w:cs="宋体" w:hint="eastAsia"/>
          <w:sz w:val="18"/>
          <w:szCs w:val="18"/>
        </w:rPr>
        <w:t>2022</w:t>
      </w:r>
      <w:r>
        <w:rPr>
          <w:rFonts w:ascii="宋体" w:eastAsia="宋体" w:hAnsi="宋体" w:cs="宋体" w:hint="eastAsia"/>
          <w:sz w:val="18"/>
          <w:szCs w:val="18"/>
        </w:rPr>
        <w:t>年</w:t>
      </w:r>
      <w:r>
        <w:rPr>
          <w:rFonts w:ascii="宋体" w:eastAsia="宋体" w:hAnsi="宋体" w:cs="宋体" w:hint="eastAsia"/>
          <w:sz w:val="18"/>
          <w:szCs w:val="18"/>
        </w:rPr>
        <w:t>12</w:t>
      </w:r>
      <w:r>
        <w:rPr>
          <w:rFonts w:ascii="宋体" w:eastAsia="宋体" w:hAnsi="宋体" w:cs="宋体" w:hint="eastAsia"/>
          <w:sz w:val="18"/>
          <w:szCs w:val="18"/>
        </w:rPr>
        <w:t>月</w:t>
      </w:r>
      <w:r>
        <w:rPr>
          <w:rFonts w:ascii="宋体" w:eastAsia="宋体" w:hAnsi="宋体" w:cs="宋体" w:hint="eastAsia"/>
          <w:sz w:val="18"/>
          <w:szCs w:val="18"/>
        </w:rPr>
        <w:t>3</w:t>
      </w:r>
      <w:r>
        <w:rPr>
          <w:rFonts w:ascii="宋体" w:eastAsia="宋体" w:hAnsi="宋体" w:cs="宋体" w:hint="eastAsia"/>
          <w:sz w:val="18"/>
          <w:szCs w:val="18"/>
        </w:rPr>
        <w:t>日、</w:t>
      </w:r>
      <w:r>
        <w:rPr>
          <w:rFonts w:ascii="宋体" w:eastAsia="宋体" w:hAnsi="宋体" w:cs="宋体" w:hint="eastAsia"/>
          <w:sz w:val="18"/>
          <w:szCs w:val="18"/>
        </w:rPr>
        <w:t>2023</w:t>
      </w:r>
      <w:r>
        <w:rPr>
          <w:rFonts w:ascii="宋体" w:eastAsia="宋体" w:hAnsi="宋体" w:cs="宋体" w:hint="eastAsia"/>
          <w:sz w:val="18"/>
          <w:szCs w:val="18"/>
        </w:rPr>
        <w:t>年</w:t>
      </w:r>
      <w:r>
        <w:rPr>
          <w:rFonts w:ascii="宋体" w:eastAsia="宋体" w:hAnsi="宋体" w:cs="宋体" w:hint="eastAsia"/>
          <w:sz w:val="18"/>
          <w:szCs w:val="18"/>
        </w:rPr>
        <w:t>1</w:t>
      </w:r>
      <w:r>
        <w:rPr>
          <w:rFonts w:ascii="宋体" w:eastAsia="宋体" w:hAnsi="宋体" w:cs="宋体" w:hint="eastAsia"/>
          <w:sz w:val="18"/>
          <w:szCs w:val="18"/>
        </w:rPr>
        <w:t>月</w:t>
      </w:r>
      <w:r>
        <w:rPr>
          <w:rFonts w:ascii="宋体" w:eastAsia="宋体" w:hAnsi="宋体" w:cs="宋体" w:hint="eastAsia"/>
          <w:sz w:val="18"/>
          <w:szCs w:val="18"/>
        </w:rPr>
        <w:t>5</w:t>
      </w:r>
      <w:r>
        <w:rPr>
          <w:rFonts w:ascii="宋体" w:eastAsia="宋体" w:hAnsi="宋体" w:cs="宋体" w:hint="eastAsia"/>
          <w:sz w:val="18"/>
          <w:szCs w:val="18"/>
        </w:rPr>
        <w:t>日、</w:t>
      </w:r>
      <w:r>
        <w:rPr>
          <w:rFonts w:ascii="宋体" w:eastAsia="宋体" w:hAnsi="宋体" w:cs="宋体" w:hint="eastAsia"/>
          <w:sz w:val="18"/>
          <w:szCs w:val="18"/>
        </w:rPr>
        <w:t>2023</w:t>
      </w:r>
      <w:r>
        <w:rPr>
          <w:rFonts w:ascii="宋体" w:eastAsia="宋体" w:hAnsi="宋体" w:cs="宋体" w:hint="eastAsia"/>
          <w:sz w:val="18"/>
          <w:szCs w:val="18"/>
        </w:rPr>
        <w:t>年</w:t>
      </w:r>
      <w:r>
        <w:rPr>
          <w:rFonts w:ascii="宋体" w:eastAsia="宋体" w:hAnsi="宋体" w:cs="宋体" w:hint="eastAsia"/>
          <w:sz w:val="18"/>
          <w:szCs w:val="18"/>
        </w:rPr>
        <w:t>3</w:t>
      </w:r>
      <w:r>
        <w:rPr>
          <w:rFonts w:ascii="宋体" w:eastAsia="宋体" w:hAnsi="宋体" w:cs="宋体" w:hint="eastAsia"/>
          <w:sz w:val="18"/>
          <w:szCs w:val="18"/>
        </w:rPr>
        <w:t>月</w:t>
      </w:r>
      <w:r>
        <w:rPr>
          <w:rFonts w:ascii="宋体" w:eastAsia="宋体" w:hAnsi="宋体" w:cs="宋体" w:hint="eastAsia"/>
          <w:sz w:val="18"/>
          <w:szCs w:val="18"/>
        </w:rPr>
        <w:t>3</w:t>
      </w:r>
      <w:r>
        <w:rPr>
          <w:rFonts w:ascii="宋体" w:eastAsia="宋体" w:hAnsi="宋体" w:cs="宋体" w:hint="eastAsia"/>
          <w:sz w:val="18"/>
          <w:szCs w:val="18"/>
        </w:rPr>
        <w:t>日披露的《关于回购公司股份进展的公告》。</w:t>
      </w:r>
    </w:p>
    <w:p w:rsidR="00A067C6" w:rsidRDefault="005C4966">
      <w:pPr>
        <w:spacing w:line="240" w:lineRule="exact"/>
        <w:ind w:firstLineChars="200" w:firstLine="360"/>
        <w:jc w:val="both"/>
        <w:rPr>
          <w:rFonts w:ascii="宋体" w:eastAsia="宋体" w:hAnsi="宋体" w:cs="宋体"/>
          <w:sz w:val="18"/>
          <w:szCs w:val="18"/>
        </w:rPr>
      </w:pPr>
      <w:r>
        <w:rPr>
          <w:rFonts w:ascii="宋体" w:eastAsia="宋体" w:hAnsi="宋体" w:cs="宋体" w:hint="eastAsia"/>
          <w:sz w:val="18"/>
          <w:szCs w:val="18"/>
        </w:rPr>
        <w:t>3</w:t>
      </w:r>
      <w:r>
        <w:rPr>
          <w:rFonts w:ascii="宋体" w:eastAsia="宋体" w:hAnsi="宋体" w:cs="宋体" w:hint="eastAsia"/>
          <w:sz w:val="18"/>
          <w:szCs w:val="18"/>
        </w:rPr>
        <w:t>、截至</w:t>
      </w:r>
      <w:r>
        <w:rPr>
          <w:rFonts w:ascii="宋体" w:eastAsia="宋体" w:hAnsi="宋体" w:cs="宋体" w:hint="eastAsia"/>
          <w:sz w:val="18"/>
          <w:szCs w:val="18"/>
        </w:rPr>
        <w:t>2023</w:t>
      </w:r>
      <w:r>
        <w:rPr>
          <w:rFonts w:ascii="宋体" w:eastAsia="宋体" w:hAnsi="宋体" w:cs="宋体" w:hint="eastAsia"/>
          <w:sz w:val="18"/>
          <w:szCs w:val="18"/>
        </w:rPr>
        <w:t>年</w:t>
      </w:r>
      <w:r>
        <w:rPr>
          <w:rFonts w:ascii="宋体" w:eastAsia="宋体" w:hAnsi="宋体" w:cs="宋体" w:hint="eastAsia"/>
          <w:sz w:val="18"/>
          <w:szCs w:val="18"/>
        </w:rPr>
        <w:t>1</w:t>
      </w:r>
      <w:r>
        <w:rPr>
          <w:rFonts w:ascii="宋体" w:eastAsia="宋体" w:hAnsi="宋体" w:cs="宋体" w:hint="eastAsia"/>
          <w:sz w:val="18"/>
          <w:szCs w:val="18"/>
        </w:rPr>
        <w:t>月</w:t>
      </w:r>
      <w:r>
        <w:rPr>
          <w:rFonts w:ascii="宋体" w:eastAsia="宋体" w:hAnsi="宋体" w:cs="宋体" w:hint="eastAsia"/>
          <w:sz w:val="18"/>
          <w:szCs w:val="18"/>
        </w:rPr>
        <w:t>31</w:t>
      </w:r>
      <w:r>
        <w:rPr>
          <w:rFonts w:ascii="宋体" w:eastAsia="宋体" w:hAnsi="宋体" w:cs="宋体" w:hint="eastAsia"/>
          <w:sz w:val="18"/>
          <w:szCs w:val="18"/>
        </w:rPr>
        <w:t>日，公司回购股份比例达到公司已发行总股数的</w:t>
      </w:r>
      <w:r>
        <w:rPr>
          <w:rFonts w:ascii="宋体" w:eastAsia="宋体" w:hAnsi="宋体" w:cs="宋体" w:hint="eastAsia"/>
          <w:sz w:val="18"/>
          <w:szCs w:val="18"/>
        </w:rPr>
        <w:t>1%</w:t>
      </w:r>
      <w:r>
        <w:rPr>
          <w:rFonts w:ascii="宋体" w:eastAsia="宋体" w:hAnsi="宋体" w:cs="宋体" w:hint="eastAsia"/>
          <w:sz w:val="18"/>
          <w:szCs w:val="18"/>
        </w:rPr>
        <w:t>，根据《深圳证券交易所上市公司自律监管指引第</w:t>
      </w:r>
      <w:r>
        <w:rPr>
          <w:rFonts w:ascii="宋体" w:eastAsia="宋体" w:hAnsi="宋体" w:cs="宋体" w:hint="eastAsia"/>
          <w:sz w:val="18"/>
          <w:szCs w:val="18"/>
        </w:rPr>
        <w:t>9</w:t>
      </w:r>
      <w:r>
        <w:rPr>
          <w:rFonts w:ascii="宋体" w:eastAsia="宋体" w:hAnsi="宋体" w:cs="宋体" w:hint="eastAsia"/>
          <w:sz w:val="18"/>
          <w:szCs w:val="18"/>
        </w:rPr>
        <w:t>号——回购股份》等法律法规、规范性文件的有关规定，回购股份占上市公司总股本的比例每增加</w:t>
      </w:r>
      <w:r>
        <w:rPr>
          <w:rFonts w:ascii="宋体" w:eastAsia="宋体" w:hAnsi="宋体" w:cs="宋体" w:hint="eastAsia"/>
          <w:sz w:val="18"/>
          <w:szCs w:val="18"/>
        </w:rPr>
        <w:t>1%</w:t>
      </w:r>
      <w:r>
        <w:rPr>
          <w:rFonts w:ascii="宋体" w:eastAsia="宋体" w:hAnsi="宋体" w:cs="宋体" w:hint="eastAsia"/>
          <w:sz w:val="18"/>
          <w:szCs w:val="18"/>
        </w:rPr>
        <w:t>，应当在事实发生之日起</w:t>
      </w:r>
      <w:r>
        <w:rPr>
          <w:rFonts w:ascii="宋体" w:eastAsia="宋体" w:hAnsi="宋体" w:cs="宋体" w:hint="eastAsia"/>
          <w:sz w:val="18"/>
          <w:szCs w:val="18"/>
        </w:rPr>
        <w:t>3</w:t>
      </w:r>
      <w:r>
        <w:rPr>
          <w:rFonts w:ascii="宋体" w:eastAsia="宋体" w:hAnsi="宋体" w:cs="宋体" w:hint="eastAsia"/>
          <w:sz w:val="18"/>
          <w:szCs w:val="18"/>
        </w:rPr>
        <w:t>日内予以披露。具体详见公司于</w:t>
      </w:r>
      <w:r>
        <w:rPr>
          <w:rFonts w:ascii="宋体" w:eastAsia="宋体" w:hAnsi="宋体" w:cs="宋体" w:hint="eastAsia"/>
          <w:sz w:val="18"/>
          <w:szCs w:val="18"/>
        </w:rPr>
        <w:t>2023</w:t>
      </w:r>
      <w:r>
        <w:rPr>
          <w:rFonts w:ascii="宋体" w:eastAsia="宋体" w:hAnsi="宋体" w:cs="宋体" w:hint="eastAsia"/>
          <w:sz w:val="18"/>
          <w:szCs w:val="18"/>
        </w:rPr>
        <w:t>年</w:t>
      </w:r>
      <w:r>
        <w:rPr>
          <w:rFonts w:ascii="宋体" w:eastAsia="宋体" w:hAnsi="宋体" w:cs="宋体" w:hint="eastAsia"/>
          <w:sz w:val="18"/>
          <w:szCs w:val="18"/>
        </w:rPr>
        <w:t>2</w:t>
      </w:r>
      <w:r>
        <w:rPr>
          <w:rFonts w:ascii="宋体" w:eastAsia="宋体" w:hAnsi="宋体" w:cs="宋体" w:hint="eastAsia"/>
          <w:sz w:val="18"/>
          <w:szCs w:val="18"/>
        </w:rPr>
        <w:t>月</w:t>
      </w:r>
      <w:r>
        <w:rPr>
          <w:rFonts w:ascii="宋体" w:eastAsia="宋体" w:hAnsi="宋体" w:cs="宋体" w:hint="eastAsia"/>
          <w:sz w:val="18"/>
          <w:szCs w:val="18"/>
        </w:rPr>
        <w:t>1</w:t>
      </w:r>
      <w:r>
        <w:rPr>
          <w:rFonts w:ascii="宋体" w:eastAsia="宋体" w:hAnsi="宋体" w:cs="宋体" w:hint="eastAsia"/>
          <w:sz w:val="18"/>
          <w:szCs w:val="18"/>
        </w:rPr>
        <w:t>日披露的《关于回购公司股份比例达到</w:t>
      </w:r>
      <w:r>
        <w:rPr>
          <w:rFonts w:ascii="宋体" w:eastAsia="宋体" w:hAnsi="宋体" w:cs="宋体" w:hint="eastAsia"/>
          <w:sz w:val="18"/>
          <w:szCs w:val="18"/>
        </w:rPr>
        <w:t>1%</w:t>
      </w:r>
      <w:r>
        <w:rPr>
          <w:rFonts w:ascii="宋体" w:eastAsia="宋体" w:hAnsi="宋体" w:cs="宋体" w:hint="eastAsia"/>
          <w:sz w:val="18"/>
          <w:szCs w:val="18"/>
        </w:rPr>
        <w:t>暨回购股份进展公告》（</w:t>
      </w:r>
      <w:r>
        <w:rPr>
          <w:rFonts w:ascii="宋体" w:eastAsia="宋体" w:hAnsi="宋体" w:cs="宋体" w:hint="eastAsia"/>
          <w:sz w:val="18"/>
          <w:szCs w:val="18"/>
        </w:rPr>
        <w:t>2023-02</w:t>
      </w:r>
      <w:r>
        <w:rPr>
          <w:rFonts w:ascii="宋体" w:eastAsia="宋体" w:hAnsi="宋体" w:cs="宋体" w:hint="eastAsia"/>
          <w:sz w:val="18"/>
          <w:szCs w:val="18"/>
        </w:rPr>
        <w:t>）。</w:t>
      </w:r>
    </w:p>
    <w:p w:rsidR="00A067C6" w:rsidRDefault="005C4966">
      <w:pPr>
        <w:spacing w:line="240" w:lineRule="exact"/>
        <w:ind w:firstLineChars="200" w:firstLine="360"/>
        <w:jc w:val="both"/>
        <w:rPr>
          <w:rFonts w:ascii="宋体" w:eastAsia="宋体" w:hAnsi="宋体" w:cs="宋体"/>
          <w:sz w:val="18"/>
          <w:szCs w:val="18"/>
        </w:rPr>
      </w:pPr>
      <w:r>
        <w:rPr>
          <w:rFonts w:ascii="宋体" w:eastAsia="宋体" w:hAnsi="宋体" w:cs="宋体" w:hint="eastAsia"/>
          <w:sz w:val="18"/>
          <w:szCs w:val="18"/>
        </w:rPr>
        <w:t>4</w:t>
      </w:r>
      <w:r>
        <w:rPr>
          <w:rFonts w:ascii="宋体" w:eastAsia="宋体" w:hAnsi="宋体" w:cs="宋体" w:hint="eastAsia"/>
          <w:sz w:val="18"/>
          <w:szCs w:val="18"/>
        </w:rPr>
        <w:t>、截至</w:t>
      </w:r>
      <w:r>
        <w:rPr>
          <w:rFonts w:ascii="宋体" w:eastAsia="宋体" w:hAnsi="宋体" w:cs="宋体" w:hint="eastAsia"/>
          <w:sz w:val="18"/>
          <w:szCs w:val="18"/>
        </w:rPr>
        <w:t>2023</w:t>
      </w:r>
      <w:r>
        <w:rPr>
          <w:rFonts w:ascii="宋体" w:eastAsia="宋体" w:hAnsi="宋体" w:cs="宋体" w:hint="eastAsia"/>
          <w:sz w:val="18"/>
          <w:szCs w:val="18"/>
        </w:rPr>
        <w:t>年</w:t>
      </w:r>
      <w:r>
        <w:rPr>
          <w:rFonts w:ascii="宋体" w:eastAsia="宋体" w:hAnsi="宋体" w:cs="宋体" w:hint="eastAsia"/>
          <w:sz w:val="18"/>
          <w:szCs w:val="18"/>
        </w:rPr>
        <w:t>3</w:t>
      </w:r>
      <w:r>
        <w:rPr>
          <w:rFonts w:ascii="宋体" w:eastAsia="宋体" w:hAnsi="宋体" w:cs="宋体" w:hint="eastAsia"/>
          <w:sz w:val="18"/>
          <w:szCs w:val="18"/>
        </w:rPr>
        <w:t>月</w:t>
      </w:r>
      <w:r>
        <w:rPr>
          <w:rFonts w:ascii="宋体" w:eastAsia="宋体" w:hAnsi="宋体" w:cs="宋体" w:hint="eastAsia"/>
          <w:sz w:val="18"/>
          <w:szCs w:val="18"/>
        </w:rPr>
        <w:t>20</w:t>
      </w:r>
      <w:r>
        <w:rPr>
          <w:rFonts w:ascii="宋体" w:eastAsia="宋体" w:hAnsi="宋体" w:cs="宋体" w:hint="eastAsia"/>
          <w:sz w:val="18"/>
          <w:szCs w:val="18"/>
        </w:rPr>
        <w:t>日，公司本次股份回购已完成。在回购期间，公司通过股份回购专用证券账户以集中竞价交易方式累计回购公司股票</w:t>
      </w:r>
      <w:r>
        <w:rPr>
          <w:rFonts w:ascii="宋体" w:eastAsia="宋体" w:hAnsi="宋体" w:cs="宋体" w:hint="eastAsia"/>
          <w:sz w:val="18"/>
          <w:szCs w:val="18"/>
        </w:rPr>
        <w:t>29,800,000</w:t>
      </w:r>
      <w:r>
        <w:rPr>
          <w:rFonts w:ascii="宋体" w:eastAsia="宋体" w:hAnsi="宋体" w:cs="宋体" w:hint="eastAsia"/>
          <w:sz w:val="18"/>
          <w:szCs w:val="18"/>
        </w:rPr>
        <w:t>股，占公司总股本的</w:t>
      </w:r>
      <w:r>
        <w:rPr>
          <w:rFonts w:ascii="宋体" w:eastAsia="宋体" w:hAnsi="宋体" w:cs="宋体" w:hint="eastAsia"/>
          <w:sz w:val="18"/>
          <w:szCs w:val="18"/>
        </w:rPr>
        <w:t>1.75%</w:t>
      </w:r>
      <w:r>
        <w:rPr>
          <w:rFonts w:ascii="宋体" w:eastAsia="宋体" w:hAnsi="宋体" w:cs="宋体" w:hint="eastAsia"/>
          <w:sz w:val="18"/>
          <w:szCs w:val="18"/>
        </w:rPr>
        <w:t>（以公司截止</w:t>
      </w:r>
      <w:r>
        <w:rPr>
          <w:rFonts w:ascii="宋体" w:eastAsia="宋体" w:hAnsi="宋体" w:cs="宋体" w:hint="eastAsia"/>
          <w:sz w:val="18"/>
          <w:szCs w:val="18"/>
        </w:rPr>
        <w:t>2023</w:t>
      </w:r>
      <w:r>
        <w:rPr>
          <w:rFonts w:ascii="宋体" w:eastAsia="宋体" w:hAnsi="宋体" w:cs="宋体" w:hint="eastAsia"/>
          <w:sz w:val="18"/>
          <w:szCs w:val="18"/>
        </w:rPr>
        <w:t>年</w:t>
      </w:r>
      <w:r>
        <w:rPr>
          <w:rFonts w:ascii="宋体" w:eastAsia="宋体" w:hAnsi="宋体" w:cs="宋体" w:hint="eastAsia"/>
          <w:sz w:val="18"/>
          <w:szCs w:val="18"/>
        </w:rPr>
        <w:t>3</w:t>
      </w:r>
      <w:r>
        <w:rPr>
          <w:rFonts w:ascii="宋体" w:eastAsia="宋体" w:hAnsi="宋体" w:cs="宋体" w:hint="eastAsia"/>
          <w:sz w:val="18"/>
          <w:szCs w:val="18"/>
        </w:rPr>
        <w:t>月</w:t>
      </w:r>
      <w:r>
        <w:rPr>
          <w:rFonts w:ascii="宋体" w:eastAsia="宋体" w:hAnsi="宋体" w:cs="宋体" w:hint="eastAsia"/>
          <w:sz w:val="18"/>
          <w:szCs w:val="18"/>
        </w:rPr>
        <w:t>20</w:t>
      </w:r>
      <w:r>
        <w:rPr>
          <w:rFonts w:ascii="宋体" w:eastAsia="宋体" w:hAnsi="宋体" w:cs="宋体" w:hint="eastAsia"/>
          <w:sz w:val="18"/>
          <w:szCs w:val="18"/>
        </w:rPr>
        <w:t>日总股本</w:t>
      </w:r>
      <w:r>
        <w:rPr>
          <w:rFonts w:ascii="宋体" w:eastAsia="宋体" w:hAnsi="宋体" w:cs="宋体" w:hint="eastAsia"/>
          <w:sz w:val="18"/>
          <w:szCs w:val="18"/>
        </w:rPr>
        <w:t>1,700,681,355</w:t>
      </w:r>
      <w:r>
        <w:rPr>
          <w:rFonts w:ascii="宋体" w:eastAsia="宋体" w:hAnsi="宋体" w:cs="宋体" w:hint="eastAsia"/>
          <w:sz w:val="18"/>
          <w:szCs w:val="18"/>
        </w:rPr>
        <w:t>股为基准），实际回购期间为</w:t>
      </w:r>
      <w:r>
        <w:rPr>
          <w:rFonts w:ascii="宋体" w:eastAsia="宋体" w:hAnsi="宋体" w:cs="宋体" w:hint="eastAsia"/>
          <w:sz w:val="18"/>
          <w:szCs w:val="18"/>
        </w:rPr>
        <w:t>2022</w:t>
      </w:r>
      <w:r>
        <w:rPr>
          <w:rFonts w:ascii="宋体" w:eastAsia="宋体" w:hAnsi="宋体" w:cs="宋体" w:hint="eastAsia"/>
          <w:sz w:val="18"/>
          <w:szCs w:val="18"/>
        </w:rPr>
        <w:t>年</w:t>
      </w:r>
      <w:r>
        <w:rPr>
          <w:rFonts w:ascii="宋体" w:eastAsia="宋体" w:hAnsi="宋体" w:cs="宋体" w:hint="eastAsia"/>
          <w:sz w:val="18"/>
          <w:szCs w:val="18"/>
        </w:rPr>
        <w:t>4</w:t>
      </w:r>
      <w:r>
        <w:rPr>
          <w:rFonts w:ascii="宋体" w:eastAsia="宋体" w:hAnsi="宋体" w:cs="宋体" w:hint="eastAsia"/>
          <w:sz w:val="18"/>
          <w:szCs w:val="18"/>
        </w:rPr>
        <w:t>月</w:t>
      </w:r>
      <w:r>
        <w:rPr>
          <w:rFonts w:ascii="宋体" w:eastAsia="宋体" w:hAnsi="宋体" w:cs="宋体" w:hint="eastAsia"/>
          <w:sz w:val="18"/>
          <w:szCs w:val="18"/>
        </w:rPr>
        <w:t>28</w:t>
      </w:r>
      <w:r>
        <w:rPr>
          <w:rFonts w:ascii="宋体" w:eastAsia="宋体" w:hAnsi="宋体" w:cs="宋体" w:hint="eastAsia"/>
          <w:sz w:val="18"/>
          <w:szCs w:val="18"/>
        </w:rPr>
        <w:t>日至</w:t>
      </w:r>
      <w:r>
        <w:rPr>
          <w:rFonts w:ascii="宋体" w:eastAsia="宋体" w:hAnsi="宋体" w:cs="宋体" w:hint="eastAsia"/>
          <w:sz w:val="18"/>
          <w:szCs w:val="18"/>
        </w:rPr>
        <w:t>2023</w:t>
      </w:r>
      <w:r>
        <w:rPr>
          <w:rFonts w:ascii="宋体" w:eastAsia="宋体" w:hAnsi="宋体" w:cs="宋体" w:hint="eastAsia"/>
          <w:sz w:val="18"/>
          <w:szCs w:val="18"/>
        </w:rPr>
        <w:t>年</w:t>
      </w:r>
      <w:r>
        <w:rPr>
          <w:rFonts w:ascii="宋体" w:eastAsia="宋体" w:hAnsi="宋体" w:cs="宋体" w:hint="eastAsia"/>
          <w:sz w:val="18"/>
          <w:szCs w:val="18"/>
        </w:rPr>
        <w:t>3</w:t>
      </w:r>
      <w:r>
        <w:rPr>
          <w:rFonts w:ascii="宋体" w:eastAsia="宋体" w:hAnsi="宋体" w:cs="宋体" w:hint="eastAsia"/>
          <w:sz w:val="18"/>
          <w:szCs w:val="18"/>
        </w:rPr>
        <w:t>月</w:t>
      </w:r>
      <w:r>
        <w:rPr>
          <w:rFonts w:ascii="宋体" w:eastAsia="宋体" w:hAnsi="宋体" w:cs="宋体" w:hint="eastAsia"/>
          <w:sz w:val="18"/>
          <w:szCs w:val="18"/>
        </w:rPr>
        <w:t>20</w:t>
      </w:r>
      <w:r>
        <w:rPr>
          <w:rFonts w:ascii="宋体" w:eastAsia="宋体" w:hAnsi="宋体" w:cs="宋体" w:hint="eastAsia"/>
          <w:sz w:val="18"/>
          <w:szCs w:val="18"/>
        </w:rPr>
        <w:t>日，其中最高成交价为</w:t>
      </w:r>
      <w:r>
        <w:rPr>
          <w:rFonts w:ascii="宋体" w:eastAsia="宋体" w:hAnsi="宋体" w:cs="宋体" w:hint="eastAsia"/>
          <w:sz w:val="18"/>
          <w:szCs w:val="18"/>
        </w:rPr>
        <w:t>3.67</w:t>
      </w:r>
      <w:r>
        <w:rPr>
          <w:rFonts w:ascii="宋体" w:eastAsia="宋体" w:hAnsi="宋体" w:cs="宋体" w:hint="eastAsia"/>
          <w:sz w:val="18"/>
          <w:szCs w:val="18"/>
        </w:rPr>
        <w:t>元</w:t>
      </w:r>
      <w:r>
        <w:rPr>
          <w:rFonts w:ascii="宋体" w:eastAsia="宋体" w:hAnsi="宋体" w:cs="宋体" w:hint="eastAsia"/>
          <w:sz w:val="18"/>
          <w:szCs w:val="18"/>
        </w:rPr>
        <w:t>/</w:t>
      </w:r>
      <w:r>
        <w:rPr>
          <w:rFonts w:ascii="宋体" w:eastAsia="宋体" w:hAnsi="宋体" w:cs="宋体" w:hint="eastAsia"/>
          <w:sz w:val="18"/>
          <w:szCs w:val="18"/>
        </w:rPr>
        <w:t>股，最低成交价为</w:t>
      </w:r>
      <w:r>
        <w:rPr>
          <w:rFonts w:ascii="宋体" w:eastAsia="宋体" w:hAnsi="宋体" w:cs="宋体" w:hint="eastAsia"/>
          <w:sz w:val="18"/>
          <w:szCs w:val="18"/>
        </w:rPr>
        <w:t>3.04</w:t>
      </w:r>
      <w:r>
        <w:rPr>
          <w:rFonts w:ascii="宋体" w:eastAsia="宋体" w:hAnsi="宋体" w:cs="宋体" w:hint="eastAsia"/>
          <w:sz w:val="18"/>
          <w:szCs w:val="18"/>
        </w:rPr>
        <w:t>元</w:t>
      </w:r>
      <w:r>
        <w:rPr>
          <w:rFonts w:ascii="宋体" w:eastAsia="宋体" w:hAnsi="宋体" w:cs="宋体" w:hint="eastAsia"/>
          <w:sz w:val="18"/>
          <w:szCs w:val="18"/>
        </w:rPr>
        <w:t>/</w:t>
      </w:r>
      <w:r>
        <w:rPr>
          <w:rFonts w:ascii="宋体" w:eastAsia="宋体" w:hAnsi="宋体" w:cs="宋体" w:hint="eastAsia"/>
          <w:sz w:val="18"/>
          <w:szCs w:val="18"/>
        </w:rPr>
        <w:t>股，成交总金额为人民</w:t>
      </w:r>
      <w:r>
        <w:rPr>
          <w:rFonts w:ascii="宋体" w:eastAsia="宋体" w:hAnsi="宋体" w:cs="宋体" w:hint="eastAsia"/>
          <w:sz w:val="18"/>
          <w:szCs w:val="18"/>
        </w:rPr>
        <w:t>99,916,654.12</w:t>
      </w:r>
      <w:r>
        <w:rPr>
          <w:rFonts w:ascii="宋体" w:eastAsia="宋体" w:hAnsi="宋体" w:cs="宋体" w:hint="eastAsia"/>
          <w:sz w:val="18"/>
          <w:szCs w:val="18"/>
        </w:rPr>
        <w:t>元（不含交易费用）。</w:t>
      </w:r>
    </w:p>
    <w:p w:rsidR="00A067C6" w:rsidRDefault="005C4966">
      <w:pPr>
        <w:spacing w:line="240" w:lineRule="exact"/>
        <w:ind w:firstLineChars="200" w:firstLine="360"/>
        <w:jc w:val="both"/>
        <w:rPr>
          <w:rFonts w:ascii="宋体" w:eastAsia="宋体" w:hAnsi="宋体" w:cs="宋体"/>
          <w:sz w:val="18"/>
          <w:szCs w:val="18"/>
        </w:rPr>
      </w:pPr>
      <w:r>
        <w:rPr>
          <w:rFonts w:ascii="宋体" w:eastAsia="宋体" w:hAnsi="宋体" w:cs="宋体" w:hint="eastAsia"/>
          <w:sz w:val="18"/>
          <w:szCs w:val="18"/>
        </w:rPr>
        <w:t>5</w:t>
      </w:r>
      <w:r>
        <w:rPr>
          <w:rFonts w:ascii="宋体" w:eastAsia="宋体" w:hAnsi="宋体" w:cs="宋体" w:hint="eastAsia"/>
          <w:sz w:val="18"/>
          <w:szCs w:val="18"/>
        </w:rPr>
        <w:t>、本次回购符合相关法律法规的要求，符合公司既定的回购方案，本次回购股份方案已实施完毕。</w:t>
      </w:r>
    </w:p>
    <w:p w:rsidR="00A067C6" w:rsidRDefault="005C4966" w:rsidP="005C4966">
      <w:pPr>
        <w:spacing w:line="240" w:lineRule="exact"/>
        <w:ind w:firstLineChars="200" w:firstLine="422"/>
        <w:jc w:val="both"/>
        <w:rPr>
          <w:rFonts w:ascii="宋体" w:eastAsia="宋体" w:hAnsi="宋体" w:cs="宋体"/>
          <w:sz w:val="18"/>
          <w:szCs w:val="18"/>
        </w:rPr>
      </w:pPr>
      <w:r>
        <w:rPr>
          <w:rFonts w:ascii="宋体" w:eastAsia="宋体" w:hAnsi="宋体" w:cs="宋体" w:hint="eastAsia"/>
          <w:b/>
          <w:bCs/>
        </w:rPr>
        <w:t>二、</w:t>
      </w:r>
      <w:r>
        <w:rPr>
          <w:rFonts w:ascii="宋体" w:eastAsia="宋体" w:hAnsi="宋体" w:cs="宋体" w:hint="eastAsia"/>
          <w:b/>
          <w:bCs/>
        </w:rPr>
        <w:t>2</w:t>
      </w:r>
      <w:r>
        <w:rPr>
          <w:rFonts w:ascii="宋体" w:eastAsia="宋体" w:hAnsi="宋体" w:cs="宋体" w:hint="eastAsia"/>
          <w:b/>
          <w:bCs/>
        </w:rPr>
        <w:t>023</w:t>
      </w:r>
      <w:r>
        <w:rPr>
          <w:rFonts w:ascii="宋体" w:eastAsia="宋体" w:hAnsi="宋体" w:cs="宋体" w:hint="eastAsia"/>
          <w:b/>
          <w:bCs/>
        </w:rPr>
        <w:t>年股份回购事项</w:t>
      </w:r>
    </w:p>
    <w:p w:rsidR="00A067C6" w:rsidRDefault="005C4966">
      <w:pPr>
        <w:spacing w:line="240" w:lineRule="exact"/>
        <w:ind w:firstLineChars="200" w:firstLine="360"/>
        <w:jc w:val="both"/>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hint="eastAsia"/>
          <w:sz w:val="18"/>
          <w:szCs w:val="18"/>
        </w:rPr>
        <w:t>、公司于</w:t>
      </w:r>
      <w:r>
        <w:rPr>
          <w:rFonts w:ascii="宋体" w:eastAsia="宋体" w:hAnsi="宋体" w:cs="宋体" w:hint="eastAsia"/>
          <w:sz w:val="18"/>
          <w:szCs w:val="18"/>
        </w:rPr>
        <w:t>2023</w:t>
      </w:r>
      <w:r>
        <w:rPr>
          <w:rFonts w:ascii="宋体" w:eastAsia="宋体" w:hAnsi="宋体" w:cs="宋体" w:hint="eastAsia"/>
          <w:sz w:val="18"/>
          <w:szCs w:val="18"/>
        </w:rPr>
        <w:t>年</w:t>
      </w:r>
      <w:r>
        <w:rPr>
          <w:rFonts w:ascii="宋体" w:eastAsia="宋体" w:hAnsi="宋体" w:cs="宋体" w:hint="eastAsia"/>
          <w:sz w:val="18"/>
          <w:szCs w:val="18"/>
        </w:rPr>
        <w:t>3</w:t>
      </w:r>
      <w:r>
        <w:rPr>
          <w:rFonts w:ascii="宋体" w:eastAsia="宋体" w:hAnsi="宋体" w:cs="宋体" w:hint="eastAsia"/>
          <w:sz w:val="18"/>
          <w:szCs w:val="18"/>
        </w:rPr>
        <w:t>月</w:t>
      </w:r>
      <w:r>
        <w:rPr>
          <w:rFonts w:ascii="宋体" w:eastAsia="宋体" w:hAnsi="宋体" w:cs="宋体" w:hint="eastAsia"/>
          <w:sz w:val="18"/>
          <w:szCs w:val="18"/>
        </w:rPr>
        <w:t>17</w:t>
      </w:r>
      <w:r>
        <w:rPr>
          <w:rFonts w:ascii="宋体" w:eastAsia="宋体" w:hAnsi="宋体" w:cs="宋体" w:hint="eastAsia"/>
          <w:sz w:val="18"/>
          <w:szCs w:val="18"/>
        </w:rPr>
        <w:t>日召开第八届董事会</w:t>
      </w:r>
      <w:r>
        <w:rPr>
          <w:rFonts w:ascii="宋体" w:eastAsia="宋体" w:hAnsi="宋体" w:cs="宋体" w:hint="eastAsia"/>
          <w:sz w:val="18"/>
          <w:szCs w:val="18"/>
        </w:rPr>
        <w:t>2023</w:t>
      </w:r>
      <w:r>
        <w:rPr>
          <w:rFonts w:ascii="宋体" w:eastAsia="宋体" w:hAnsi="宋体" w:cs="宋体" w:hint="eastAsia"/>
          <w:sz w:val="18"/>
          <w:szCs w:val="18"/>
        </w:rPr>
        <w:t>年第一次临时会议，审议通过《关于</w:t>
      </w:r>
      <w:r>
        <w:rPr>
          <w:rFonts w:ascii="宋体" w:eastAsia="宋体" w:hAnsi="宋体" w:cs="宋体" w:hint="eastAsia"/>
          <w:sz w:val="18"/>
          <w:szCs w:val="18"/>
        </w:rPr>
        <w:t>2023</w:t>
      </w:r>
      <w:r>
        <w:rPr>
          <w:rFonts w:ascii="宋体" w:eastAsia="宋体" w:hAnsi="宋体" w:cs="宋体" w:hint="eastAsia"/>
          <w:sz w:val="18"/>
          <w:szCs w:val="18"/>
        </w:rPr>
        <w:t>年回购公司股份方案的议案》，公司拟使用自有资金以集中竞价交易方式回购已发行的人民币普通股（</w:t>
      </w:r>
      <w:r>
        <w:rPr>
          <w:rFonts w:ascii="宋体" w:eastAsia="宋体" w:hAnsi="宋体" w:cs="宋体" w:hint="eastAsia"/>
          <w:sz w:val="18"/>
          <w:szCs w:val="18"/>
        </w:rPr>
        <w:t>A</w:t>
      </w:r>
      <w:r>
        <w:rPr>
          <w:rFonts w:ascii="宋体" w:eastAsia="宋体" w:hAnsi="宋体" w:cs="宋体" w:hint="eastAsia"/>
          <w:sz w:val="18"/>
          <w:szCs w:val="18"/>
        </w:rPr>
        <w:t>股）股份，回购股份用于维护公司价值及股东权益所必需，公司本次回购的股份后续将按有关规定予以全部出售。回购总金额为不低于人民币</w:t>
      </w:r>
      <w:r>
        <w:rPr>
          <w:rFonts w:ascii="宋体" w:eastAsia="宋体" w:hAnsi="宋体" w:cs="宋体" w:hint="eastAsia"/>
          <w:sz w:val="18"/>
          <w:szCs w:val="18"/>
        </w:rPr>
        <w:t>10,000</w:t>
      </w:r>
      <w:r>
        <w:rPr>
          <w:rFonts w:ascii="宋体" w:eastAsia="宋体" w:hAnsi="宋体" w:cs="宋体" w:hint="eastAsia"/>
          <w:sz w:val="18"/>
          <w:szCs w:val="18"/>
        </w:rPr>
        <w:t>万元，不超过人民币</w:t>
      </w:r>
      <w:r>
        <w:rPr>
          <w:rFonts w:ascii="宋体" w:eastAsia="宋体" w:hAnsi="宋体" w:cs="宋体" w:hint="eastAsia"/>
          <w:sz w:val="18"/>
          <w:szCs w:val="18"/>
        </w:rPr>
        <w:t>20,000</w:t>
      </w:r>
      <w:r>
        <w:rPr>
          <w:rFonts w:ascii="宋体" w:eastAsia="宋体" w:hAnsi="宋体" w:cs="宋体" w:hint="eastAsia"/>
          <w:sz w:val="18"/>
          <w:szCs w:val="18"/>
        </w:rPr>
        <w:t>万元，回购价格不超过</w:t>
      </w:r>
      <w:r>
        <w:rPr>
          <w:rFonts w:ascii="宋体" w:eastAsia="宋体" w:hAnsi="宋体" w:cs="宋体" w:hint="eastAsia"/>
          <w:sz w:val="18"/>
          <w:szCs w:val="18"/>
        </w:rPr>
        <w:t>4.60</w:t>
      </w:r>
      <w:r>
        <w:rPr>
          <w:rFonts w:ascii="宋体" w:eastAsia="宋体" w:hAnsi="宋体" w:cs="宋体" w:hint="eastAsia"/>
          <w:sz w:val="18"/>
          <w:szCs w:val="18"/>
        </w:rPr>
        <w:t>元</w:t>
      </w:r>
      <w:r>
        <w:rPr>
          <w:rFonts w:ascii="宋体" w:eastAsia="宋体" w:hAnsi="宋体" w:cs="宋体" w:hint="eastAsia"/>
          <w:sz w:val="18"/>
          <w:szCs w:val="18"/>
        </w:rPr>
        <w:t>/</w:t>
      </w:r>
      <w:r>
        <w:rPr>
          <w:rFonts w:ascii="宋体" w:eastAsia="宋体" w:hAnsi="宋体" w:cs="宋体" w:hint="eastAsia"/>
          <w:sz w:val="18"/>
          <w:szCs w:val="18"/>
        </w:rPr>
        <w:t>股，按回购资金总额下限人民币</w:t>
      </w:r>
      <w:r>
        <w:rPr>
          <w:rFonts w:ascii="宋体" w:eastAsia="宋体" w:hAnsi="宋体" w:cs="宋体" w:hint="eastAsia"/>
          <w:sz w:val="18"/>
          <w:szCs w:val="18"/>
        </w:rPr>
        <w:t>10,000</w:t>
      </w:r>
      <w:r>
        <w:rPr>
          <w:rFonts w:ascii="宋体" w:eastAsia="宋体" w:hAnsi="宋体" w:cs="宋体" w:hint="eastAsia"/>
          <w:sz w:val="18"/>
          <w:szCs w:val="18"/>
        </w:rPr>
        <w:t>万元和回购股份价格上限</w:t>
      </w:r>
      <w:r>
        <w:rPr>
          <w:rFonts w:ascii="宋体" w:eastAsia="宋体" w:hAnsi="宋体" w:cs="宋体" w:hint="eastAsia"/>
          <w:sz w:val="18"/>
          <w:szCs w:val="18"/>
        </w:rPr>
        <w:t>4.60</w:t>
      </w:r>
      <w:r>
        <w:rPr>
          <w:rFonts w:ascii="宋体" w:eastAsia="宋体" w:hAnsi="宋体" w:cs="宋体" w:hint="eastAsia"/>
          <w:sz w:val="18"/>
          <w:szCs w:val="18"/>
        </w:rPr>
        <w:t>元</w:t>
      </w:r>
      <w:r>
        <w:rPr>
          <w:rFonts w:ascii="宋体" w:eastAsia="宋体" w:hAnsi="宋体" w:cs="宋体" w:hint="eastAsia"/>
          <w:sz w:val="18"/>
          <w:szCs w:val="18"/>
        </w:rPr>
        <w:t>/</w:t>
      </w:r>
      <w:r>
        <w:rPr>
          <w:rFonts w:ascii="宋体" w:eastAsia="宋体" w:hAnsi="宋体" w:cs="宋体" w:hint="eastAsia"/>
          <w:sz w:val="18"/>
          <w:szCs w:val="18"/>
        </w:rPr>
        <w:t>股测算，预计回购股份数量约为</w:t>
      </w:r>
      <w:r>
        <w:rPr>
          <w:rFonts w:ascii="宋体" w:eastAsia="宋体" w:hAnsi="宋体" w:cs="宋体" w:hint="eastAsia"/>
          <w:sz w:val="18"/>
          <w:szCs w:val="18"/>
        </w:rPr>
        <w:t>21</w:t>
      </w:r>
      <w:r>
        <w:rPr>
          <w:rFonts w:ascii="宋体" w:eastAsia="宋体" w:hAnsi="宋体" w:cs="宋体" w:hint="eastAsia"/>
          <w:sz w:val="18"/>
          <w:szCs w:val="18"/>
        </w:rPr>
        <w:t>,739,130</w:t>
      </w:r>
      <w:r>
        <w:rPr>
          <w:rFonts w:ascii="宋体" w:eastAsia="宋体" w:hAnsi="宋体" w:cs="宋体" w:hint="eastAsia"/>
          <w:sz w:val="18"/>
          <w:szCs w:val="18"/>
        </w:rPr>
        <w:t>股，约占目前公司总股本的</w:t>
      </w:r>
      <w:r>
        <w:rPr>
          <w:rFonts w:ascii="宋体" w:eastAsia="宋体" w:hAnsi="宋体" w:cs="宋体" w:hint="eastAsia"/>
          <w:sz w:val="18"/>
          <w:szCs w:val="18"/>
        </w:rPr>
        <w:t>1.28%</w:t>
      </w:r>
      <w:r>
        <w:rPr>
          <w:rFonts w:ascii="宋体" w:eastAsia="宋体" w:hAnsi="宋体" w:cs="宋体" w:hint="eastAsia"/>
          <w:sz w:val="18"/>
          <w:szCs w:val="18"/>
        </w:rPr>
        <w:t>；按回购总金额上限人民币</w:t>
      </w:r>
      <w:r>
        <w:rPr>
          <w:rFonts w:ascii="宋体" w:eastAsia="宋体" w:hAnsi="宋体" w:cs="宋体" w:hint="eastAsia"/>
          <w:sz w:val="18"/>
          <w:szCs w:val="18"/>
        </w:rPr>
        <w:t>20,000</w:t>
      </w:r>
      <w:r>
        <w:rPr>
          <w:rFonts w:ascii="宋体" w:eastAsia="宋体" w:hAnsi="宋体" w:cs="宋体" w:hint="eastAsia"/>
          <w:sz w:val="18"/>
          <w:szCs w:val="18"/>
        </w:rPr>
        <w:t>万元和回购股份价格上限</w:t>
      </w:r>
      <w:r>
        <w:rPr>
          <w:rFonts w:ascii="宋体" w:eastAsia="宋体" w:hAnsi="宋体" w:cs="宋体" w:hint="eastAsia"/>
          <w:sz w:val="18"/>
          <w:szCs w:val="18"/>
        </w:rPr>
        <w:t>4.60</w:t>
      </w:r>
      <w:r>
        <w:rPr>
          <w:rFonts w:ascii="宋体" w:eastAsia="宋体" w:hAnsi="宋体" w:cs="宋体" w:hint="eastAsia"/>
          <w:sz w:val="18"/>
          <w:szCs w:val="18"/>
        </w:rPr>
        <w:t>元</w:t>
      </w:r>
      <w:r>
        <w:rPr>
          <w:rFonts w:ascii="宋体" w:eastAsia="宋体" w:hAnsi="宋体" w:cs="宋体" w:hint="eastAsia"/>
          <w:sz w:val="18"/>
          <w:szCs w:val="18"/>
        </w:rPr>
        <w:t>/</w:t>
      </w:r>
      <w:r>
        <w:rPr>
          <w:rFonts w:ascii="宋体" w:eastAsia="宋体" w:hAnsi="宋体" w:cs="宋体" w:hint="eastAsia"/>
          <w:sz w:val="18"/>
          <w:szCs w:val="18"/>
        </w:rPr>
        <w:t>股测算，预计回购股份数量约为</w:t>
      </w:r>
      <w:r>
        <w:rPr>
          <w:rFonts w:ascii="宋体" w:eastAsia="宋体" w:hAnsi="宋体" w:cs="宋体" w:hint="eastAsia"/>
          <w:sz w:val="18"/>
          <w:szCs w:val="18"/>
        </w:rPr>
        <w:t>43,478,260</w:t>
      </w:r>
      <w:r>
        <w:rPr>
          <w:rFonts w:ascii="宋体" w:eastAsia="宋体" w:hAnsi="宋体" w:cs="宋体" w:hint="eastAsia"/>
          <w:sz w:val="18"/>
          <w:szCs w:val="18"/>
        </w:rPr>
        <w:t>股，约占目前公司总股本的</w:t>
      </w:r>
      <w:r>
        <w:rPr>
          <w:rFonts w:ascii="宋体" w:eastAsia="宋体" w:hAnsi="宋体" w:cs="宋体" w:hint="eastAsia"/>
          <w:sz w:val="18"/>
          <w:szCs w:val="18"/>
        </w:rPr>
        <w:t>2.56%</w:t>
      </w:r>
      <w:r>
        <w:rPr>
          <w:rFonts w:ascii="宋体" w:eastAsia="宋体" w:hAnsi="宋体" w:cs="宋体" w:hint="eastAsia"/>
          <w:sz w:val="18"/>
          <w:szCs w:val="18"/>
        </w:rPr>
        <w:t>。</w:t>
      </w:r>
    </w:p>
    <w:p w:rsidR="00A067C6" w:rsidRDefault="005C4966">
      <w:pPr>
        <w:spacing w:line="240" w:lineRule="exact"/>
        <w:ind w:firstLineChars="200" w:firstLine="360"/>
        <w:jc w:val="both"/>
        <w:rPr>
          <w:rFonts w:ascii="宋体" w:eastAsia="宋体" w:hAnsi="宋体" w:cs="宋体"/>
          <w:sz w:val="18"/>
          <w:szCs w:val="18"/>
        </w:rPr>
      </w:pPr>
      <w:r>
        <w:rPr>
          <w:rFonts w:ascii="宋体" w:eastAsia="宋体" w:hAnsi="宋体" w:cs="宋体" w:hint="eastAsia"/>
          <w:sz w:val="18"/>
          <w:szCs w:val="18"/>
        </w:rPr>
        <w:t>2</w:t>
      </w:r>
      <w:r>
        <w:rPr>
          <w:rFonts w:ascii="宋体" w:eastAsia="宋体" w:hAnsi="宋体" w:cs="宋体" w:hint="eastAsia"/>
          <w:sz w:val="18"/>
          <w:szCs w:val="18"/>
        </w:rPr>
        <w:t>、</w:t>
      </w:r>
      <w:r>
        <w:rPr>
          <w:rFonts w:ascii="宋体" w:eastAsia="宋体" w:hAnsi="宋体" w:cs="宋体" w:hint="eastAsia"/>
          <w:sz w:val="18"/>
          <w:szCs w:val="18"/>
        </w:rPr>
        <w:t>2023</w:t>
      </w:r>
      <w:r>
        <w:rPr>
          <w:rFonts w:ascii="宋体" w:eastAsia="宋体" w:hAnsi="宋体" w:cs="宋体" w:hint="eastAsia"/>
          <w:sz w:val="18"/>
          <w:szCs w:val="18"/>
        </w:rPr>
        <w:t>年</w:t>
      </w:r>
      <w:r>
        <w:rPr>
          <w:rFonts w:ascii="宋体" w:eastAsia="宋体" w:hAnsi="宋体" w:cs="宋体" w:hint="eastAsia"/>
          <w:sz w:val="18"/>
          <w:szCs w:val="18"/>
        </w:rPr>
        <w:t>3</w:t>
      </w:r>
      <w:r>
        <w:rPr>
          <w:rFonts w:ascii="宋体" w:eastAsia="宋体" w:hAnsi="宋体" w:cs="宋体" w:hint="eastAsia"/>
          <w:sz w:val="18"/>
          <w:szCs w:val="18"/>
        </w:rPr>
        <w:t>月</w:t>
      </w:r>
      <w:r>
        <w:rPr>
          <w:rFonts w:ascii="宋体" w:eastAsia="宋体" w:hAnsi="宋体" w:cs="宋体" w:hint="eastAsia"/>
          <w:sz w:val="18"/>
          <w:szCs w:val="18"/>
        </w:rPr>
        <w:t>20</w:t>
      </w:r>
      <w:r>
        <w:rPr>
          <w:rFonts w:ascii="宋体" w:eastAsia="宋体" w:hAnsi="宋体" w:cs="宋体" w:hint="eastAsia"/>
          <w:sz w:val="18"/>
          <w:szCs w:val="18"/>
        </w:rPr>
        <w:t>日，公司通过股份回购专用证券账户以集中竞价方式实施了首次回购，回购股份数量</w:t>
      </w:r>
      <w:r>
        <w:rPr>
          <w:rFonts w:ascii="宋体" w:eastAsia="宋体" w:hAnsi="宋体" w:cs="宋体" w:hint="eastAsia"/>
          <w:sz w:val="18"/>
          <w:szCs w:val="18"/>
        </w:rPr>
        <w:t>38,000</w:t>
      </w:r>
      <w:r>
        <w:rPr>
          <w:rFonts w:ascii="宋体" w:eastAsia="宋体" w:hAnsi="宋体" w:cs="宋体" w:hint="eastAsia"/>
          <w:sz w:val="18"/>
          <w:szCs w:val="18"/>
        </w:rPr>
        <w:t>股，占公司目前总股本的</w:t>
      </w:r>
      <w:r>
        <w:rPr>
          <w:rFonts w:ascii="宋体" w:eastAsia="宋体" w:hAnsi="宋体" w:cs="宋体" w:hint="eastAsia"/>
          <w:sz w:val="18"/>
          <w:szCs w:val="18"/>
        </w:rPr>
        <w:t>0.00%</w:t>
      </w:r>
      <w:r>
        <w:rPr>
          <w:rFonts w:ascii="宋体" w:eastAsia="宋体" w:hAnsi="宋体" w:cs="宋体" w:hint="eastAsia"/>
          <w:sz w:val="18"/>
          <w:szCs w:val="18"/>
        </w:rPr>
        <w:t>。最高成交价格</w:t>
      </w:r>
      <w:r>
        <w:rPr>
          <w:rFonts w:ascii="宋体" w:eastAsia="宋体" w:hAnsi="宋体" w:cs="宋体" w:hint="eastAsia"/>
          <w:sz w:val="18"/>
          <w:szCs w:val="18"/>
        </w:rPr>
        <w:t>3.15/</w:t>
      </w:r>
      <w:r>
        <w:rPr>
          <w:rFonts w:ascii="宋体" w:eastAsia="宋体" w:hAnsi="宋体" w:cs="宋体" w:hint="eastAsia"/>
          <w:sz w:val="18"/>
          <w:szCs w:val="18"/>
        </w:rPr>
        <w:t>股，最低成交价格</w:t>
      </w:r>
      <w:r>
        <w:rPr>
          <w:rFonts w:ascii="宋体" w:eastAsia="宋体" w:hAnsi="宋体" w:cs="宋体" w:hint="eastAsia"/>
          <w:sz w:val="18"/>
          <w:szCs w:val="18"/>
        </w:rPr>
        <w:t>3.13</w:t>
      </w:r>
      <w:r>
        <w:rPr>
          <w:rFonts w:ascii="宋体" w:eastAsia="宋体" w:hAnsi="宋体" w:cs="宋体" w:hint="eastAsia"/>
          <w:sz w:val="18"/>
          <w:szCs w:val="18"/>
        </w:rPr>
        <w:t>元</w:t>
      </w:r>
      <w:r>
        <w:rPr>
          <w:rFonts w:ascii="宋体" w:eastAsia="宋体" w:hAnsi="宋体" w:cs="宋体" w:hint="eastAsia"/>
          <w:sz w:val="18"/>
          <w:szCs w:val="18"/>
        </w:rPr>
        <w:t>/</w:t>
      </w:r>
      <w:r>
        <w:rPr>
          <w:rFonts w:ascii="宋体" w:eastAsia="宋体" w:hAnsi="宋体" w:cs="宋体" w:hint="eastAsia"/>
          <w:sz w:val="18"/>
          <w:szCs w:val="18"/>
        </w:rPr>
        <w:t>股，成交总金额为</w:t>
      </w:r>
      <w:r>
        <w:rPr>
          <w:rFonts w:ascii="宋体" w:eastAsia="宋体" w:hAnsi="宋体" w:cs="宋体" w:hint="eastAsia"/>
          <w:sz w:val="18"/>
          <w:szCs w:val="18"/>
        </w:rPr>
        <w:t>118,940</w:t>
      </w:r>
      <w:r>
        <w:rPr>
          <w:rFonts w:ascii="宋体" w:eastAsia="宋体" w:hAnsi="宋体" w:cs="宋体" w:hint="eastAsia"/>
          <w:sz w:val="18"/>
          <w:szCs w:val="18"/>
        </w:rPr>
        <w:t>元（不含手续费）。具体详见</w:t>
      </w:r>
      <w:r>
        <w:rPr>
          <w:rFonts w:ascii="宋体" w:eastAsia="宋体" w:hAnsi="宋体" w:cs="宋体" w:hint="eastAsia"/>
          <w:sz w:val="18"/>
          <w:szCs w:val="18"/>
        </w:rPr>
        <w:t>2023</w:t>
      </w:r>
      <w:r>
        <w:rPr>
          <w:rFonts w:ascii="宋体" w:eastAsia="宋体" w:hAnsi="宋体" w:cs="宋体" w:hint="eastAsia"/>
          <w:sz w:val="18"/>
          <w:szCs w:val="18"/>
        </w:rPr>
        <w:t>年</w:t>
      </w:r>
      <w:r>
        <w:rPr>
          <w:rFonts w:ascii="宋体" w:eastAsia="宋体" w:hAnsi="宋体" w:cs="宋体" w:hint="eastAsia"/>
          <w:sz w:val="18"/>
          <w:szCs w:val="18"/>
        </w:rPr>
        <w:t>3</w:t>
      </w:r>
      <w:r>
        <w:rPr>
          <w:rFonts w:ascii="宋体" w:eastAsia="宋体" w:hAnsi="宋体" w:cs="宋体" w:hint="eastAsia"/>
          <w:sz w:val="18"/>
          <w:szCs w:val="18"/>
        </w:rPr>
        <w:t>月</w:t>
      </w:r>
      <w:r>
        <w:rPr>
          <w:rFonts w:ascii="宋体" w:eastAsia="宋体" w:hAnsi="宋体" w:cs="宋体" w:hint="eastAsia"/>
          <w:sz w:val="18"/>
          <w:szCs w:val="18"/>
        </w:rPr>
        <w:t>21</w:t>
      </w:r>
      <w:r>
        <w:rPr>
          <w:rFonts w:ascii="宋体" w:eastAsia="宋体" w:hAnsi="宋体" w:cs="宋体" w:hint="eastAsia"/>
          <w:sz w:val="18"/>
          <w:szCs w:val="18"/>
        </w:rPr>
        <w:t>日公司于《中国证券报》、《证券时报》及巨潮资讯网（</w:t>
      </w:r>
      <w:hyperlink r:id="rId12" w:history="1">
        <w:r>
          <w:rPr>
            <w:rFonts w:ascii="宋体" w:eastAsia="宋体" w:hAnsi="宋体" w:cs="宋体" w:hint="eastAsia"/>
          </w:rPr>
          <w:t>www.cninfo.com.cn</w:t>
        </w:r>
      </w:hyperlink>
      <w:r>
        <w:rPr>
          <w:rFonts w:ascii="宋体" w:eastAsia="宋体" w:hAnsi="宋体" w:cs="宋体" w:hint="eastAsia"/>
          <w:sz w:val="18"/>
          <w:szCs w:val="18"/>
        </w:rPr>
        <w:t>）披露的《关于</w:t>
      </w:r>
      <w:r>
        <w:rPr>
          <w:rFonts w:ascii="宋体" w:eastAsia="宋体" w:hAnsi="宋体" w:cs="宋体" w:hint="eastAsia"/>
          <w:sz w:val="18"/>
          <w:szCs w:val="18"/>
        </w:rPr>
        <w:t>2023</w:t>
      </w:r>
      <w:r>
        <w:rPr>
          <w:rFonts w:ascii="宋体" w:eastAsia="宋体" w:hAnsi="宋体" w:cs="宋体" w:hint="eastAsia"/>
          <w:sz w:val="18"/>
          <w:szCs w:val="18"/>
        </w:rPr>
        <w:t>年回购公司股份方案首次回购的公告》（</w:t>
      </w:r>
      <w:r>
        <w:rPr>
          <w:rFonts w:ascii="宋体" w:eastAsia="宋体" w:hAnsi="宋体" w:cs="宋体" w:hint="eastAsia"/>
          <w:sz w:val="18"/>
          <w:szCs w:val="18"/>
        </w:rPr>
        <w:t>2023-11</w:t>
      </w:r>
      <w:r>
        <w:rPr>
          <w:rFonts w:ascii="宋体" w:eastAsia="宋体" w:hAnsi="宋体" w:cs="宋体" w:hint="eastAsia"/>
          <w:sz w:val="18"/>
          <w:szCs w:val="18"/>
        </w:rPr>
        <w:t>）。</w:t>
      </w:r>
    </w:p>
    <w:p w:rsidR="00A067C6" w:rsidRDefault="005C4966">
      <w:pPr>
        <w:spacing w:line="240" w:lineRule="exact"/>
        <w:ind w:firstLineChars="200" w:firstLine="360"/>
        <w:jc w:val="both"/>
        <w:rPr>
          <w:rFonts w:ascii="宋体" w:eastAsia="宋体" w:hAnsi="宋体" w:cs="宋体"/>
          <w:sz w:val="18"/>
          <w:szCs w:val="18"/>
        </w:rPr>
      </w:pPr>
      <w:r>
        <w:rPr>
          <w:rFonts w:ascii="宋体" w:eastAsia="宋体" w:hAnsi="宋体" w:cs="宋体" w:hint="eastAsia"/>
          <w:sz w:val="18"/>
          <w:szCs w:val="18"/>
        </w:rPr>
        <w:t>3</w:t>
      </w:r>
      <w:r>
        <w:rPr>
          <w:rFonts w:ascii="宋体" w:eastAsia="宋体" w:hAnsi="宋体" w:cs="宋体" w:hint="eastAsia"/>
          <w:sz w:val="18"/>
          <w:szCs w:val="18"/>
        </w:rPr>
        <w:t>、根据《深圳证券交易所上市公司自律监管指引第</w:t>
      </w:r>
      <w:r>
        <w:rPr>
          <w:rFonts w:ascii="宋体" w:eastAsia="宋体" w:hAnsi="宋体" w:cs="宋体" w:hint="eastAsia"/>
          <w:sz w:val="18"/>
          <w:szCs w:val="18"/>
        </w:rPr>
        <w:t>9</w:t>
      </w:r>
      <w:r>
        <w:rPr>
          <w:rFonts w:ascii="宋体" w:eastAsia="宋体" w:hAnsi="宋体" w:cs="宋体" w:hint="eastAsia"/>
          <w:sz w:val="18"/>
          <w:szCs w:val="18"/>
        </w:rPr>
        <w:t>号——回购股份》等法律法规、规范性文件的有关规定，公司应当在每个月的前三个交易日内披露截至上月末的回购进展情况，公司回购股份进展具体详见公司分别于</w:t>
      </w:r>
      <w:r>
        <w:rPr>
          <w:rFonts w:ascii="宋体" w:eastAsia="宋体" w:hAnsi="宋体" w:cs="宋体" w:hint="eastAsia"/>
          <w:sz w:val="18"/>
          <w:szCs w:val="18"/>
        </w:rPr>
        <w:t>2023</w:t>
      </w:r>
      <w:r>
        <w:rPr>
          <w:rFonts w:ascii="宋体" w:eastAsia="宋体" w:hAnsi="宋体" w:cs="宋体" w:hint="eastAsia"/>
          <w:sz w:val="18"/>
          <w:szCs w:val="18"/>
        </w:rPr>
        <w:t>年</w:t>
      </w:r>
      <w:r>
        <w:rPr>
          <w:rFonts w:ascii="宋体" w:eastAsia="宋体" w:hAnsi="宋体" w:cs="宋体" w:hint="eastAsia"/>
          <w:sz w:val="18"/>
          <w:szCs w:val="18"/>
        </w:rPr>
        <w:t>4</w:t>
      </w:r>
      <w:r>
        <w:rPr>
          <w:rFonts w:ascii="宋体" w:eastAsia="宋体" w:hAnsi="宋体" w:cs="宋体" w:hint="eastAsia"/>
          <w:sz w:val="18"/>
          <w:szCs w:val="18"/>
        </w:rPr>
        <w:t>月</w:t>
      </w:r>
      <w:r>
        <w:rPr>
          <w:rFonts w:ascii="宋体" w:eastAsia="宋体" w:hAnsi="宋体" w:cs="宋体" w:hint="eastAsia"/>
          <w:sz w:val="18"/>
          <w:szCs w:val="18"/>
        </w:rPr>
        <w:t>6</w:t>
      </w:r>
      <w:r>
        <w:rPr>
          <w:rFonts w:ascii="宋体" w:eastAsia="宋体" w:hAnsi="宋体" w:cs="宋体" w:hint="eastAsia"/>
          <w:sz w:val="18"/>
          <w:szCs w:val="18"/>
        </w:rPr>
        <w:t>日、</w:t>
      </w:r>
      <w:r>
        <w:rPr>
          <w:rFonts w:ascii="宋体" w:eastAsia="宋体" w:hAnsi="宋体" w:cs="宋体" w:hint="eastAsia"/>
          <w:sz w:val="18"/>
          <w:szCs w:val="18"/>
        </w:rPr>
        <w:t>2023</w:t>
      </w:r>
      <w:r>
        <w:rPr>
          <w:rFonts w:ascii="宋体" w:eastAsia="宋体" w:hAnsi="宋体" w:cs="宋体" w:hint="eastAsia"/>
          <w:sz w:val="18"/>
          <w:szCs w:val="18"/>
        </w:rPr>
        <w:t>年</w:t>
      </w:r>
      <w:r>
        <w:rPr>
          <w:rFonts w:ascii="宋体" w:eastAsia="宋体" w:hAnsi="宋体" w:cs="宋体" w:hint="eastAsia"/>
          <w:sz w:val="18"/>
          <w:szCs w:val="18"/>
        </w:rPr>
        <w:t>5</w:t>
      </w:r>
      <w:r>
        <w:rPr>
          <w:rFonts w:ascii="宋体" w:eastAsia="宋体" w:hAnsi="宋体" w:cs="宋体" w:hint="eastAsia"/>
          <w:sz w:val="18"/>
          <w:szCs w:val="18"/>
        </w:rPr>
        <w:t>月</w:t>
      </w:r>
      <w:r>
        <w:rPr>
          <w:rFonts w:ascii="宋体" w:eastAsia="宋体" w:hAnsi="宋体" w:cs="宋体" w:hint="eastAsia"/>
          <w:sz w:val="18"/>
          <w:szCs w:val="18"/>
        </w:rPr>
        <w:t>6</w:t>
      </w:r>
      <w:r>
        <w:rPr>
          <w:rFonts w:ascii="宋体" w:eastAsia="宋体" w:hAnsi="宋体" w:cs="宋体" w:hint="eastAsia"/>
          <w:sz w:val="18"/>
          <w:szCs w:val="18"/>
        </w:rPr>
        <w:t>日、</w:t>
      </w:r>
      <w:r>
        <w:rPr>
          <w:rFonts w:ascii="宋体" w:eastAsia="宋体" w:hAnsi="宋体" w:cs="宋体" w:hint="eastAsia"/>
          <w:sz w:val="18"/>
          <w:szCs w:val="18"/>
        </w:rPr>
        <w:t>2023</w:t>
      </w:r>
      <w:r>
        <w:rPr>
          <w:rFonts w:ascii="宋体" w:eastAsia="宋体" w:hAnsi="宋体" w:cs="宋体" w:hint="eastAsia"/>
          <w:sz w:val="18"/>
          <w:szCs w:val="18"/>
        </w:rPr>
        <w:t>年</w:t>
      </w:r>
      <w:r>
        <w:rPr>
          <w:rFonts w:ascii="宋体" w:eastAsia="宋体" w:hAnsi="宋体" w:cs="宋体" w:hint="eastAsia"/>
          <w:sz w:val="18"/>
          <w:szCs w:val="18"/>
        </w:rPr>
        <w:t>6</w:t>
      </w:r>
      <w:r>
        <w:rPr>
          <w:rFonts w:ascii="宋体" w:eastAsia="宋体" w:hAnsi="宋体" w:cs="宋体" w:hint="eastAsia"/>
          <w:sz w:val="18"/>
          <w:szCs w:val="18"/>
        </w:rPr>
        <w:t>月</w:t>
      </w:r>
      <w:r>
        <w:rPr>
          <w:rFonts w:ascii="宋体" w:eastAsia="宋体" w:hAnsi="宋体" w:cs="宋体" w:hint="eastAsia"/>
          <w:sz w:val="18"/>
          <w:szCs w:val="18"/>
        </w:rPr>
        <w:t>2</w:t>
      </w:r>
      <w:r>
        <w:rPr>
          <w:rFonts w:ascii="宋体" w:eastAsia="宋体" w:hAnsi="宋体" w:cs="宋体" w:hint="eastAsia"/>
          <w:sz w:val="18"/>
          <w:szCs w:val="18"/>
        </w:rPr>
        <w:t>日披露的《关于</w:t>
      </w:r>
      <w:r>
        <w:rPr>
          <w:rFonts w:ascii="宋体" w:eastAsia="宋体" w:hAnsi="宋体" w:cs="宋体" w:hint="eastAsia"/>
          <w:sz w:val="18"/>
          <w:szCs w:val="18"/>
        </w:rPr>
        <w:t>2023</w:t>
      </w:r>
      <w:r>
        <w:rPr>
          <w:rFonts w:ascii="宋体" w:eastAsia="宋体" w:hAnsi="宋体" w:cs="宋体" w:hint="eastAsia"/>
          <w:sz w:val="18"/>
          <w:szCs w:val="18"/>
        </w:rPr>
        <w:t>年回购公司股份进展的公告》。</w:t>
      </w:r>
    </w:p>
    <w:p w:rsidR="00A067C6" w:rsidRDefault="005C4966">
      <w:pPr>
        <w:spacing w:line="240" w:lineRule="exact"/>
        <w:ind w:firstLineChars="200" w:firstLine="360"/>
        <w:jc w:val="both"/>
        <w:rPr>
          <w:rFonts w:ascii="宋体" w:eastAsia="宋体" w:hAnsi="宋体" w:cs="宋体"/>
          <w:sz w:val="18"/>
          <w:szCs w:val="18"/>
        </w:rPr>
      </w:pPr>
      <w:r>
        <w:rPr>
          <w:rFonts w:ascii="宋体" w:eastAsia="宋体" w:hAnsi="宋体" w:cs="宋体" w:hint="eastAsia"/>
          <w:sz w:val="18"/>
          <w:szCs w:val="18"/>
        </w:rPr>
        <w:t>4</w:t>
      </w:r>
      <w:r>
        <w:rPr>
          <w:rFonts w:ascii="宋体" w:eastAsia="宋体" w:hAnsi="宋体" w:cs="宋体" w:hint="eastAsia"/>
          <w:sz w:val="18"/>
          <w:szCs w:val="18"/>
        </w:rPr>
        <w:t>、截至</w:t>
      </w:r>
      <w:r>
        <w:rPr>
          <w:rFonts w:ascii="宋体" w:eastAsia="宋体" w:hAnsi="宋体" w:cs="宋体" w:hint="eastAsia"/>
          <w:sz w:val="18"/>
          <w:szCs w:val="18"/>
        </w:rPr>
        <w:t>2023</w:t>
      </w:r>
      <w:r>
        <w:rPr>
          <w:rFonts w:ascii="宋体" w:eastAsia="宋体" w:hAnsi="宋体" w:cs="宋体" w:hint="eastAsia"/>
          <w:sz w:val="18"/>
          <w:szCs w:val="18"/>
        </w:rPr>
        <w:t>年</w:t>
      </w:r>
      <w:r>
        <w:rPr>
          <w:rFonts w:ascii="宋体" w:eastAsia="宋体" w:hAnsi="宋体" w:cs="宋体" w:hint="eastAsia"/>
          <w:sz w:val="18"/>
          <w:szCs w:val="18"/>
        </w:rPr>
        <w:t>6</w:t>
      </w:r>
      <w:r>
        <w:rPr>
          <w:rFonts w:ascii="宋体" w:eastAsia="宋体" w:hAnsi="宋体" w:cs="宋体" w:hint="eastAsia"/>
          <w:sz w:val="18"/>
          <w:szCs w:val="18"/>
        </w:rPr>
        <w:t>月</w:t>
      </w:r>
      <w:r>
        <w:rPr>
          <w:rFonts w:ascii="宋体" w:eastAsia="宋体" w:hAnsi="宋体" w:cs="宋体" w:hint="eastAsia"/>
          <w:sz w:val="18"/>
          <w:szCs w:val="18"/>
        </w:rPr>
        <w:t>6</w:t>
      </w:r>
      <w:r>
        <w:rPr>
          <w:rFonts w:ascii="宋体" w:eastAsia="宋体" w:hAnsi="宋体" w:cs="宋体" w:hint="eastAsia"/>
          <w:sz w:val="18"/>
          <w:szCs w:val="18"/>
        </w:rPr>
        <w:t>日，公司回购股份比例达到公司已发行总股数的</w:t>
      </w:r>
      <w:r>
        <w:rPr>
          <w:rFonts w:ascii="宋体" w:eastAsia="宋体" w:hAnsi="宋体" w:cs="宋体" w:hint="eastAsia"/>
          <w:sz w:val="18"/>
          <w:szCs w:val="18"/>
        </w:rPr>
        <w:t>1.04%</w:t>
      </w:r>
      <w:r>
        <w:rPr>
          <w:rFonts w:ascii="宋体" w:eastAsia="宋体" w:hAnsi="宋体" w:cs="宋体" w:hint="eastAsia"/>
          <w:sz w:val="18"/>
          <w:szCs w:val="18"/>
        </w:rPr>
        <w:t>，根据《深圳证券交易所上市公司自律监管指引第</w:t>
      </w:r>
      <w:r>
        <w:rPr>
          <w:rFonts w:ascii="宋体" w:eastAsia="宋体" w:hAnsi="宋体" w:cs="宋体" w:hint="eastAsia"/>
          <w:sz w:val="18"/>
          <w:szCs w:val="18"/>
        </w:rPr>
        <w:t>9</w:t>
      </w:r>
      <w:r>
        <w:rPr>
          <w:rFonts w:ascii="宋体" w:eastAsia="宋体" w:hAnsi="宋体" w:cs="宋体" w:hint="eastAsia"/>
          <w:sz w:val="18"/>
          <w:szCs w:val="18"/>
        </w:rPr>
        <w:t>号——回购股份》等法律法规、规范性文件的有关规定，回购股份占上市公司总股本的比例每增加</w:t>
      </w:r>
      <w:r>
        <w:rPr>
          <w:rFonts w:ascii="宋体" w:eastAsia="宋体" w:hAnsi="宋体" w:cs="宋体" w:hint="eastAsia"/>
          <w:sz w:val="18"/>
          <w:szCs w:val="18"/>
        </w:rPr>
        <w:t>1%</w:t>
      </w:r>
      <w:r>
        <w:rPr>
          <w:rFonts w:ascii="宋体" w:eastAsia="宋体" w:hAnsi="宋体" w:cs="宋体" w:hint="eastAsia"/>
          <w:sz w:val="18"/>
          <w:szCs w:val="18"/>
        </w:rPr>
        <w:t>，应当在事实发生之日起</w:t>
      </w:r>
      <w:r>
        <w:rPr>
          <w:rFonts w:ascii="宋体" w:eastAsia="宋体" w:hAnsi="宋体" w:cs="宋体" w:hint="eastAsia"/>
          <w:sz w:val="18"/>
          <w:szCs w:val="18"/>
        </w:rPr>
        <w:t>3</w:t>
      </w:r>
      <w:r>
        <w:rPr>
          <w:rFonts w:ascii="宋体" w:eastAsia="宋体" w:hAnsi="宋体" w:cs="宋体" w:hint="eastAsia"/>
          <w:sz w:val="18"/>
          <w:szCs w:val="18"/>
        </w:rPr>
        <w:t>日内予以披露。具体详见公司于</w:t>
      </w:r>
      <w:r>
        <w:rPr>
          <w:rFonts w:ascii="宋体" w:eastAsia="宋体" w:hAnsi="宋体" w:cs="宋体" w:hint="eastAsia"/>
          <w:sz w:val="18"/>
          <w:szCs w:val="18"/>
        </w:rPr>
        <w:t>2023</w:t>
      </w:r>
      <w:r>
        <w:rPr>
          <w:rFonts w:ascii="宋体" w:eastAsia="宋体" w:hAnsi="宋体" w:cs="宋体" w:hint="eastAsia"/>
          <w:sz w:val="18"/>
          <w:szCs w:val="18"/>
        </w:rPr>
        <w:t>年</w:t>
      </w:r>
      <w:r>
        <w:rPr>
          <w:rFonts w:ascii="宋体" w:eastAsia="宋体" w:hAnsi="宋体" w:cs="宋体" w:hint="eastAsia"/>
          <w:sz w:val="18"/>
          <w:szCs w:val="18"/>
        </w:rPr>
        <w:t>6</w:t>
      </w:r>
      <w:r>
        <w:rPr>
          <w:rFonts w:ascii="宋体" w:eastAsia="宋体" w:hAnsi="宋体" w:cs="宋体" w:hint="eastAsia"/>
          <w:sz w:val="18"/>
          <w:szCs w:val="18"/>
        </w:rPr>
        <w:t>月</w:t>
      </w:r>
      <w:r>
        <w:rPr>
          <w:rFonts w:ascii="宋体" w:eastAsia="宋体" w:hAnsi="宋体" w:cs="宋体" w:hint="eastAsia"/>
          <w:sz w:val="18"/>
          <w:szCs w:val="18"/>
        </w:rPr>
        <w:t>7</w:t>
      </w:r>
      <w:r>
        <w:rPr>
          <w:rFonts w:ascii="宋体" w:eastAsia="宋体" w:hAnsi="宋体" w:cs="宋体" w:hint="eastAsia"/>
          <w:sz w:val="18"/>
          <w:szCs w:val="18"/>
        </w:rPr>
        <w:t>日披露的《关于</w:t>
      </w:r>
      <w:r>
        <w:rPr>
          <w:rFonts w:ascii="宋体" w:eastAsia="宋体" w:hAnsi="宋体" w:cs="宋体" w:hint="eastAsia"/>
          <w:sz w:val="18"/>
          <w:szCs w:val="18"/>
        </w:rPr>
        <w:t>2023</w:t>
      </w:r>
      <w:r>
        <w:rPr>
          <w:rFonts w:ascii="宋体" w:eastAsia="宋体" w:hAnsi="宋体" w:cs="宋体" w:hint="eastAsia"/>
          <w:sz w:val="18"/>
          <w:szCs w:val="18"/>
        </w:rPr>
        <w:t>年回购公司股份比例达到</w:t>
      </w:r>
      <w:r>
        <w:rPr>
          <w:rFonts w:ascii="宋体" w:eastAsia="宋体" w:hAnsi="宋体" w:cs="宋体" w:hint="eastAsia"/>
          <w:sz w:val="18"/>
          <w:szCs w:val="18"/>
        </w:rPr>
        <w:t>1%</w:t>
      </w:r>
      <w:r>
        <w:rPr>
          <w:rFonts w:ascii="宋体" w:eastAsia="宋体" w:hAnsi="宋体" w:cs="宋体" w:hint="eastAsia"/>
          <w:sz w:val="18"/>
          <w:szCs w:val="18"/>
        </w:rPr>
        <w:t>暨回购股份进展公告》（</w:t>
      </w:r>
      <w:r>
        <w:rPr>
          <w:rFonts w:ascii="宋体" w:eastAsia="宋体" w:hAnsi="宋体" w:cs="宋体" w:hint="eastAsia"/>
          <w:sz w:val="18"/>
          <w:szCs w:val="18"/>
        </w:rPr>
        <w:t>2023-32</w:t>
      </w:r>
      <w:r>
        <w:rPr>
          <w:rFonts w:ascii="宋体" w:eastAsia="宋体" w:hAnsi="宋体" w:cs="宋体" w:hint="eastAsia"/>
          <w:sz w:val="18"/>
          <w:szCs w:val="18"/>
        </w:rPr>
        <w:t>）。</w:t>
      </w:r>
    </w:p>
    <w:p w:rsidR="00A067C6" w:rsidRDefault="005C4966">
      <w:pPr>
        <w:spacing w:line="240" w:lineRule="exact"/>
        <w:ind w:firstLineChars="200" w:firstLine="360"/>
        <w:jc w:val="both"/>
        <w:rPr>
          <w:rFonts w:ascii="宋体" w:eastAsia="宋体" w:hAnsi="宋体" w:cs="宋体"/>
          <w:sz w:val="18"/>
          <w:szCs w:val="18"/>
        </w:rPr>
      </w:pPr>
      <w:r>
        <w:rPr>
          <w:rFonts w:ascii="宋体" w:eastAsia="宋体" w:hAnsi="宋体" w:cs="宋体" w:hint="eastAsia"/>
          <w:sz w:val="18"/>
          <w:szCs w:val="18"/>
        </w:rPr>
        <w:t>5</w:t>
      </w:r>
      <w:r>
        <w:rPr>
          <w:rFonts w:ascii="宋体" w:eastAsia="宋体" w:hAnsi="宋体" w:cs="宋体" w:hint="eastAsia"/>
          <w:sz w:val="18"/>
          <w:szCs w:val="18"/>
        </w:rPr>
        <w:t>、截至</w:t>
      </w:r>
      <w:r>
        <w:rPr>
          <w:rFonts w:ascii="宋体" w:eastAsia="宋体" w:hAnsi="宋体" w:cs="宋体" w:hint="eastAsia"/>
          <w:sz w:val="18"/>
          <w:szCs w:val="18"/>
        </w:rPr>
        <w:t>2023</w:t>
      </w:r>
      <w:r>
        <w:rPr>
          <w:rFonts w:ascii="宋体" w:eastAsia="宋体" w:hAnsi="宋体" w:cs="宋体" w:hint="eastAsia"/>
          <w:sz w:val="18"/>
          <w:szCs w:val="18"/>
        </w:rPr>
        <w:t>年</w:t>
      </w:r>
      <w:r>
        <w:rPr>
          <w:rFonts w:ascii="宋体" w:eastAsia="宋体" w:hAnsi="宋体" w:cs="宋体" w:hint="eastAsia"/>
          <w:sz w:val="18"/>
          <w:szCs w:val="18"/>
        </w:rPr>
        <w:t>6</w:t>
      </w:r>
      <w:r>
        <w:rPr>
          <w:rFonts w:ascii="宋体" w:eastAsia="宋体" w:hAnsi="宋体" w:cs="宋体" w:hint="eastAsia"/>
          <w:sz w:val="18"/>
          <w:szCs w:val="18"/>
        </w:rPr>
        <w:t>月</w:t>
      </w:r>
      <w:r>
        <w:rPr>
          <w:rFonts w:ascii="宋体" w:eastAsia="宋体" w:hAnsi="宋体" w:cs="宋体" w:hint="eastAsia"/>
          <w:sz w:val="18"/>
          <w:szCs w:val="18"/>
        </w:rPr>
        <w:t>16</w:t>
      </w:r>
      <w:r>
        <w:rPr>
          <w:rFonts w:ascii="宋体" w:eastAsia="宋体" w:hAnsi="宋体" w:cs="宋体" w:hint="eastAsia"/>
          <w:sz w:val="18"/>
          <w:szCs w:val="18"/>
        </w:rPr>
        <w:t>日，公司本次股份回购已完成。在回购期间，公司通过股份回购专用证券账户以集中竞价交易方式累计回购公司股票</w:t>
      </w:r>
      <w:r>
        <w:rPr>
          <w:rFonts w:ascii="宋体" w:eastAsia="宋体" w:hAnsi="宋体" w:cs="宋体" w:hint="eastAsia"/>
          <w:sz w:val="18"/>
          <w:szCs w:val="18"/>
        </w:rPr>
        <w:t>31,275,314</w:t>
      </w:r>
      <w:r>
        <w:rPr>
          <w:rFonts w:ascii="宋体" w:eastAsia="宋体" w:hAnsi="宋体" w:cs="宋体" w:hint="eastAsia"/>
          <w:sz w:val="18"/>
          <w:szCs w:val="18"/>
        </w:rPr>
        <w:t>股，占公司总股本的</w:t>
      </w:r>
      <w:r>
        <w:rPr>
          <w:rFonts w:ascii="宋体" w:eastAsia="宋体" w:hAnsi="宋体" w:cs="宋体" w:hint="eastAsia"/>
          <w:sz w:val="18"/>
          <w:szCs w:val="18"/>
        </w:rPr>
        <w:t>1.84%</w:t>
      </w:r>
      <w:r>
        <w:rPr>
          <w:rFonts w:ascii="宋体" w:eastAsia="宋体" w:hAnsi="宋体" w:cs="宋体" w:hint="eastAsia"/>
          <w:sz w:val="18"/>
          <w:szCs w:val="18"/>
        </w:rPr>
        <w:t>（以公司截止</w:t>
      </w:r>
      <w:r>
        <w:rPr>
          <w:rFonts w:ascii="宋体" w:eastAsia="宋体" w:hAnsi="宋体" w:cs="宋体" w:hint="eastAsia"/>
          <w:sz w:val="18"/>
          <w:szCs w:val="18"/>
        </w:rPr>
        <w:t>2023</w:t>
      </w:r>
      <w:r>
        <w:rPr>
          <w:rFonts w:ascii="宋体" w:eastAsia="宋体" w:hAnsi="宋体" w:cs="宋体" w:hint="eastAsia"/>
          <w:sz w:val="18"/>
          <w:szCs w:val="18"/>
        </w:rPr>
        <w:t>年</w:t>
      </w:r>
      <w:r>
        <w:rPr>
          <w:rFonts w:ascii="宋体" w:eastAsia="宋体" w:hAnsi="宋体" w:cs="宋体" w:hint="eastAsia"/>
          <w:sz w:val="18"/>
          <w:szCs w:val="18"/>
        </w:rPr>
        <w:t>6</w:t>
      </w:r>
      <w:r>
        <w:rPr>
          <w:rFonts w:ascii="宋体" w:eastAsia="宋体" w:hAnsi="宋体" w:cs="宋体" w:hint="eastAsia"/>
          <w:sz w:val="18"/>
          <w:szCs w:val="18"/>
        </w:rPr>
        <w:t>月</w:t>
      </w:r>
      <w:r>
        <w:rPr>
          <w:rFonts w:ascii="宋体" w:eastAsia="宋体" w:hAnsi="宋体" w:cs="宋体" w:hint="eastAsia"/>
          <w:sz w:val="18"/>
          <w:szCs w:val="18"/>
        </w:rPr>
        <w:t>16</w:t>
      </w:r>
      <w:r>
        <w:rPr>
          <w:rFonts w:ascii="宋体" w:eastAsia="宋体" w:hAnsi="宋体" w:cs="宋体" w:hint="eastAsia"/>
          <w:sz w:val="18"/>
          <w:szCs w:val="18"/>
        </w:rPr>
        <w:t>日总股本</w:t>
      </w:r>
      <w:r>
        <w:rPr>
          <w:rFonts w:ascii="宋体" w:eastAsia="宋体" w:hAnsi="宋体" w:cs="宋体" w:hint="eastAsia"/>
          <w:sz w:val="18"/>
          <w:szCs w:val="18"/>
        </w:rPr>
        <w:t>1,700,681,355</w:t>
      </w:r>
      <w:r>
        <w:rPr>
          <w:rFonts w:ascii="宋体" w:eastAsia="宋体" w:hAnsi="宋体" w:cs="宋体" w:hint="eastAsia"/>
          <w:sz w:val="18"/>
          <w:szCs w:val="18"/>
        </w:rPr>
        <w:t>股为基准），实际回购期间为</w:t>
      </w:r>
      <w:r>
        <w:rPr>
          <w:rFonts w:ascii="宋体" w:eastAsia="宋体" w:hAnsi="宋体" w:cs="宋体" w:hint="eastAsia"/>
          <w:sz w:val="18"/>
          <w:szCs w:val="18"/>
        </w:rPr>
        <w:t>2023</w:t>
      </w:r>
      <w:r>
        <w:rPr>
          <w:rFonts w:ascii="宋体" w:eastAsia="宋体" w:hAnsi="宋体" w:cs="宋体" w:hint="eastAsia"/>
          <w:sz w:val="18"/>
          <w:szCs w:val="18"/>
        </w:rPr>
        <w:t>年</w:t>
      </w:r>
      <w:r>
        <w:rPr>
          <w:rFonts w:ascii="宋体" w:eastAsia="宋体" w:hAnsi="宋体" w:cs="宋体" w:hint="eastAsia"/>
          <w:sz w:val="18"/>
          <w:szCs w:val="18"/>
        </w:rPr>
        <w:t>3</w:t>
      </w:r>
      <w:r>
        <w:rPr>
          <w:rFonts w:ascii="宋体" w:eastAsia="宋体" w:hAnsi="宋体" w:cs="宋体" w:hint="eastAsia"/>
          <w:sz w:val="18"/>
          <w:szCs w:val="18"/>
        </w:rPr>
        <w:t>月</w:t>
      </w:r>
      <w:r>
        <w:rPr>
          <w:rFonts w:ascii="宋体" w:eastAsia="宋体" w:hAnsi="宋体" w:cs="宋体" w:hint="eastAsia"/>
          <w:sz w:val="18"/>
          <w:szCs w:val="18"/>
        </w:rPr>
        <w:t>20</w:t>
      </w:r>
      <w:r>
        <w:rPr>
          <w:rFonts w:ascii="宋体" w:eastAsia="宋体" w:hAnsi="宋体" w:cs="宋体" w:hint="eastAsia"/>
          <w:sz w:val="18"/>
          <w:szCs w:val="18"/>
        </w:rPr>
        <w:t>日至</w:t>
      </w:r>
      <w:r>
        <w:rPr>
          <w:rFonts w:ascii="宋体" w:eastAsia="宋体" w:hAnsi="宋体" w:cs="宋体" w:hint="eastAsia"/>
          <w:sz w:val="18"/>
          <w:szCs w:val="18"/>
        </w:rPr>
        <w:t>2023</w:t>
      </w:r>
      <w:r>
        <w:rPr>
          <w:rFonts w:ascii="宋体" w:eastAsia="宋体" w:hAnsi="宋体" w:cs="宋体" w:hint="eastAsia"/>
          <w:sz w:val="18"/>
          <w:szCs w:val="18"/>
        </w:rPr>
        <w:t>年</w:t>
      </w:r>
      <w:r>
        <w:rPr>
          <w:rFonts w:ascii="宋体" w:eastAsia="宋体" w:hAnsi="宋体" w:cs="宋体" w:hint="eastAsia"/>
          <w:sz w:val="18"/>
          <w:szCs w:val="18"/>
        </w:rPr>
        <w:t>6</w:t>
      </w:r>
      <w:r>
        <w:rPr>
          <w:rFonts w:ascii="宋体" w:eastAsia="宋体" w:hAnsi="宋体" w:cs="宋体" w:hint="eastAsia"/>
          <w:sz w:val="18"/>
          <w:szCs w:val="18"/>
        </w:rPr>
        <w:t>月</w:t>
      </w:r>
      <w:r>
        <w:rPr>
          <w:rFonts w:ascii="宋体" w:eastAsia="宋体" w:hAnsi="宋体" w:cs="宋体" w:hint="eastAsia"/>
          <w:sz w:val="18"/>
          <w:szCs w:val="18"/>
        </w:rPr>
        <w:t>16</w:t>
      </w:r>
      <w:r>
        <w:rPr>
          <w:rFonts w:ascii="宋体" w:eastAsia="宋体" w:hAnsi="宋体" w:cs="宋体" w:hint="eastAsia"/>
          <w:sz w:val="18"/>
          <w:szCs w:val="18"/>
        </w:rPr>
        <w:t>日，其中最高成交价为</w:t>
      </w:r>
      <w:r>
        <w:rPr>
          <w:rFonts w:ascii="宋体" w:eastAsia="宋体" w:hAnsi="宋体" w:cs="宋体" w:hint="eastAsia"/>
          <w:sz w:val="18"/>
          <w:szCs w:val="18"/>
        </w:rPr>
        <w:t>3.28</w:t>
      </w:r>
      <w:r>
        <w:rPr>
          <w:rFonts w:ascii="宋体" w:eastAsia="宋体" w:hAnsi="宋体" w:cs="宋体" w:hint="eastAsia"/>
          <w:sz w:val="18"/>
          <w:szCs w:val="18"/>
        </w:rPr>
        <w:t>元</w:t>
      </w:r>
      <w:r>
        <w:rPr>
          <w:rFonts w:ascii="宋体" w:eastAsia="宋体" w:hAnsi="宋体" w:cs="宋体" w:hint="eastAsia"/>
          <w:sz w:val="18"/>
          <w:szCs w:val="18"/>
        </w:rPr>
        <w:t>/</w:t>
      </w:r>
      <w:r>
        <w:rPr>
          <w:rFonts w:ascii="宋体" w:eastAsia="宋体" w:hAnsi="宋体" w:cs="宋体" w:hint="eastAsia"/>
          <w:sz w:val="18"/>
          <w:szCs w:val="18"/>
        </w:rPr>
        <w:t>股，最低成交价为</w:t>
      </w:r>
      <w:r>
        <w:rPr>
          <w:rFonts w:ascii="宋体" w:eastAsia="宋体" w:hAnsi="宋体" w:cs="宋体" w:hint="eastAsia"/>
          <w:sz w:val="18"/>
          <w:szCs w:val="18"/>
        </w:rPr>
        <w:t>3.12</w:t>
      </w:r>
      <w:r>
        <w:rPr>
          <w:rFonts w:ascii="宋体" w:eastAsia="宋体" w:hAnsi="宋体" w:cs="宋体" w:hint="eastAsia"/>
          <w:sz w:val="18"/>
          <w:szCs w:val="18"/>
        </w:rPr>
        <w:t>元</w:t>
      </w:r>
      <w:r>
        <w:rPr>
          <w:rFonts w:ascii="宋体" w:eastAsia="宋体" w:hAnsi="宋体" w:cs="宋体" w:hint="eastAsia"/>
          <w:sz w:val="18"/>
          <w:szCs w:val="18"/>
        </w:rPr>
        <w:t>/</w:t>
      </w:r>
      <w:r>
        <w:rPr>
          <w:rFonts w:ascii="宋体" w:eastAsia="宋体" w:hAnsi="宋体" w:cs="宋体" w:hint="eastAsia"/>
          <w:sz w:val="18"/>
          <w:szCs w:val="18"/>
        </w:rPr>
        <w:t>股，成交总金额为人民</w:t>
      </w:r>
      <w:r>
        <w:rPr>
          <w:rFonts w:ascii="宋体" w:eastAsia="宋体" w:hAnsi="宋体" w:cs="宋体" w:hint="eastAsia"/>
          <w:sz w:val="18"/>
          <w:szCs w:val="18"/>
        </w:rPr>
        <w:t>100,128,238.70</w:t>
      </w:r>
      <w:r>
        <w:rPr>
          <w:rFonts w:ascii="宋体" w:eastAsia="宋体" w:hAnsi="宋体" w:cs="宋体" w:hint="eastAsia"/>
          <w:sz w:val="18"/>
          <w:szCs w:val="18"/>
        </w:rPr>
        <w:t>元（不含交易费用）。具体详见公司于</w:t>
      </w:r>
      <w:r>
        <w:rPr>
          <w:rFonts w:ascii="宋体" w:eastAsia="宋体" w:hAnsi="宋体" w:cs="宋体" w:hint="eastAsia"/>
          <w:sz w:val="18"/>
          <w:szCs w:val="18"/>
        </w:rPr>
        <w:t>2023</w:t>
      </w:r>
      <w:r>
        <w:rPr>
          <w:rFonts w:ascii="宋体" w:eastAsia="宋体" w:hAnsi="宋体" w:cs="宋体" w:hint="eastAsia"/>
          <w:sz w:val="18"/>
          <w:szCs w:val="18"/>
        </w:rPr>
        <w:t>年</w:t>
      </w:r>
      <w:r>
        <w:rPr>
          <w:rFonts w:ascii="宋体" w:eastAsia="宋体" w:hAnsi="宋体" w:cs="宋体" w:hint="eastAsia"/>
          <w:sz w:val="18"/>
          <w:szCs w:val="18"/>
        </w:rPr>
        <w:t>6</w:t>
      </w:r>
      <w:r>
        <w:rPr>
          <w:rFonts w:ascii="宋体" w:eastAsia="宋体" w:hAnsi="宋体" w:cs="宋体" w:hint="eastAsia"/>
          <w:sz w:val="18"/>
          <w:szCs w:val="18"/>
        </w:rPr>
        <w:t>月</w:t>
      </w:r>
      <w:r>
        <w:rPr>
          <w:rFonts w:ascii="宋体" w:eastAsia="宋体" w:hAnsi="宋体" w:cs="宋体" w:hint="eastAsia"/>
          <w:sz w:val="18"/>
          <w:szCs w:val="18"/>
        </w:rPr>
        <w:t>20</w:t>
      </w:r>
      <w:r>
        <w:rPr>
          <w:rFonts w:ascii="宋体" w:eastAsia="宋体" w:hAnsi="宋体" w:cs="宋体" w:hint="eastAsia"/>
          <w:sz w:val="18"/>
          <w:szCs w:val="18"/>
        </w:rPr>
        <w:t>日披露的《关于</w:t>
      </w:r>
      <w:r>
        <w:rPr>
          <w:rFonts w:ascii="宋体" w:eastAsia="宋体" w:hAnsi="宋体" w:cs="宋体" w:hint="eastAsia"/>
          <w:sz w:val="18"/>
          <w:szCs w:val="18"/>
        </w:rPr>
        <w:t>2023</w:t>
      </w:r>
      <w:r>
        <w:rPr>
          <w:rFonts w:ascii="宋体" w:eastAsia="宋体" w:hAnsi="宋体" w:cs="宋体" w:hint="eastAsia"/>
          <w:sz w:val="18"/>
          <w:szCs w:val="18"/>
        </w:rPr>
        <w:t>年回购公司股份方案实施完毕暨股份变动的公告》（</w:t>
      </w:r>
      <w:r>
        <w:rPr>
          <w:rFonts w:ascii="宋体" w:eastAsia="宋体" w:hAnsi="宋体" w:cs="宋体" w:hint="eastAsia"/>
          <w:sz w:val="18"/>
          <w:szCs w:val="18"/>
        </w:rPr>
        <w:t>2023-34</w:t>
      </w:r>
      <w:r>
        <w:rPr>
          <w:rFonts w:ascii="宋体" w:eastAsia="宋体" w:hAnsi="宋体" w:cs="宋体" w:hint="eastAsia"/>
          <w:sz w:val="18"/>
          <w:szCs w:val="18"/>
        </w:rPr>
        <w:t>）。</w:t>
      </w:r>
    </w:p>
    <w:p w:rsidR="00A067C6" w:rsidRDefault="005C4966">
      <w:pPr>
        <w:spacing w:line="240" w:lineRule="exact"/>
        <w:ind w:firstLineChars="200" w:firstLine="360"/>
        <w:jc w:val="both"/>
        <w:rPr>
          <w:rFonts w:ascii="宋体" w:eastAsia="宋体" w:hAnsi="宋体" w:cs="宋体"/>
          <w:sz w:val="18"/>
          <w:szCs w:val="18"/>
        </w:rPr>
      </w:pPr>
      <w:r>
        <w:rPr>
          <w:rFonts w:ascii="宋体" w:eastAsia="宋体" w:hAnsi="宋体" w:cs="宋体" w:hint="eastAsia"/>
          <w:sz w:val="18"/>
          <w:szCs w:val="18"/>
        </w:rPr>
        <w:t>6</w:t>
      </w:r>
      <w:r>
        <w:rPr>
          <w:rFonts w:ascii="宋体" w:eastAsia="宋体" w:hAnsi="宋体" w:cs="宋体" w:hint="eastAsia"/>
          <w:sz w:val="18"/>
          <w:szCs w:val="18"/>
        </w:rPr>
        <w:t>、本次回购符合相关法律法规的要求，符合公司既定的回购方案，本次回购股份方案已实施完毕。</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采用集中竞价方式减持回购股份的实施</w:t>
      </w:r>
      <w:r>
        <w:rPr>
          <w:rFonts w:ascii="宋体" w:eastAsia="宋体" w:hAnsi="宋体" w:cs="宋体"/>
          <w:sz w:val="18"/>
          <w:szCs w:val="18"/>
        </w:rPr>
        <w:t>进展情况</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股份变动对最近一年和最近一期基本每股收益和稀释每股收益、归属于公司普通股股东的每股净资产等财务指标的影响</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公司认为必要或证券监管机构要求披露的其他内容</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pStyle w:val="3"/>
        <w:spacing w:line="280" w:lineRule="exact"/>
        <w:jc w:val="left"/>
        <w:rPr>
          <w:rFonts w:ascii="宋体" w:hAnsi="宋体" w:cs="宋体"/>
          <w:b/>
          <w:bCs/>
        </w:rPr>
      </w:pPr>
      <w:bookmarkStart w:id="98" w:name="_Toc988986"/>
      <w:r>
        <w:rPr>
          <w:rFonts w:ascii="宋体" w:hAnsi="宋体" w:cs="宋体"/>
          <w:b/>
          <w:bCs/>
        </w:rPr>
        <w:t>2</w:t>
      </w:r>
      <w:r>
        <w:rPr>
          <w:rFonts w:ascii="宋体" w:hAnsi="宋体" w:cs="宋体"/>
          <w:b/>
          <w:bCs/>
        </w:rPr>
        <w:t>、限售股份变动情况</w:t>
      </w:r>
      <w:bookmarkEnd w:id="98"/>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pStyle w:val="2"/>
        <w:spacing w:before="300" w:after="300" w:line="320" w:lineRule="exact"/>
        <w:rPr>
          <w:rFonts w:ascii="宋体" w:eastAsia="宋体" w:hAnsi="宋体" w:cs="宋体"/>
          <w:b/>
          <w:bCs/>
          <w:sz w:val="24"/>
          <w:szCs w:val="24"/>
        </w:rPr>
      </w:pPr>
      <w:bookmarkStart w:id="99" w:name="_Toc988987"/>
      <w:r>
        <w:rPr>
          <w:rFonts w:ascii="宋体" w:eastAsia="宋体" w:hAnsi="宋体" w:cs="宋体"/>
          <w:b/>
          <w:bCs/>
          <w:sz w:val="24"/>
          <w:szCs w:val="24"/>
        </w:rPr>
        <w:t>二、证券发行与上市情况</w:t>
      </w:r>
      <w:bookmarkEnd w:id="99"/>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pStyle w:val="2"/>
        <w:spacing w:before="300" w:after="300" w:line="320" w:lineRule="exact"/>
        <w:rPr>
          <w:rFonts w:ascii="宋体" w:eastAsia="宋体" w:hAnsi="宋体" w:cs="宋体"/>
          <w:b/>
          <w:bCs/>
          <w:sz w:val="24"/>
          <w:szCs w:val="24"/>
        </w:rPr>
      </w:pPr>
      <w:bookmarkStart w:id="100" w:name="_Toc988988"/>
      <w:r>
        <w:rPr>
          <w:rFonts w:ascii="宋体" w:eastAsia="宋体" w:hAnsi="宋体" w:cs="宋体"/>
          <w:b/>
          <w:bCs/>
          <w:sz w:val="24"/>
          <w:szCs w:val="24"/>
        </w:rPr>
        <w:t>三、公司股东数量及持股情况</w:t>
      </w:r>
      <w:bookmarkEnd w:id="100"/>
    </w:p>
    <w:p w:rsidR="00A067C6" w:rsidRDefault="005C4966">
      <w:pPr>
        <w:spacing w:before="120" w:after="120" w:line="240" w:lineRule="exact"/>
        <w:jc w:val="right"/>
        <w:rPr>
          <w:rFonts w:ascii="宋体" w:eastAsia="宋体" w:hAnsi="宋体" w:cs="宋体"/>
          <w:sz w:val="18"/>
          <w:szCs w:val="18"/>
        </w:rPr>
      </w:pPr>
      <w:r>
        <w:rPr>
          <w:rFonts w:ascii="宋体" w:eastAsia="宋体" w:hAnsi="宋体" w:cs="宋体"/>
          <w:sz w:val="18"/>
          <w:szCs w:val="18"/>
        </w:rPr>
        <w:t>单位：股</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526"/>
        <w:gridCol w:w="616"/>
        <w:gridCol w:w="376"/>
        <w:gridCol w:w="851"/>
        <w:gridCol w:w="141"/>
        <w:gridCol w:w="774"/>
        <w:gridCol w:w="360"/>
        <w:gridCol w:w="1134"/>
        <w:gridCol w:w="993"/>
        <w:gridCol w:w="283"/>
        <w:gridCol w:w="443"/>
        <w:gridCol w:w="549"/>
        <w:gridCol w:w="426"/>
        <w:gridCol w:w="283"/>
        <w:gridCol w:w="884"/>
      </w:tblGrid>
      <w:tr w:rsidR="00A067C6">
        <w:trPr>
          <w:trHeight w:val="240"/>
        </w:trPr>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报告期末普通股股东总数</w:t>
            </w:r>
          </w:p>
        </w:tc>
        <w:tc>
          <w:tcPr>
            <w:tcW w:w="2142" w:type="dxa"/>
            <w:gridSpan w:val="4"/>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26,119</w:t>
            </w:r>
          </w:p>
        </w:tc>
        <w:tc>
          <w:tcPr>
            <w:tcW w:w="3213"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报告期末表决权恢复的优先股股东总数（如有）（参见注</w:t>
            </w:r>
            <w:r>
              <w:rPr>
                <w:rFonts w:ascii="宋体" w:eastAsia="宋体" w:hAnsi="宋体" w:cs="宋体"/>
                <w:sz w:val="18"/>
                <w:szCs w:val="18"/>
              </w:rPr>
              <w:t>8</w:t>
            </w:r>
            <w:r>
              <w:rPr>
                <w:rFonts w:ascii="宋体" w:eastAsia="宋体" w:hAnsi="宋体" w:cs="宋体"/>
                <w:sz w:val="18"/>
                <w:szCs w:val="18"/>
              </w:rPr>
              <w:t>）</w:t>
            </w:r>
          </w:p>
        </w:tc>
        <w:tc>
          <w:tcPr>
            <w:tcW w:w="2142" w:type="dxa"/>
            <w:gridSpan w:val="4"/>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A067C6">
        <w:trPr>
          <w:trHeight w:val="240"/>
        </w:trPr>
        <w:tc>
          <w:tcPr>
            <w:tcW w:w="9639" w:type="dxa"/>
            <w:gridSpan w:val="15"/>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持股</w:t>
            </w:r>
            <w:r>
              <w:rPr>
                <w:rFonts w:ascii="宋体" w:eastAsia="宋体" w:hAnsi="宋体" w:cs="宋体"/>
                <w:sz w:val="18"/>
                <w:szCs w:val="18"/>
              </w:rPr>
              <w:t>5%</w:t>
            </w:r>
            <w:r>
              <w:rPr>
                <w:rFonts w:ascii="宋体" w:eastAsia="宋体" w:hAnsi="宋体" w:cs="宋体"/>
                <w:sz w:val="18"/>
                <w:szCs w:val="18"/>
              </w:rPr>
              <w:t>以上的普通股股东或前</w:t>
            </w:r>
            <w:r>
              <w:rPr>
                <w:rFonts w:ascii="宋体" w:eastAsia="宋体" w:hAnsi="宋体" w:cs="宋体"/>
                <w:sz w:val="18"/>
                <w:szCs w:val="18"/>
              </w:rPr>
              <w:t>10</w:t>
            </w:r>
            <w:r>
              <w:rPr>
                <w:rFonts w:ascii="宋体" w:eastAsia="宋体" w:hAnsi="宋体" w:cs="宋体"/>
                <w:sz w:val="18"/>
                <w:szCs w:val="18"/>
              </w:rPr>
              <w:t>名普通股股东持股情况</w:t>
            </w:r>
          </w:p>
        </w:tc>
      </w:tr>
      <w:tr w:rsidR="00A067C6">
        <w:trPr>
          <w:trHeight w:val="240"/>
        </w:trPr>
        <w:tc>
          <w:tcPr>
            <w:tcW w:w="152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992"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股东性质</w:t>
            </w:r>
          </w:p>
        </w:tc>
        <w:tc>
          <w:tcPr>
            <w:tcW w:w="85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1275" w:type="dxa"/>
            <w:gridSpan w:val="3"/>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报告期末持有的普通股数量</w:t>
            </w:r>
          </w:p>
        </w:tc>
        <w:tc>
          <w:tcPr>
            <w:tcW w:w="1134"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报告期内增减变动情况</w:t>
            </w:r>
          </w:p>
        </w:tc>
        <w:tc>
          <w:tcPr>
            <w:tcW w:w="99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持有有限售条件的普通股数量</w:t>
            </w:r>
          </w:p>
        </w:tc>
        <w:tc>
          <w:tcPr>
            <w:tcW w:w="1275" w:type="dxa"/>
            <w:gridSpan w:val="3"/>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持有无限售条件的普通股数量</w:t>
            </w:r>
          </w:p>
        </w:tc>
        <w:tc>
          <w:tcPr>
            <w:tcW w:w="1593"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质押、标记或冻结情况</w:t>
            </w:r>
          </w:p>
        </w:tc>
      </w:tr>
      <w:tr w:rsidR="00A067C6">
        <w:trPr>
          <w:trHeight w:val="240"/>
        </w:trPr>
        <w:tc>
          <w:tcPr>
            <w:tcW w:w="152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992"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5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275" w:type="dxa"/>
            <w:gridSpan w:val="3"/>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134"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99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275" w:type="dxa"/>
            <w:gridSpan w:val="3"/>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70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股份状态</w:t>
            </w:r>
          </w:p>
        </w:tc>
        <w:tc>
          <w:tcPr>
            <w:tcW w:w="88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r>
      <w:tr w:rsidR="00A067C6">
        <w:trPr>
          <w:trHeight w:val="240"/>
        </w:trPr>
        <w:tc>
          <w:tcPr>
            <w:tcW w:w="152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30.62%</w:t>
            </w:r>
          </w:p>
        </w:tc>
        <w:tc>
          <w:tcPr>
            <w:tcW w:w="1275"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520,705,950</w:t>
            </w:r>
          </w:p>
        </w:tc>
        <w:tc>
          <w:tcPr>
            <w:tcW w:w="11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0</w:t>
            </w:r>
          </w:p>
        </w:tc>
        <w:tc>
          <w:tcPr>
            <w:tcW w:w="9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75"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520,705,950</w:t>
            </w:r>
          </w:p>
        </w:tc>
        <w:tc>
          <w:tcPr>
            <w:tcW w:w="709" w:type="dxa"/>
            <w:gridSpan w:val="2"/>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88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52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安徽飞亚纺织有限公司</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7.59%</w:t>
            </w:r>
          </w:p>
        </w:tc>
        <w:tc>
          <w:tcPr>
            <w:tcW w:w="1275"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129,058,312</w:t>
            </w:r>
          </w:p>
        </w:tc>
        <w:tc>
          <w:tcPr>
            <w:tcW w:w="11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0</w:t>
            </w:r>
          </w:p>
        </w:tc>
        <w:tc>
          <w:tcPr>
            <w:tcW w:w="9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75"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129,058,312</w:t>
            </w:r>
          </w:p>
        </w:tc>
        <w:tc>
          <w:tcPr>
            <w:tcW w:w="709" w:type="dxa"/>
            <w:gridSpan w:val="2"/>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88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52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深圳市华人投资有限公司</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3.70%</w:t>
            </w:r>
          </w:p>
        </w:tc>
        <w:tc>
          <w:tcPr>
            <w:tcW w:w="1275"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62,923,500</w:t>
            </w:r>
          </w:p>
        </w:tc>
        <w:tc>
          <w:tcPr>
            <w:tcW w:w="11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0</w:t>
            </w:r>
          </w:p>
        </w:tc>
        <w:tc>
          <w:tcPr>
            <w:tcW w:w="9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75"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62,923,500</w:t>
            </w:r>
          </w:p>
        </w:tc>
        <w:tc>
          <w:tcPr>
            <w:tcW w:w="709" w:type="dxa"/>
            <w:gridSpan w:val="2"/>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88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52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金鹰基金－工商银行－万向信托－万向信托－星辰</w:t>
            </w:r>
            <w:r>
              <w:rPr>
                <w:rFonts w:ascii="宋体" w:eastAsia="宋体" w:hAnsi="宋体" w:cs="宋体"/>
                <w:sz w:val="18"/>
                <w:szCs w:val="18"/>
              </w:rPr>
              <w:t>39</w:t>
            </w:r>
            <w:r>
              <w:rPr>
                <w:rFonts w:ascii="宋体" w:eastAsia="宋体" w:hAnsi="宋体" w:cs="宋体"/>
                <w:sz w:val="18"/>
                <w:szCs w:val="18"/>
              </w:rPr>
              <w:t>号事务管理类单一资金信托</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其他</w:t>
            </w:r>
          </w:p>
        </w:tc>
        <w:tc>
          <w:tcPr>
            <w:tcW w:w="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2.72%</w:t>
            </w:r>
          </w:p>
        </w:tc>
        <w:tc>
          <w:tcPr>
            <w:tcW w:w="1275"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46,199,861</w:t>
            </w:r>
          </w:p>
        </w:tc>
        <w:tc>
          <w:tcPr>
            <w:tcW w:w="11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0</w:t>
            </w:r>
          </w:p>
        </w:tc>
        <w:tc>
          <w:tcPr>
            <w:tcW w:w="9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75"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46,199,861</w:t>
            </w:r>
          </w:p>
        </w:tc>
        <w:tc>
          <w:tcPr>
            <w:tcW w:w="709" w:type="dxa"/>
            <w:gridSpan w:val="2"/>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88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52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广西沣盛供应链管理有限公司</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2.66%</w:t>
            </w:r>
          </w:p>
        </w:tc>
        <w:tc>
          <w:tcPr>
            <w:tcW w:w="1275"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45,283,102</w:t>
            </w:r>
          </w:p>
        </w:tc>
        <w:tc>
          <w:tcPr>
            <w:tcW w:w="11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0</w:t>
            </w:r>
          </w:p>
        </w:tc>
        <w:tc>
          <w:tcPr>
            <w:tcW w:w="9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75"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45,283,102</w:t>
            </w:r>
          </w:p>
        </w:tc>
        <w:tc>
          <w:tcPr>
            <w:tcW w:w="709" w:type="dxa"/>
            <w:gridSpan w:val="2"/>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质押</w:t>
            </w:r>
          </w:p>
        </w:tc>
        <w:tc>
          <w:tcPr>
            <w:tcW w:w="88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45,166,402</w:t>
            </w:r>
          </w:p>
        </w:tc>
      </w:tr>
      <w:tr w:rsidR="00A067C6">
        <w:trPr>
          <w:trHeight w:val="240"/>
        </w:trPr>
        <w:tc>
          <w:tcPr>
            <w:tcW w:w="152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金元顺安基金－兴业银行－上海爱建信托－爱建信托欣欣</w:t>
            </w:r>
            <w:r>
              <w:rPr>
                <w:rFonts w:ascii="宋体" w:eastAsia="宋体" w:hAnsi="宋体" w:cs="宋体"/>
                <w:sz w:val="18"/>
                <w:szCs w:val="18"/>
              </w:rPr>
              <w:t>7</w:t>
            </w:r>
            <w:r>
              <w:rPr>
                <w:rFonts w:ascii="宋体" w:eastAsia="宋体" w:hAnsi="宋体" w:cs="宋体"/>
                <w:sz w:val="18"/>
                <w:szCs w:val="18"/>
              </w:rPr>
              <w:t>号定向增发事务管理类单一资金信托</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其他</w:t>
            </w:r>
          </w:p>
        </w:tc>
        <w:tc>
          <w:tcPr>
            <w:tcW w:w="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2.46%</w:t>
            </w:r>
          </w:p>
        </w:tc>
        <w:tc>
          <w:tcPr>
            <w:tcW w:w="1275"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41,781,004</w:t>
            </w:r>
          </w:p>
        </w:tc>
        <w:tc>
          <w:tcPr>
            <w:tcW w:w="11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0</w:t>
            </w:r>
          </w:p>
        </w:tc>
        <w:tc>
          <w:tcPr>
            <w:tcW w:w="9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75"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41,781,004</w:t>
            </w:r>
          </w:p>
        </w:tc>
        <w:tc>
          <w:tcPr>
            <w:tcW w:w="709" w:type="dxa"/>
            <w:gridSpan w:val="2"/>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88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52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杨三宝</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2.24%</w:t>
            </w:r>
          </w:p>
        </w:tc>
        <w:tc>
          <w:tcPr>
            <w:tcW w:w="1275"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38,100,000</w:t>
            </w:r>
          </w:p>
        </w:tc>
        <w:tc>
          <w:tcPr>
            <w:tcW w:w="11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-2,452,500</w:t>
            </w:r>
          </w:p>
        </w:tc>
        <w:tc>
          <w:tcPr>
            <w:tcW w:w="9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75"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38,100,000</w:t>
            </w:r>
          </w:p>
        </w:tc>
        <w:tc>
          <w:tcPr>
            <w:tcW w:w="709" w:type="dxa"/>
            <w:gridSpan w:val="2"/>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88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52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安徽省农业产业化发展基金有限公司</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国有法人</w:t>
            </w:r>
          </w:p>
        </w:tc>
        <w:tc>
          <w:tcPr>
            <w:tcW w:w="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1.41%</w:t>
            </w:r>
          </w:p>
        </w:tc>
        <w:tc>
          <w:tcPr>
            <w:tcW w:w="1275"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24,038,461</w:t>
            </w:r>
          </w:p>
        </w:tc>
        <w:tc>
          <w:tcPr>
            <w:tcW w:w="11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0</w:t>
            </w:r>
          </w:p>
        </w:tc>
        <w:tc>
          <w:tcPr>
            <w:tcW w:w="9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75"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24,038,461</w:t>
            </w:r>
          </w:p>
        </w:tc>
        <w:tc>
          <w:tcPr>
            <w:tcW w:w="709" w:type="dxa"/>
            <w:gridSpan w:val="2"/>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88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52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夏重阳</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1.05%</w:t>
            </w:r>
          </w:p>
        </w:tc>
        <w:tc>
          <w:tcPr>
            <w:tcW w:w="1275"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17,860,000</w:t>
            </w:r>
          </w:p>
        </w:tc>
        <w:tc>
          <w:tcPr>
            <w:tcW w:w="11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6,260,000</w:t>
            </w:r>
          </w:p>
        </w:tc>
        <w:tc>
          <w:tcPr>
            <w:tcW w:w="9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75"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17,860,000</w:t>
            </w:r>
          </w:p>
        </w:tc>
        <w:tc>
          <w:tcPr>
            <w:tcW w:w="709" w:type="dxa"/>
            <w:gridSpan w:val="2"/>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88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52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郭红松</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w:t>
            </w:r>
          </w:p>
        </w:tc>
        <w:tc>
          <w:tcPr>
            <w:tcW w:w="1275"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17,000,000</w:t>
            </w:r>
          </w:p>
        </w:tc>
        <w:tc>
          <w:tcPr>
            <w:tcW w:w="11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-100,000</w:t>
            </w:r>
          </w:p>
        </w:tc>
        <w:tc>
          <w:tcPr>
            <w:tcW w:w="9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75"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17,000,000</w:t>
            </w:r>
          </w:p>
        </w:tc>
        <w:tc>
          <w:tcPr>
            <w:tcW w:w="709" w:type="dxa"/>
            <w:gridSpan w:val="2"/>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88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369"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战略投资者或一般法人因配售新股成为前</w:t>
            </w:r>
            <w:r>
              <w:rPr>
                <w:rFonts w:ascii="宋体" w:eastAsia="宋体" w:hAnsi="宋体" w:cs="宋体"/>
                <w:sz w:val="18"/>
                <w:szCs w:val="18"/>
              </w:rPr>
              <w:t>10</w:t>
            </w:r>
            <w:r>
              <w:rPr>
                <w:rFonts w:ascii="宋体" w:eastAsia="宋体" w:hAnsi="宋体" w:cs="宋体"/>
                <w:sz w:val="18"/>
                <w:szCs w:val="18"/>
              </w:rPr>
              <w:t>名普通股股东的情况（如有）（参见注</w:t>
            </w:r>
            <w:r>
              <w:rPr>
                <w:rFonts w:ascii="宋体" w:eastAsia="宋体" w:hAnsi="宋体" w:cs="宋体"/>
                <w:sz w:val="18"/>
                <w:szCs w:val="18"/>
              </w:rPr>
              <w:t>3</w:t>
            </w:r>
            <w:r>
              <w:rPr>
                <w:rFonts w:ascii="宋体" w:eastAsia="宋体" w:hAnsi="宋体" w:cs="宋体"/>
                <w:sz w:val="18"/>
                <w:szCs w:val="18"/>
              </w:rPr>
              <w:t>）</w:t>
            </w:r>
          </w:p>
        </w:tc>
        <w:tc>
          <w:tcPr>
            <w:tcW w:w="6270" w:type="dxa"/>
            <w:gridSpan w:val="11"/>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无</w:t>
            </w:r>
          </w:p>
        </w:tc>
      </w:tr>
      <w:tr w:rsidR="00A067C6">
        <w:trPr>
          <w:trHeight w:val="240"/>
        </w:trPr>
        <w:tc>
          <w:tcPr>
            <w:tcW w:w="3369"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上述股东关联关系或一致行动的说明</w:t>
            </w:r>
          </w:p>
        </w:tc>
        <w:tc>
          <w:tcPr>
            <w:tcW w:w="6270" w:type="dxa"/>
            <w:gridSpan w:val="11"/>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上述股东中华孚控股有限公司、安徽飞亚纺织有限公司、深圳市华人投资有限公司为公司控股股东及一致行动人，其余流通股东与控股股东之间不存在关联关系，也不属于一致行动人。未知其余流通股股东之间是否存在关联关系或是否属于一致行动人。</w:t>
            </w:r>
          </w:p>
        </w:tc>
      </w:tr>
      <w:tr w:rsidR="00A067C6">
        <w:trPr>
          <w:trHeight w:val="240"/>
        </w:trPr>
        <w:tc>
          <w:tcPr>
            <w:tcW w:w="3369"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上述股东涉及委托</w:t>
            </w:r>
            <w:r>
              <w:rPr>
                <w:rFonts w:ascii="宋体" w:eastAsia="宋体" w:hAnsi="宋体" w:cs="宋体"/>
                <w:sz w:val="18"/>
                <w:szCs w:val="18"/>
              </w:rPr>
              <w:t>/</w:t>
            </w:r>
            <w:r>
              <w:rPr>
                <w:rFonts w:ascii="宋体" w:eastAsia="宋体" w:hAnsi="宋体" w:cs="宋体"/>
                <w:sz w:val="18"/>
                <w:szCs w:val="18"/>
              </w:rPr>
              <w:t>受托表决权、放弃表决权情况的说明</w:t>
            </w:r>
          </w:p>
        </w:tc>
        <w:tc>
          <w:tcPr>
            <w:tcW w:w="6270" w:type="dxa"/>
            <w:gridSpan w:val="11"/>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无</w:t>
            </w:r>
          </w:p>
        </w:tc>
      </w:tr>
      <w:tr w:rsidR="00A067C6">
        <w:trPr>
          <w:trHeight w:val="240"/>
        </w:trPr>
        <w:tc>
          <w:tcPr>
            <w:tcW w:w="3369"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前</w:t>
            </w:r>
            <w:r>
              <w:rPr>
                <w:rFonts w:ascii="宋体" w:eastAsia="宋体" w:hAnsi="宋体" w:cs="宋体"/>
                <w:sz w:val="18"/>
                <w:szCs w:val="18"/>
              </w:rPr>
              <w:t>10</w:t>
            </w:r>
            <w:r>
              <w:rPr>
                <w:rFonts w:ascii="宋体" w:eastAsia="宋体" w:hAnsi="宋体" w:cs="宋体"/>
                <w:sz w:val="18"/>
                <w:szCs w:val="18"/>
              </w:rPr>
              <w:t>名股东中存在回购专户的特别说明（如有）（参见注</w:t>
            </w:r>
            <w:r>
              <w:rPr>
                <w:rFonts w:ascii="宋体" w:eastAsia="宋体" w:hAnsi="宋体" w:cs="宋体"/>
                <w:sz w:val="18"/>
                <w:szCs w:val="18"/>
              </w:rPr>
              <w:t>11</w:t>
            </w:r>
            <w:r>
              <w:rPr>
                <w:rFonts w:ascii="宋体" w:eastAsia="宋体" w:hAnsi="宋体" w:cs="宋体"/>
                <w:sz w:val="18"/>
                <w:szCs w:val="18"/>
              </w:rPr>
              <w:t>）</w:t>
            </w:r>
          </w:p>
        </w:tc>
        <w:tc>
          <w:tcPr>
            <w:tcW w:w="6270" w:type="dxa"/>
            <w:gridSpan w:val="11"/>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前十大股东中含有回购专户，截止</w:t>
            </w: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6</w:t>
            </w:r>
            <w:r>
              <w:rPr>
                <w:rFonts w:ascii="宋体" w:eastAsia="宋体" w:hAnsi="宋体" w:cs="宋体"/>
                <w:sz w:val="18"/>
                <w:szCs w:val="18"/>
              </w:rPr>
              <w:t>月</w:t>
            </w:r>
            <w:r>
              <w:rPr>
                <w:rFonts w:ascii="宋体" w:eastAsia="宋体" w:hAnsi="宋体" w:cs="宋体"/>
                <w:sz w:val="18"/>
                <w:szCs w:val="18"/>
              </w:rPr>
              <w:t>30</w:t>
            </w:r>
            <w:r>
              <w:rPr>
                <w:rFonts w:ascii="宋体" w:eastAsia="宋体" w:hAnsi="宋体" w:cs="宋体"/>
                <w:sz w:val="18"/>
                <w:szCs w:val="18"/>
              </w:rPr>
              <w:t>日，回购专户中持有公司股份数量为</w:t>
            </w:r>
            <w:r>
              <w:rPr>
                <w:rFonts w:ascii="宋体" w:eastAsia="宋体" w:hAnsi="宋体" w:cs="宋体"/>
                <w:sz w:val="18"/>
                <w:szCs w:val="18"/>
              </w:rPr>
              <w:t>61,075,314</w:t>
            </w:r>
            <w:r>
              <w:rPr>
                <w:rFonts w:ascii="宋体" w:eastAsia="宋体" w:hAnsi="宋体" w:cs="宋体"/>
                <w:sz w:val="18"/>
                <w:szCs w:val="18"/>
              </w:rPr>
              <w:t>股。</w:t>
            </w:r>
          </w:p>
        </w:tc>
      </w:tr>
      <w:tr w:rsidR="00A067C6">
        <w:trPr>
          <w:trHeight w:val="240"/>
        </w:trPr>
        <w:tc>
          <w:tcPr>
            <w:tcW w:w="9639" w:type="dxa"/>
            <w:gridSpan w:val="15"/>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前</w:t>
            </w:r>
            <w:r>
              <w:rPr>
                <w:rFonts w:ascii="宋体" w:eastAsia="宋体" w:hAnsi="宋体" w:cs="宋体"/>
                <w:sz w:val="18"/>
                <w:szCs w:val="18"/>
              </w:rPr>
              <w:t>10</w:t>
            </w:r>
            <w:r>
              <w:rPr>
                <w:rFonts w:ascii="宋体" w:eastAsia="宋体" w:hAnsi="宋体" w:cs="宋体"/>
                <w:sz w:val="18"/>
                <w:szCs w:val="18"/>
              </w:rPr>
              <w:t>名无限售条件普通股股东持股情况</w:t>
            </w:r>
          </w:p>
        </w:tc>
      </w:tr>
      <w:tr w:rsidR="00A067C6">
        <w:trPr>
          <w:trHeight w:val="240"/>
        </w:trPr>
        <w:tc>
          <w:tcPr>
            <w:tcW w:w="3510" w:type="dxa"/>
            <w:gridSpan w:val="5"/>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3544" w:type="dxa"/>
            <w:gridSpan w:val="5"/>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报告期末持有无限售条件普通股股份数量</w:t>
            </w:r>
          </w:p>
        </w:tc>
        <w:tc>
          <w:tcPr>
            <w:tcW w:w="2585"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股份种类</w:t>
            </w:r>
          </w:p>
        </w:tc>
      </w:tr>
      <w:tr w:rsidR="00A067C6">
        <w:trPr>
          <w:trHeight w:val="240"/>
        </w:trPr>
        <w:tc>
          <w:tcPr>
            <w:tcW w:w="3510" w:type="dxa"/>
            <w:gridSpan w:val="5"/>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3544" w:type="dxa"/>
            <w:gridSpan w:val="5"/>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418"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股份种类</w:t>
            </w:r>
          </w:p>
        </w:tc>
        <w:tc>
          <w:tcPr>
            <w:tcW w:w="1167"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r>
      <w:tr w:rsidR="00A067C6">
        <w:trPr>
          <w:trHeight w:val="240"/>
        </w:trPr>
        <w:tc>
          <w:tcPr>
            <w:tcW w:w="3510" w:type="dxa"/>
            <w:gridSpan w:val="5"/>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3544" w:type="dxa"/>
            <w:gridSpan w:val="5"/>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520,705,950</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167" w:type="dxa"/>
            <w:gridSpan w:val="2"/>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520,705,950</w:t>
            </w:r>
          </w:p>
        </w:tc>
      </w:tr>
      <w:tr w:rsidR="00A067C6">
        <w:trPr>
          <w:trHeight w:val="240"/>
        </w:trPr>
        <w:tc>
          <w:tcPr>
            <w:tcW w:w="3510" w:type="dxa"/>
            <w:gridSpan w:val="5"/>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安徽飞亚纺织有限公司</w:t>
            </w:r>
          </w:p>
        </w:tc>
        <w:tc>
          <w:tcPr>
            <w:tcW w:w="3544" w:type="dxa"/>
            <w:gridSpan w:val="5"/>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129,058,312</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167" w:type="dxa"/>
            <w:gridSpan w:val="2"/>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129,058,312</w:t>
            </w:r>
          </w:p>
        </w:tc>
      </w:tr>
      <w:tr w:rsidR="00A067C6">
        <w:trPr>
          <w:trHeight w:val="240"/>
        </w:trPr>
        <w:tc>
          <w:tcPr>
            <w:tcW w:w="3510" w:type="dxa"/>
            <w:gridSpan w:val="5"/>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深圳市华人投资有限公司</w:t>
            </w:r>
          </w:p>
        </w:tc>
        <w:tc>
          <w:tcPr>
            <w:tcW w:w="3544" w:type="dxa"/>
            <w:gridSpan w:val="5"/>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62,923,500</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167" w:type="dxa"/>
            <w:gridSpan w:val="2"/>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62,923,500</w:t>
            </w:r>
          </w:p>
        </w:tc>
      </w:tr>
      <w:tr w:rsidR="00A067C6">
        <w:trPr>
          <w:trHeight w:val="240"/>
        </w:trPr>
        <w:tc>
          <w:tcPr>
            <w:tcW w:w="3510" w:type="dxa"/>
            <w:gridSpan w:val="5"/>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金鹰基金－工商银行－万向信托－万向信托－星辰</w:t>
            </w:r>
            <w:r>
              <w:rPr>
                <w:rFonts w:ascii="宋体" w:eastAsia="宋体" w:hAnsi="宋体" w:cs="宋体"/>
                <w:sz w:val="18"/>
                <w:szCs w:val="18"/>
              </w:rPr>
              <w:t>39</w:t>
            </w:r>
            <w:r>
              <w:rPr>
                <w:rFonts w:ascii="宋体" w:eastAsia="宋体" w:hAnsi="宋体" w:cs="宋体"/>
                <w:sz w:val="18"/>
                <w:szCs w:val="18"/>
              </w:rPr>
              <w:t>号事务管理类单一资金信托</w:t>
            </w:r>
          </w:p>
        </w:tc>
        <w:tc>
          <w:tcPr>
            <w:tcW w:w="3544" w:type="dxa"/>
            <w:gridSpan w:val="5"/>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46,199,861</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167" w:type="dxa"/>
            <w:gridSpan w:val="2"/>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46,199,861</w:t>
            </w:r>
          </w:p>
        </w:tc>
      </w:tr>
      <w:tr w:rsidR="00A067C6">
        <w:trPr>
          <w:trHeight w:val="240"/>
        </w:trPr>
        <w:tc>
          <w:tcPr>
            <w:tcW w:w="3510" w:type="dxa"/>
            <w:gridSpan w:val="5"/>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广西沣盛供应链管理有限公司</w:t>
            </w:r>
          </w:p>
        </w:tc>
        <w:tc>
          <w:tcPr>
            <w:tcW w:w="3544" w:type="dxa"/>
            <w:gridSpan w:val="5"/>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45,283,102</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167" w:type="dxa"/>
            <w:gridSpan w:val="2"/>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45,283,102</w:t>
            </w:r>
          </w:p>
        </w:tc>
      </w:tr>
      <w:tr w:rsidR="00A067C6">
        <w:trPr>
          <w:trHeight w:val="240"/>
        </w:trPr>
        <w:tc>
          <w:tcPr>
            <w:tcW w:w="3510" w:type="dxa"/>
            <w:gridSpan w:val="5"/>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金元顺安基金－兴业银行－上海爱建信托－爱建信托欣欣</w:t>
            </w:r>
            <w:r>
              <w:rPr>
                <w:rFonts w:ascii="宋体" w:eastAsia="宋体" w:hAnsi="宋体" w:cs="宋体"/>
                <w:sz w:val="18"/>
                <w:szCs w:val="18"/>
              </w:rPr>
              <w:t>7</w:t>
            </w:r>
            <w:r>
              <w:rPr>
                <w:rFonts w:ascii="宋体" w:eastAsia="宋体" w:hAnsi="宋体" w:cs="宋体"/>
                <w:sz w:val="18"/>
                <w:szCs w:val="18"/>
              </w:rPr>
              <w:t>号定向增发事务管理类单一资金信托</w:t>
            </w:r>
          </w:p>
        </w:tc>
        <w:tc>
          <w:tcPr>
            <w:tcW w:w="3544" w:type="dxa"/>
            <w:gridSpan w:val="5"/>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41,781,004</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167" w:type="dxa"/>
            <w:gridSpan w:val="2"/>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41,781,004</w:t>
            </w:r>
          </w:p>
        </w:tc>
      </w:tr>
      <w:tr w:rsidR="00A067C6">
        <w:trPr>
          <w:trHeight w:val="240"/>
        </w:trPr>
        <w:tc>
          <w:tcPr>
            <w:tcW w:w="3510" w:type="dxa"/>
            <w:gridSpan w:val="5"/>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杨三宝</w:t>
            </w:r>
          </w:p>
        </w:tc>
        <w:tc>
          <w:tcPr>
            <w:tcW w:w="3544" w:type="dxa"/>
            <w:gridSpan w:val="5"/>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38,100,000</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167" w:type="dxa"/>
            <w:gridSpan w:val="2"/>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38,100,000</w:t>
            </w:r>
          </w:p>
        </w:tc>
      </w:tr>
      <w:tr w:rsidR="00A067C6">
        <w:trPr>
          <w:trHeight w:val="240"/>
        </w:trPr>
        <w:tc>
          <w:tcPr>
            <w:tcW w:w="3510" w:type="dxa"/>
            <w:gridSpan w:val="5"/>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安徽省农业产业化发展基金有限公司</w:t>
            </w:r>
          </w:p>
        </w:tc>
        <w:tc>
          <w:tcPr>
            <w:tcW w:w="3544" w:type="dxa"/>
            <w:gridSpan w:val="5"/>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24,038,461</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167" w:type="dxa"/>
            <w:gridSpan w:val="2"/>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24,038,461</w:t>
            </w:r>
          </w:p>
        </w:tc>
      </w:tr>
      <w:tr w:rsidR="00A067C6">
        <w:trPr>
          <w:trHeight w:val="240"/>
        </w:trPr>
        <w:tc>
          <w:tcPr>
            <w:tcW w:w="3510" w:type="dxa"/>
            <w:gridSpan w:val="5"/>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夏重阳</w:t>
            </w:r>
          </w:p>
        </w:tc>
        <w:tc>
          <w:tcPr>
            <w:tcW w:w="3544" w:type="dxa"/>
            <w:gridSpan w:val="5"/>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17,860,000</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167" w:type="dxa"/>
            <w:gridSpan w:val="2"/>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17,860,000</w:t>
            </w:r>
          </w:p>
        </w:tc>
      </w:tr>
      <w:tr w:rsidR="00A067C6">
        <w:trPr>
          <w:trHeight w:val="240"/>
        </w:trPr>
        <w:tc>
          <w:tcPr>
            <w:tcW w:w="3510" w:type="dxa"/>
            <w:gridSpan w:val="5"/>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郭红松</w:t>
            </w:r>
          </w:p>
        </w:tc>
        <w:tc>
          <w:tcPr>
            <w:tcW w:w="3544" w:type="dxa"/>
            <w:gridSpan w:val="5"/>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17,000,000</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167" w:type="dxa"/>
            <w:gridSpan w:val="2"/>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17,000,000</w:t>
            </w:r>
          </w:p>
        </w:tc>
      </w:tr>
      <w:tr w:rsidR="00A067C6">
        <w:trPr>
          <w:trHeight w:val="240"/>
        </w:trPr>
        <w:tc>
          <w:tcPr>
            <w:tcW w:w="3510"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前</w:t>
            </w:r>
            <w:r>
              <w:rPr>
                <w:rFonts w:ascii="宋体" w:eastAsia="宋体" w:hAnsi="宋体" w:cs="宋体"/>
                <w:sz w:val="18"/>
                <w:szCs w:val="18"/>
              </w:rPr>
              <w:t>10</w:t>
            </w:r>
            <w:r>
              <w:rPr>
                <w:rFonts w:ascii="宋体" w:eastAsia="宋体" w:hAnsi="宋体" w:cs="宋体"/>
                <w:sz w:val="18"/>
                <w:szCs w:val="18"/>
              </w:rPr>
              <w:t>名无限售条件普通股股东之间，以及前</w:t>
            </w:r>
            <w:r>
              <w:rPr>
                <w:rFonts w:ascii="宋体" w:eastAsia="宋体" w:hAnsi="宋体" w:cs="宋体"/>
                <w:sz w:val="18"/>
                <w:szCs w:val="18"/>
              </w:rPr>
              <w:t>10</w:t>
            </w:r>
            <w:r>
              <w:rPr>
                <w:rFonts w:ascii="宋体" w:eastAsia="宋体" w:hAnsi="宋体" w:cs="宋体"/>
                <w:sz w:val="18"/>
                <w:szCs w:val="18"/>
              </w:rPr>
              <w:t>名无限售条件普通股股东和前</w:t>
            </w:r>
            <w:r>
              <w:rPr>
                <w:rFonts w:ascii="宋体" w:eastAsia="宋体" w:hAnsi="宋体" w:cs="宋体"/>
                <w:sz w:val="18"/>
                <w:szCs w:val="18"/>
              </w:rPr>
              <w:t>10</w:t>
            </w:r>
            <w:r>
              <w:rPr>
                <w:rFonts w:ascii="宋体" w:eastAsia="宋体" w:hAnsi="宋体" w:cs="宋体"/>
                <w:sz w:val="18"/>
                <w:szCs w:val="18"/>
              </w:rPr>
              <w:t>名普通股股东之间关联关系或一致行动的说明</w:t>
            </w:r>
          </w:p>
        </w:tc>
        <w:tc>
          <w:tcPr>
            <w:tcW w:w="6129" w:type="dxa"/>
            <w:gridSpan w:val="10"/>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上述股东中华孚控股有限公司、安徽飞亚纺织有限公司、深圳市华人投资有限公司为公司控股股东及一致行动人，其余流通股东与控股股东之间不存在关联关系，也不属于一致行动人。未知其余流通股股东之间是否存在关联关系或是否属于一致行动人。</w:t>
            </w:r>
          </w:p>
        </w:tc>
      </w:tr>
      <w:tr w:rsidR="00A067C6">
        <w:trPr>
          <w:trHeight w:val="240"/>
        </w:trPr>
        <w:tc>
          <w:tcPr>
            <w:tcW w:w="3510"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前</w:t>
            </w:r>
            <w:r>
              <w:rPr>
                <w:rFonts w:ascii="宋体" w:eastAsia="宋体" w:hAnsi="宋体" w:cs="宋体"/>
                <w:sz w:val="18"/>
                <w:szCs w:val="18"/>
              </w:rPr>
              <w:t>10</w:t>
            </w:r>
            <w:r>
              <w:rPr>
                <w:rFonts w:ascii="宋体" w:eastAsia="宋体" w:hAnsi="宋体" w:cs="宋体"/>
                <w:sz w:val="18"/>
                <w:szCs w:val="18"/>
              </w:rPr>
              <w:t>名普通股股东参与融资融券业务情况说明（如有）（参见注</w:t>
            </w:r>
            <w:r>
              <w:rPr>
                <w:rFonts w:ascii="宋体" w:eastAsia="宋体" w:hAnsi="宋体" w:cs="宋体"/>
                <w:sz w:val="18"/>
                <w:szCs w:val="18"/>
              </w:rPr>
              <w:t>4</w:t>
            </w:r>
            <w:r>
              <w:rPr>
                <w:rFonts w:ascii="宋体" w:eastAsia="宋体" w:hAnsi="宋体" w:cs="宋体"/>
                <w:sz w:val="18"/>
                <w:szCs w:val="18"/>
              </w:rPr>
              <w:t>）</w:t>
            </w:r>
          </w:p>
        </w:tc>
        <w:tc>
          <w:tcPr>
            <w:tcW w:w="6129" w:type="dxa"/>
            <w:gridSpan w:val="10"/>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华孚控股有限公司、安徽飞亚纺织有限公司及深圳市华人投资有限公司通过信用账户持有公司部分股份。</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公司前</w:t>
      </w:r>
      <w:r>
        <w:rPr>
          <w:rFonts w:ascii="宋体" w:eastAsia="宋体" w:hAnsi="宋体" w:cs="宋体"/>
          <w:sz w:val="18"/>
          <w:szCs w:val="18"/>
        </w:rPr>
        <w:t>10</w:t>
      </w:r>
      <w:r>
        <w:rPr>
          <w:rFonts w:ascii="宋体" w:eastAsia="宋体" w:hAnsi="宋体" w:cs="宋体"/>
          <w:sz w:val="18"/>
          <w:szCs w:val="18"/>
        </w:rPr>
        <w:t>名普通股股东、前</w:t>
      </w:r>
      <w:r>
        <w:rPr>
          <w:rFonts w:ascii="宋体" w:eastAsia="宋体" w:hAnsi="宋体" w:cs="宋体"/>
          <w:sz w:val="18"/>
          <w:szCs w:val="18"/>
        </w:rPr>
        <w:t>10</w:t>
      </w:r>
      <w:r>
        <w:rPr>
          <w:rFonts w:ascii="宋体" w:eastAsia="宋体" w:hAnsi="宋体" w:cs="宋体"/>
          <w:sz w:val="18"/>
          <w:szCs w:val="18"/>
        </w:rPr>
        <w:t>名无限售条件普通股股东在报告期内是否进行约定购回交易</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是</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否</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公司前</w:t>
      </w:r>
      <w:r>
        <w:rPr>
          <w:rFonts w:ascii="宋体" w:eastAsia="宋体" w:hAnsi="宋体" w:cs="宋体"/>
          <w:sz w:val="18"/>
          <w:szCs w:val="18"/>
        </w:rPr>
        <w:t>10</w:t>
      </w:r>
      <w:r>
        <w:rPr>
          <w:rFonts w:ascii="宋体" w:eastAsia="宋体" w:hAnsi="宋体" w:cs="宋体"/>
          <w:sz w:val="18"/>
          <w:szCs w:val="18"/>
        </w:rPr>
        <w:t>名普通股股东、前</w:t>
      </w:r>
      <w:r>
        <w:rPr>
          <w:rFonts w:ascii="宋体" w:eastAsia="宋体" w:hAnsi="宋体" w:cs="宋体"/>
          <w:sz w:val="18"/>
          <w:szCs w:val="18"/>
        </w:rPr>
        <w:t>10</w:t>
      </w:r>
      <w:r>
        <w:rPr>
          <w:rFonts w:ascii="宋体" w:eastAsia="宋体" w:hAnsi="宋体" w:cs="宋体"/>
          <w:sz w:val="18"/>
          <w:szCs w:val="18"/>
        </w:rPr>
        <w:t>名无限售条件普通股股东在报告期内未进行约定购回交易。</w:t>
      </w:r>
    </w:p>
    <w:p w:rsidR="00A067C6" w:rsidRDefault="005C4966">
      <w:pPr>
        <w:pStyle w:val="2"/>
        <w:spacing w:before="300" w:after="300" w:line="320" w:lineRule="exact"/>
        <w:rPr>
          <w:rFonts w:ascii="宋体" w:eastAsia="宋体" w:hAnsi="宋体" w:cs="宋体"/>
          <w:b/>
          <w:bCs/>
          <w:sz w:val="24"/>
          <w:szCs w:val="24"/>
        </w:rPr>
      </w:pPr>
      <w:bookmarkStart w:id="101" w:name="_Toc988989"/>
      <w:r>
        <w:rPr>
          <w:rFonts w:ascii="宋体" w:eastAsia="宋体" w:hAnsi="宋体" w:cs="宋体"/>
          <w:b/>
          <w:bCs/>
          <w:sz w:val="24"/>
          <w:szCs w:val="24"/>
        </w:rPr>
        <w:t>四、董事、监事和高级管理人员持股变动</w:t>
      </w:r>
      <w:bookmarkEnd w:id="101"/>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公司董事、监事和高级管理人员在报告期持股情况没有发生变动，具体可参见</w:t>
      </w:r>
      <w:r>
        <w:rPr>
          <w:rFonts w:ascii="宋体" w:eastAsia="宋体" w:hAnsi="宋体" w:cs="宋体"/>
          <w:sz w:val="18"/>
          <w:szCs w:val="18"/>
        </w:rPr>
        <w:t>2022</w:t>
      </w:r>
      <w:r>
        <w:rPr>
          <w:rFonts w:ascii="宋体" w:eastAsia="宋体" w:hAnsi="宋体" w:cs="宋体"/>
          <w:sz w:val="18"/>
          <w:szCs w:val="18"/>
        </w:rPr>
        <w:t>年年报。</w:t>
      </w:r>
    </w:p>
    <w:p w:rsidR="00A067C6" w:rsidRDefault="005C4966">
      <w:pPr>
        <w:pStyle w:val="2"/>
        <w:spacing w:before="300" w:after="300" w:line="320" w:lineRule="exact"/>
        <w:rPr>
          <w:rFonts w:ascii="宋体" w:eastAsia="宋体" w:hAnsi="宋体" w:cs="宋体"/>
          <w:b/>
          <w:bCs/>
          <w:sz w:val="24"/>
          <w:szCs w:val="24"/>
        </w:rPr>
      </w:pPr>
      <w:bookmarkStart w:id="102" w:name="_Toc988990"/>
      <w:r>
        <w:rPr>
          <w:rFonts w:ascii="宋体" w:eastAsia="宋体" w:hAnsi="宋体" w:cs="宋体"/>
          <w:b/>
          <w:bCs/>
          <w:sz w:val="24"/>
          <w:szCs w:val="24"/>
        </w:rPr>
        <w:t>五、控股股东或实际控制人变更情况</w:t>
      </w:r>
      <w:bookmarkEnd w:id="102"/>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控股股东报告期内变更</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公司报告期控股股东未发生变更。</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实际控制人报告期内变更</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公司报告期实际控制人未发生变更。</w:t>
      </w:r>
    </w:p>
    <w:p w:rsidR="00A067C6" w:rsidRDefault="005C4966">
      <w:r>
        <w:br w:type="page"/>
      </w:r>
    </w:p>
    <w:p w:rsidR="00A067C6" w:rsidRDefault="005C4966">
      <w:pPr>
        <w:pStyle w:val="headingh1"/>
        <w:spacing w:before="340" w:after="330" w:line="773" w:lineRule="exact"/>
        <w:jc w:val="center"/>
        <w:rPr>
          <w:rFonts w:ascii="宋体" w:eastAsia="宋体" w:hAnsi="宋体" w:cs="宋体"/>
          <w:b/>
          <w:bCs/>
          <w:sz w:val="32"/>
          <w:szCs w:val="32"/>
        </w:rPr>
      </w:pPr>
      <w:bookmarkStart w:id="103" w:name="_Toc988991"/>
      <w:r>
        <w:rPr>
          <w:rFonts w:ascii="宋体" w:eastAsia="宋体" w:hAnsi="宋体" w:cs="宋体"/>
          <w:b/>
          <w:bCs/>
          <w:sz w:val="32"/>
          <w:szCs w:val="32"/>
        </w:rPr>
        <w:t>第八节</w:t>
      </w:r>
      <w:r>
        <w:rPr>
          <w:rFonts w:ascii="宋体" w:eastAsia="宋体" w:hAnsi="宋体" w:cs="宋体"/>
          <w:b/>
          <w:bCs/>
          <w:sz w:val="32"/>
          <w:szCs w:val="32"/>
        </w:rPr>
        <w:t xml:space="preserve"> </w:t>
      </w:r>
      <w:r>
        <w:rPr>
          <w:rFonts w:ascii="宋体" w:eastAsia="宋体" w:hAnsi="宋体" w:cs="宋体"/>
          <w:b/>
          <w:bCs/>
          <w:sz w:val="32"/>
          <w:szCs w:val="32"/>
        </w:rPr>
        <w:t>优先股相关情况</w:t>
      </w:r>
      <w:bookmarkEnd w:id="103"/>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line="240" w:lineRule="exact"/>
        <w:rPr>
          <w:rFonts w:ascii="宋体" w:eastAsia="宋体" w:hAnsi="宋体" w:cs="宋体"/>
          <w:sz w:val="18"/>
          <w:szCs w:val="18"/>
        </w:rPr>
      </w:pPr>
      <w:r>
        <w:rPr>
          <w:rFonts w:ascii="宋体" w:eastAsia="宋体" w:hAnsi="宋体" w:cs="宋体"/>
          <w:sz w:val="18"/>
          <w:szCs w:val="18"/>
        </w:rPr>
        <w:t>报告期公司不存在优先股。</w:t>
      </w:r>
    </w:p>
    <w:p w:rsidR="00A067C6" w:rsidRDefault="005C4966">
      <w:r>
        <w:br w:type="page"/>
      </w:r>
    </w:p>
    <w:p w:rsidR="00A067C6" w:rsidRDefault="005C4966">
      <w:pPr>
        <w:pStyle w:val="headingh1"/>
        <w:spacing w:before="340" w:after="330" w:line="773" w:lineRule="exact"/>
        <w:jc w:val="center"/>
        <w:rPr>
          <w:rFonts w:ascii="宋体" w:eastAsia="宋体" w:hAnsi="宋体" w:cs="宋体"/>
          <w:b/>
          <w:bCs/>
          <w:sz w:val="32"/>
          <w:szCs w:val="32"/>
        </w:rPr>
      </w:pPr>
      <w:bookmarkStart w:id="104" w:name="_Toc988992"/>
      <w:r>
        <w:rPr>
          <w:rFonts w:ascii="宋体" w:eastAsia="宋体" w:hAnsi="宋体" w:cs="宋体"/>
          <w:b/>
          <w:bCs/>
          <w:sz w:val="32"/>
          <w:szCs w:val="32"/>
        </w:rPr>
        <w:t>第九节</w:t>
      </w:r>
      <w:r>
        <w:rPr>
          <w:rFonts w:ascii="宋体" w:eastAsia="宋体" w:hAnsi="宋体" w:cs="宋体"/>
          <w:b/>
          <w:bCs/>
          <w:sz w:val="32"/>
          <w:szCs w:val="32"/>
        </w:rPr>
        <w:t xml:space="preserve"> </w:t>
      </w:r>
      <w:r>
        <w:rPr>
          <w:rFonts w:ascii="宋体" w:eastAsia="宋体" w:hAnsi="宋体" w:cs="宋体"/>
          <w:b/>
          <w:bCs/>
          <w:sz w:val="32"/>
          <w:szCs w:val="32"/>
        </w:rPr>
        <w:t>债券相关情况</w:t>
      </w:r>
      <w:bookmarkEnd w:id="104"/>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r>
        <w:br w:type="page"/>
      </w:r>
    </w:p>
    <w:p w:rsidR="00A067C6" w:rsidRDefault="005C4966">
      <w:pPr>
        <w:pStyle w:val="headingh1"/>
        <w:spacing w:before="340" w:after="330" w:line="773" w:lineRule="exact"/>
        <w:jc w:val="center"/>
        <w:rPr>
          <w:rFonts w:ascii="宋体" w:eastAsia="宋体" w:hAnsi="宋体" w:cs="宋体"/>
          <w:b/>
          <w:bCs/>
          <w:sz w:val="32"/>
          <w:szCs w:val="32"/>
        </w:rPr>
      </w:pPr>
      <w:bookmarkStart w:id="105" w:name="_Toc988993"/>
      <w:r>
        <w:rPr>
          <w:rFonts w:ascii="宋体" w:eastAsia="宋体" w:hAnsi="宋体" w:cs="宋体"/>
          <w:b/>
          <w:bCs/>
          <w:sz w:val="32"/>
          <w:szCs w:val="32"/>
        </w:rPr>
        <w:t>第十节</w:t>
      </w:r>
      <w:r>
        <w:rPr>
          <w:rFonts w:ascii="宋体" w:eastAsia="宋体" w:hAnsi="宋体" w:cs="宋体"/>
          <w:b/>
          <w:bCs/>
          <w:sz w:val="32"/>
          <w:szCs w:val="32"/>
        </w:rPr>
        <w:t xml:space="preserve"> </w:t>
      </w:r>
      <w:r>
        <w:rPr>
          <w:rFonts w:ascii="宋体" w:eastAsia="宋体" w:hAnsi="宋体" w:cs="宋体"/>
          <w:b/>
          <w:bCs/>
          <w:sz w:val="32"/>
          <w:szCs w:val="32"/>
        </w:rPr>
        <w:t>财务报告</w:t>
      </w:r>
      <w:bookmarkEnd w:id="105"/>
    </w:p>
    <w:p w:rsidR="00A067C6" w:rsidRDefault="005C4966">
      <w:pPr>
        <w:pStyle w:val="2"/>
        <w:spacing w:before="300" w:after="300" w:line="320" w:lineRule="exact"/>
        <w:rPr>
          <w:rFonts w:ascii="宋体" w:eastAsia="宋体" w:hAnsi="宋体" w:cs="宋体"/>
          <w:b/>
          <w:bCs/>
          <w:sz w:val="24"/>
          <w:szCs w:val="24"/>
        </w:rPr>
      </w:pPr>
      <w:bookmarkStart w:id="106" w:name="_Toc988994"/>
      <w:r>
        <w:rPr>
          <w:rFonts w:ascii="宋体" w:eastAsia="宋体" w:hAnsi="宋体" w:cs="宋体"/>
          <w:b/>
          <w:bCs/>
          <w:sz w:val="24"/>
          <w:szCs w:val="24"/>
        </w:rPr>
        <w:t>一、审计报告</w:t>
      </w:r>
      <w:bookmarkEnd w:id="106"/>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半年度报告是否经过审计</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是</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否</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公司半年度财务报告未经审计。</w:t>
      </w:r>
    </w:p>
    <w:p w:rsidR="00A067C6" w:rsidRDefault="005C4966">
      <w:pPr>
        <w:pStyle w:val="2"/>
        <w:spacing w:before="300" w:after="300" w:line="320" w:lineRule="exact"/>
        <w:rPr>
          <w:rFonts w:ascii="宋体" w:eastAsia="宋体" w:hAnsi="宋体" w:cs="宋体"/>
          <w:b/>
          <w:bCs/>
          <w:sz w:val="24"/>
          <w:szCs w:val="24"/>
        </w:rPr>
      </w:pPr>
      <w:bookmarkStart w:id="107" w:name="_Toc988995"/>
      <w:r>
        <w:rPr>
          <w:rFonts w:ascii="宋体" w:eastAsia="宋体" w:hAnsi="宋体" w:cs="宋体"/>
          <w:b/>
          <w:bCs/>
          <w:sz w:val="24"/>
          <w:szCs w:val="24"/>
        </w:rPr>
        <w:t>二、财务报表</w:t>
      </w:r>
      <w:bookmarkEnd w:id="107"/>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财务附注中报表的单位为：元</w:t>
      </w:r>
    </w:p>
    <w:p w:rsidR="00A067C6" w:rsidRDefault="005C4966">
      <w:pPr>
        <w:pStyle w:val="3"/>
        <w:spacing w:line="280" w:lineRule="exact"/>
        <w:jc w:val="left"/>
        <w:rPr>
          <w:rFonts w:ascii="宋体" w:hAnsi="宋体" w:cs="宋体"/>
          <w:b/>
          <w:bCs/>
        </w:rPr>
      </w:pPr>
      <w:bookmarkStart w:id="108" w:name="_Toc988996"/>
      <w:r>
        <w:rPr>
          <w:rFonts w:ascii="宋体" w:hAnsi="宋体" w:cs="宋体"/>
          <w:b/>
          <w:bCs/>
        </w:rPr>
        <w:t>1</w:t>
      </w:r>
      <w:r>
        <w:rPr>
          <w:rFonts w:ascii="宋体" w:hAnsi="宋体" w:cs="宋体"/>
          <w:b/>
          <w:bCs/>
        </w:rPr>
        <w:t>、合并资产负债表</w:t>
      </w:r>
      <w:bookmarkEnd w:id="108"/>
    </w:p>
    <w:p w:rsidR="00A067C6" w:rsidRDefault="005C4966">
      <w:pPr>
        <w:spacing w:line="240" w:lineRule="exact"/>
        <w:rPr>
          <w:rFonts w:ascii="宋体" w:eastAsia="宋体" w:hAnsi="宋体" w:cs="宋体"/>
          <w:sz w:val="18"/>
          <w:szCs w:val="18"/>
        </w:rPr>
      </w:pPr>
      <w:r>
        <w:rPr>
          <w:rFonts w:ascii="宋体" w:eastAsia="宋体" w:hAnsi="宋体" w:cs="宋体"/>
          <w:sz w:val="18"/>
          <w:szCs w:val="18"/>
        </w:rPr>
        <w:t>编制单位：华孚时尚股份有限公司</w:t>
      </w:r>
    </w:p>
    <w:p w:rsidR="00A067C6" w:rsidRDefault="005C4966">
      <w:pPr>
        <w:spacing w:line="240" w:lineRule="exact"/>
        <w:jc w:val="center"/>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08</w:t>
      </w:r>
      <w:r>
        <w:rPr>
          <w:rFonts w:ascii="宋体" w:eastAsia="宋体" w:hAnsi="宋体" w:cs="宋体"/>
          <w:sz w:val="18"/>
          <w:szCs w:val="18"/>
        </w:rPr>
        <w:t>月</w:t>
      </w:r>
      <w:r>
        <w:rPr>
          <w:rFonts w:ascii="宋体" w:eastAsia="宋体" w:hAnsi="宋体" w:cs="宋体"/>
          <w:sz w:val="18"/>
          <w:szCs w:val="18"/>
        </w:rPr>
        <w:t>30</w:t>
      </w:r>
      <w:r>
        <w:rPr>
          <w:rFonts w:ascii="宋体" w:eastAsia="宋体" w:hAnsi="宋体" w:cs="宋体"/>
          <w:sz w:val="18"/>
          <w:szCs w:val="18"/>
        </w:rPr>
        <w:t>日</w:t>
      </w:r>
    </w:p>
    <w:p w:rsidR="00A067C6" w:rsidRDefault="005C4966">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6</w:t>
            </w:r>
            <w:r>
              <w:rPr>
                <w:rFonts w:ascii="宋体" w:eastAsia="宋体" w:hAnsi="宋体" w:cs="宋体"/>
                <w:sz w:val="18"/>
                <w:szCs w:val="18"/>
              </w:rPr>
              <w:t>月</w:t>
            </w:r>
            <w:r>
              <w:rPr>
                <w:rFonts w:ascii="宋体" w:eastAsia="宋体" w:hAnsi="宋体" w:cs="宋体"/>
                <w:sz w:val="18"/>
                <w:szCs w:val="18"/>
              </w:rPr>
              <w:t>30</w:t>
            </w:r>
            <w:r>
              <w:rPr>
                <w:rFonts w:ascii="宋体" w:eastAsia="宋体" w:hAnsi="宋体" w:cs="宋体"/>
                <w:sz w:val="18"/>
                <w:szCs w:val="18"/>
              </w:rPr>
              <w:t>日</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1</w:t>
            </w:r>
            <w:r>
              <w:rPr>
                <w:rFonts w:ascii="宋体" w:eastAsia="宋体" w:hAnsi="宋体" w:cs="宋体"/>
                <w:sz w:val="18"/>
                <w:szCs w:val="18"/>
              </w:rPr>
              <w:t>月</w:t>
            </w:r>
            <w:r>
              <w:rPr>
                <w:rFonts w:ascii="宋体" w:eastAsia="宋体" w:hAnsi="宋体" w:cs="宋体"/>
                <w:sz w:val="18"/>
                <w:szCs w:val="18"/>
              </w:rPr>
              <w:t>1</w:t>
            </w:r>
            <w:r>
              <w:rPr>
                <w:rFonts w:ascii="宋体" w:eastAsia="宋体" w:hAnsi="宋体" w:cs="宋体"/>
                <w:sz w:val="18"/>
                <w:szCs w:val="18"/>
              </w:rPr>
              <w:t>日</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4,303,041,362.63</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2,718,875,461.56</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结算备付金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拆出资金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125,140,310.80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608,564,083.66</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衍生金融资产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应收票据</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548,068,656.25</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86,853,125.00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应收账款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963,368,344.88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927,683,738.93</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应收款项融资</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预付款项</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1,236,003,182.82</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766,827,324.84</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应收保费</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应收分保合同准备金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281,868,919.58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251,884,579.22</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其中：应收利息</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买入返售金融资产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存货</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3,215,637,984.55</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5,337,498,180.84</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合同资产</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持有待售资产</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4,486,244.14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1,540,187.78</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104,728,097.42</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171,662,453.90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10,782,343,103.07</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10,871,389,135.73</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非流动资产：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发放贷款和垫款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长期应收款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2,833,724.06</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长期股权投资</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321,526,578.16</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326,977,121.34</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其他权益工具投资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80,784,383.29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80,250,680.43</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投资性房地产</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59,601,999.31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61,592,794.48</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4,766,180,757.71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4,987,410,058.67</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492,426,795.80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405,320,838.98</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生产性生物资产</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油气资产</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使用权资产</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21,451,260.14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23,275,556.72</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无形资产</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943,373,662.83</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950,121,155.70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开发支出</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商誉</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157,486,295.49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157,486,295.49</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长期待摊费用</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23,254,450.89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31,328,384.06</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递延所得税资产</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183,765,862.59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202,245,661.31</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135,420,153.56</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43,769,369.80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非流动资产合计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7,185,272,199.77</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7,272,611,641.04</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资产总计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17,967,615,302.84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18,144,000,776.77</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短期借款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7,322,725,209.62</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7,649,257,866.34</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向中央银行借款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拆入资金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交易性金融负债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383,600.00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1,902,600.00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衍生金融负债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应付票据</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159,755,085.54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58,331,152.95</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应付账款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941,991,546.03</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947,257,716.21</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预收款项</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10,026,188.98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6,762,625.23</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合同负债</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757,846,830.73</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781,571,502.38</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卖出回购金融资产款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吸收存款及同业存放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代理买卖证券款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代理承销证券款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74,348,594.10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75,418,931.48</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应交税费</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67,169,849.43</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94,863,414.92</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276,200,413.23</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220,752,940.26</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其中：应付利息</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应付股利</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应付手续费及佣金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持有待售负债</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203,044,136.00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161,492,879.76</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76,067,645.39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92,097,977.92</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9,889,559,099.05</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10,089,709,607.45</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非流动负债：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保险合同准备金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长期借款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1,093,476,000.00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920,040,822.50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应付债券</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16,540,650.19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16,671,345.58</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224,367,138.45</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224,367,138.45</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预计负债</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94,782.80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237,600.78</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递延收益</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45,399,423.15</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89,437,900.44</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递延所得税负债</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21,669,328.59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24,872,232.15</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非流动负债合计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1,401,547,323.18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1,275,627,039.90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11,291,106,422.23</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11,365,336,647.35</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所有者权益：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股本</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1,700,681,355.00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其他权益工具</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资本公积</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2,719,710,516.39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2,740,826,583.55</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减：库存股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200,071,093.36</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46,974,359.92</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-25,811,620.66</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-48,175,536.34</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专项储备</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盈余公积</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302,737,887.79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302,737,887.79</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一般风险准备</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1,724,989,647.99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1,643,586,800.21</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归属于母公司所有者权益合计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6,222,236,693.15</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6,292,682,730.29</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少数股东权益</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454,272,187.46</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485,981,399.13</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6,676,508,880.61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6,778,664,129.42</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负债和所有者权益总计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17,967,615,302.84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18,144,000,776.77</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法定代表人：孙伟挺</w:t>
      </w:r>
      <w:r>
        <w:rPr>
          <w:rFonts w:ascii="宋体" w:eastAsia="宋体" w:hAnsi="宋体" w:cs="宋体"/>
          <w:sz w:val="18"/>
          <w:szCs w:val="18"/>
        </w:rPr>
        <w:t xml:space="preserve">    </w:t>
      </w:r>
      <w:r>
        <w:rPr>
          <w:rFonts w:ascii="宋体" w:eastAsia="宋体" w:hAnsi="宋体" w:cs="宋体" w:hint="eastAsia"/>
          <w:sz w:val="18"/>
          <w:szCs w:val="18"/>
        </w:rPr>
        <w:t xml:space="preserve">              </w:t>
      </w:r>
      <w:r>
        <w:rPr>
          <w:rFonts w:ascii="宋体" w:eastAsia="宋体" w:hAnsi="宋体" w:cs="宋体"/>
          <w:sz w:val="18"/>
          <w:szCs w:val="18"/>
        </w:rPr>
        <w:t>主管会计工作负责人：陈玲芬</w:t>
      </w:r>
      <w:r>
        <w:rPr>
          <w:rFonts w:ascii="宋体" w:eastAsia="宋体" w:hAnsi="宋体" w:cs="宋体"/>
          <w:sz w:val="18"/>
          <w:szCs w:val="18"/>
        </w:rPr>
        <w:t xml:space="preserve">    </w:t>
      </w:r>
      <w:r>
        <w:rPr>
          <w:rFonts w:ascii="宋体" w:eastAsia="宋体" w:hAnsi="宋体" w:cs="宋体" w:hint="eastAsia"/>
          <w:sz w:val="18"/>
          <w:szCs w:val="18"/>
        </w:rPr>
        <w:t xml:space="preserve">               </w:t>
      </w:r>
      <w:r>
        <w:rPr>
          <w:rFonts w:ascii="宋体" w:eastAsia="宋体" w:hAnsi="宋体" w:cs="宋体"/>
          <w:sz w:val="18"/>
          <w:szCs w:val="18"/>
        </w:rPr>
        <w:t xml:space="preserve"> </w:t>
      </w:r>
      <w:r>
        <w:rPr>
          <w:rFonts w:ascii="宋体" w:eastAsia="宋体" w:hAnsi="宋体" w:cs="宋体"/>
          <w:sz w:val="18"/>
          <w:szCs w:val="18"/>
        </w:rPr>
        <w:t>会计机构负责人：王国友</w:t>
      </w:r>
    </w:p>
    <w:p w:rsidR="00A067C6" w:rsidRDefault="005C4966">
      <w:pPr>
        <w:pStyle w:val="3"/>
        <w:spacing w:line="320" w:lineRule="exact"/>
        <w:jc w:val="left"/>
        <w:rPr>
          <w:rFonts w:ascii="宋体" w:hAnsi="宋体" w:cs="宋体"/>
          <w:b/>
          <w:bCs/>
          <w:sz w:val="24"/>
          <w:szCs w:val="24"/>
        </w:rPr>
      </w:pPr>
      <w:bookmarkStart w:id="109" w:name="_Toc988997"/>
      <w:r>
        <w:rPr>
          <w:rFonts w:ascii="宋体" w:hAnsi="宋体" w:cs="宋体"/>
          <w:b/>
          <w:bCs/>
          <w:sz w:val="24"/>
          <w:szCs w:val="24"/>
        </w:rPr>
        <w:t>2</w:t>
      </w:r>
      <w:r>
        <w:rPr>
          <w:rFonts w:ascii="宋体" w:hAnsi="宋体" w:cs="宋体"/>
          <w:b/>
          <w:bCs/>
          <w:sz w:val="24"/>
          <w:szCs w:val="24"/>
        </w:rPr>
        <w:t>、母公司资产负债表</w:t>
      </w:r>
      <w:bookmarkEnd w:id="109"/>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6</w:t>
            </w:r>
            <w:r>
              <w:rPr>
                <w:rFonts w:ascii="宋体" w:eastAsia="宋体" w:hAnsi="宋体" w:cs="宋体"/>
                <w:sz w:val="18"/>
                <w:szCs w:val="18"/>
              </w:rPr>
              <w:t>月</w:t>
            </w:r>
            <w:r>
              <w:rPr>
                <w:rFonts w:ascii="宋体" w:eastAsia="宋体" w:hAnsi="宋体" w:cs="宋体"/>
                <w:sz w:val="18"/>
                <w:szCs w:val="18"/>
              </w:rPr>
              <w:t>30</w:t>
            </w:r>
            <w:r>
              <w:rPr>
                <w:rFonts w:ascii="宋体" w:eastAsia="宋体" w:hAnsi="宋体" w:cs="宋体"/>
                <w:sz w:val="18"/>
                <w:szCs w:val="18"/>
              </w:rPr>
              <w:t>日</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1</w:t>
            </w:r>
            <w:r>
              <w:rPr>
                <w:rFonts w:ascii="宋体" w:eastAsia="宋体" w:hAnsi="宋体" w:cs="宋体"/>
                <w:sz w:val="18"/>
                <w:szCs w:val="18"/>
              </w:rPr>
              <w:t>月</w:t>
            </w:r>
            <w:r>
              <w:rPr>
                <w:rFonts w:ascii="宋体" w:eastAsia="宋体" w:hAnsi="宋体" w:cs="宋体"/>
                <w:sz w:val="18"/>
                <w:szCs w:val="18"/>
              </w:rPr>
              <w:t>1</w:t>
            </w:r>
            <w:r>
              <w:rPr>
                <w:rFonts w:ascii="宋体" w:eastAsia="宋体" w:hAnsi="宋体" w:cs="宋体"/>
                <w:sz w:val="18"/>
                <w:szCs w:val="18"/>
              </w:rPr>
              <w:t>日</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45,270,745.45</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139,261,684.58</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43,285,280.65</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112,928,000.00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衍生金融资产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应收票据</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1,234,945.02</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应收账款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148,484,296.90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107,967.82</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应收款项融资</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预付款项</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102,740,284.64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77,367,357.16</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207,518,302.59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163,704,476.95</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其中：应收利息</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20,581,720.51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存货</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260,758,404.90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253,740,956.07</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合同资产</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持有待售资产</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9,520,130.76</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19,112,853.79</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817,577,445.89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767,458,241.39</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非流动资产：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长期应收款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长期股权投资</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4,414,907,400.06</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4,414,907,400.06</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其他权益工具投资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57,822,437.39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56,479,234.53</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投资性房地产</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40,202,959.96</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41,085,463.98</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562,119,540.92</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581,049,392.86</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96,207,459.94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67,624,539.54</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生产性生物资产</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油气资产</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使用权资产</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无形资产</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207,957,210.34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210,490,194.19</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开发支出</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商誉</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长期待摊费用</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3,723,799.17</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4,796,910.99</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递延所得税资产</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8,398,435.78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7,872,541.22</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71,914,485.79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6,667,157.05</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非流动资产合计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5,463,253,729.35</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5,390,972,834.42</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资产总计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6,280,831,175.24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6,158,431,075.81</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短期借款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交易性金融负债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1,519,000.00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衍生金融负债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应付票据</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170,000,000.00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应付账款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183,652,022.43</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246,367,020.88</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预收款项</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合同负债</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31,055,074.08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426,747,408.76</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8,883,247.53</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5,253,412.55</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应交税费</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3,688,900.73</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2,571,462.06</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210,263,371.25</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193,524,772.19</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其中：应付利息</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应付股利</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持有待售负债</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263,923.24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67,029.53</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607,806,539.26</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876,050,105.97</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非流动负债：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长期借款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333,664,343.98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3,642,973.62</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应付债券</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预计负债</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递延收益</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9,343,422.67</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9,590,898.67</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递延所得税负债</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2,931,346.11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4,667,565.68</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非流动负债合计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345,939,112.76</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17,901,437.97</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953,745,652.02</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893,951,543.94</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所有者权益：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股本</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1,700,681,355.00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其他权益工具</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资本公积</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3,106,930,758.15</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3,106,930,758.15</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减：库存股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200,071,093.36</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46,974,359.92</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16,610,961.28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15,469,238.85</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专项储备</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盈余公积</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271,142,449.26</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271,142,449.26</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431,791,092.89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217,230,090.53</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5,327,085,523.22</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5,264,479,531.87</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负债和所有者权益总计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6,280,831,175.24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6,158,431,075.81</w:t>
            </w:r>
          </w:p>
        </w:tc>
      </w:tr>
    </w:tbl>
    <w:p w:rsidR="00A067C6" w:rsidRDefault="005C4966">
      <w:pPr>
        <w:pStyle w:val="3"/>
        <w:spacing w:line="280" w:lineRule="exact"/>
        <w:jc w:val="left"/>
        <w:rPr>
          <w:rFonts w:ascii="宋体" w:hAnsi="宋体" w:cs="宋体"/>
          <w:b/>
          <w:bCs/>
        </w:rPr>
      </w:pPr>
      <w:bookmarkStart w:id="110" w:name="_Toc988998"/>
      <w:r>
        <w:rPr>
          <w:rFonts w:ascii="宋体" w:hAnsi="宋体" w:cs="宋体"/>
          <w:b/>
          <w:bCs/>
        </w:rPr>
        <w:t>3</w:t>
      </w:r>
      <w:r>
        <w:rPr>
          <w:rFonts w:ascii="宋体" w:hAnsi="宋体" w:cs="宋体"/>
          <w:b/>
          <w:bCs/>
        </w:rPr>
        <w:t>、合并利润表</w:t>
      </w:r>
      <w:bookmarkEnd w:id="110"/>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年半年度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2022</w:t>
            </w:r>
            <w:r>
              <w:rPr>
                <w:rFonts w:ascii="宋体" w:eastAsia="宋体" w:hAnsi="宋体" w:cs="宋体"/>
                <w:sz w:val="18"/>
                <w:szCs w:val="18"/>
              </w:rPr>
              <w:t>年半年度</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一、营业总收入</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7,752,926,712.81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8,535,970,102.43</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其中：营业收入</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7,752,926,712.81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8,535,970,102.43</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已赚保费</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手续费及佣金收入</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二、营业总成本</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7,734,294,576.04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8,238,224,497.18</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其中：营业成本</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7,335,998,463.15</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7,763,742,768.20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利息支出</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手续费及佣金支出</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退保金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赔付支出净额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提取保险责任准备金净额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保单红利支出</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分保费用</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税金及附加</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42,943,545.86</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30,348,134.66</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销售费用</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69,697,200.52</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67,971,661.01</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管理费用</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181,512,594.41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181,368,278.88</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研发费用</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55,547,119.18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59,396,311.64</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财务费用</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48,595,652.92</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135,397,342.79</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其中：利息费用</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115,951,528.29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148,584,419.08</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800" w:firstLine="1440"/>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13,105,439.74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15,842,714.37</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加：其他收益</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73,566,623.46</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24,267,340.56</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投资收益（损失以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-62,478,441.82</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18,675,476.46</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其中：对联营企业和合营企业的投资收益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800" w:firstLine="1440"/>
              <w:rPr>
                <w:rFonts w:ascii="宋体" w:eastAsia="宋体" w:hAnsi="宋体" w:cs="宋体"/>
                <w:sz w:val="18"/>
                <w:szCs w:val="18"/>
              </w:rPr>
            </w:pPr>
            <w:r>
              <w:rPr>
                <w:rFonts w:ascii="宋体" w:eastAsia="宋体" w:hAnsi="宋体" w:cs="宋体"/>
                <w:sz w:val="18"/>
                <w:szCs w:val="18"/>
              </w:rPr>
              <w:t>以摊余成本计量的金融资产终止确认收益</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汇兑收益（损失以</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净敞口套期收益（损失以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公允价值变动收益（损失以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11,622,111.18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-45,109,812.62</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信用减值损失（损失以</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62,881.23</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4,839,951.85</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资产减值损失（损失以</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23,531,629.26</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-5,262,481.92</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资产处置收益（损失以</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163,412.51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6,491,085.07</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三、营业利润（亏损以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65,100,352.59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301,647,164.65</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加：营业外收入</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3,538,699.54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17,581,962.34</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减：营业外支出</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2,263,481.62</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1,398,559.80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四、利润总额（亏损总额以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66,375,570.51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317,830,567.19</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-5,914,623.64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16,575,402.53</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五、净利润（净亏损以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72,290,194.15</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301,255,164.66</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（一）按经营持续性分类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200" w:firstLine="360"/>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持续经营净利润（净亏损以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200" w:firstLine="360"/>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终止经营净利润（净亏损以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（二）按所有权归属分类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200" w:firstLine="360"/>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归属于母公司股东的净利润（净亏损以</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81,402,847.78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292,496,599.75</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200" w:firstLine="360"/>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少数股东损益（净亏损以</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-9,112,653.63</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8,758,564.91</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六、其他综合收益的税后净额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22,363,915.68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24,014,802.98</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归属母公司所有者的其他综合收益的税后净额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22,363,915.68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24,014,802.98</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200" w:firstLine="360"/>
              <w:rPr>
                <w:rFonts w:ascii="宋体" w:eastAsia="宋体" w:hAnsi="宋体" w:cs="宋体"/>
                <w:sz w:val="18"/>
                <w:szCs w:val="18"/>
              </w:rPr>
            </w:pPr>
            <w:r>
              <w:rPr>
                <w:rFonts w:ascii="宋体" w:eastAsia="宋体" w:hAnsi="宋体" w:cs="宋体"/>
                <w:sz w:val="18"/>
                <w:szCs w:val="18"/>
              </w:rPr>
              <w:t>（一）不能重分类进损益的其他综合收益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1,141,722.43</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643,483.85</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300" w:firstLine="540"/>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重新计量设定受益计划变动额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300" w:firstLine="540"/>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权益法下不能转损益的其他综合收益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300" w:firstLine="540"/>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其他权益工具投资公允价值变动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1,141,722.43</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643,483.85</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300" w:firstLine="540"/>
              <w:rPr>
                <w:rFonts w:ascii="宋体" w:eastAsia="宋体" w:hAnsi="宋体" w:cs="宋体"/>
                <w:sz w:val="18"/>
                <w:szCs w:val="18"/>
              </w:rPr>
            </w:pPr>
            <w:r>
              <w:rPr>
                <w:rFonts w:ascii="宋体" w:eastAsia="宋体" w:hAnsi="宋体" w:cs="宋体"/>
                <w:sz w:val="18"/>
                <w:szCs w:val="18"/>
              </w:rPr>
              <w:t>4.</w:t>
            </w:r>
            <w:r>
              <w:rPr>
                <w:rFonts w:ascii="宋体" w:eastAsia="宋体" w:hAnsi="宋体" w:cs="宋体"/>
                <w:sz w:val="18"/>
                <w:szCs w:val="18"/>
              </w:rPr>
              <w:t>企业自身信用风险公允价值变动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300" w:firstLine="540"/>
              <w:rPr>
                <w:rFonts w:ascii="宋体" w:eastAsia="宋体" w:hAnsi="宋体" w:cs="宋体"/>
                <w:sz w:val="18"/>
                <w:szCs w:val="18"/>
              </w:rPr>
            </w:pPr>
            <w:r>
              <w:rPr>
                <w:rFonts w:ascii="宋体" w:eastAsia="宋体" w:hAnsi="宋体" w:cs="宋体"/>
                <w:sz w:val="18"/>
                <w:szCs w:val="18"/>
              </w:rPr>
              <w:t>5.</w:t>
            </w: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200" w:firstLine="360"/>
              <w:rPr>
                <w:rFonts w:ascii="宋体" w:eastAsia="宋体" w:hAnsi="宋体" w:cs="宋体"/>
                <w:sz w:val="18"/>
                <w:szCs w:val="18"/>
              </w:rPr>
            </w:pPr>
            <w:r>
              <w:rPr>
                <w:rFonts w:ascii="宋体" w:eastAsia="宋体" w:hAnsi="宋体" w:cs="宋体"/>
                <w:sz w:val="18"/>
                <w:szCs w:val="18"/>
              </w:rPr>
              <w:t>（二）将重分类进损益的其他综合收益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21,222,193.25</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23,371,319.13</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300" w:firstLine="540"/>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权益法下可转损益的其他综合收益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300" w:firstLine="540"/>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其他债权投资公允价值变动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300" w:firstLine="540"/>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金融资产重分类计入其他综合收益的金额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300" w:firstLine="540"/>
              <w:rPr>
                <w:rFonts w:ascii="宋体" w:eastAsia="宋体" w:hAnsi="宋体" w:cs="宋体"/>
                <w:sz w:val="18"/>
                <w:szCs w:val="18"/>
              </w:rPr>
            </w:pPr>
            <w:r>
              <w:rPr>
                <w:rFonts w:ascii="宋体" w:eastAsia="宋体" w:hAnsi="宋体" w:cs="宋体"/>
                <w:sz w:val="18"/>
                <w:szCs w:val="18"/>
              </w:rPr>
              <w:t>4.</w:t>
            </w:r>
            <w:r>
              <w:rPr>
                <w:rFonts w:ascii="宋体" w:eastAsia="宋体" w:hAnsi="宋体" w:cs="宋体"/>
                <w:sz w:val="18"/>
                <w:szCs w:val="18"/>
              </w:rPr>
              <w:t>其他债权投资信用减值准备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300" w:firstLine="540"/>
              <w:rPr>
                <w:rFonts w:ascii="宋体" w:eastAsia="宋体" w:hAnsi="宋体" w:cs="宋体"/>
                <w:sz w:val="18"/>
                <w:szCs w:val="18"/>
              </w:rPr>
            </w:pPr>
            <w:r>
              <w:rPr>
                <w:rFonts w:ascii="宋体" w:eastAsia="宋体" w:hAnsi="宋体" w:cs="宋体"/>
                <w:sz w:val="18"/>
                <w:szCs w:val="18"/>
              </w:rPr>
              <w:t>5.</w:t>
            </w:r>
            <w:r>
              <w:rPr>
                <w:rFonts w:ascii="宋体" w:eastAsia="宋体" w:hAnsi="宋体" w:cs="宋体"/>
                <w:sz w:val="18"/>
                <w:szCs w:val="18"/>
              </w:rPr>
              <w:t>现金流量套期储备</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300" w:firstLine="540"/>
              <w:rPr>
                <w:rFonts w:ascii="宋体" w:eastAsia="宋体" w:hAnsi="宋体" w:cs="宋体"/>
                <w:sz w:val="18"/>
                <w:szCs w:val="18"/>
              </w:rPr>
            </w:pPr>
            <w:r>
              <w:rPr>
                <w:rFonts w:ascii="宋体" w:eastAsia="宋体" w:hAnsi="宋体" w:cs="宋体"/>
                <w:sz w:val="18"/>
                <w:szCs w:val="18"/>
              </w:rPr>
              <w:t>6.</w:t>
            </w:r>
            <w:r>
              <w:rPr>
                <w:rFonts w:ascii="宋体" w:eastAsia="宋体" w:hAnsi="宋体" w:cs="宋体"/>
                <w:sz w:val="18"/>
                <w:szCs w:val="18"/>
              </w:rPr>
              <w:t>外币财务报表折算差额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21,222,193.25</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23,371,319.13</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300" w:firstLine="540"/>
              <w:rPr>
                <w:rFonts w:ascii="宋体" w:eastAsia="宋体" w:hAnsi="宋体" w:cs="宋体"/>
                <w:sz w:val="18"/>
                <w:szCs w:val="18"/>
              </w:rPr>
            </w:pPr>
            <w:r>
              <w:rPr>
                <w:rFonts w:ascii="宋体" w:eastAsia="宋体" w:hAnsi="宋体" w:cs="宋体"/>
                <w:sz w:val="18"/>
                <w:szCs w:val="18"/>
              </w:rPr>
              <w:t>7.</w:t>
            </w: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归属于少数股东的其他综合收益的税后净额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七、综合收益总额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94,654,109.83</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325,269,967.64</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归属于母公司所有者的综合收益总额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103,766,763.46</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316,511,402.73</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归属于少数股东的综合收益总额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-9,112,653.63</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8,758,564.91</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八、每股收益：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（一）基本每股收益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0.05</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0.17</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（二）稀释每股收益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0.05</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0.17</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本期发生同一控制下企业合并的，被合并方在合并前实现的净利润为：</w:t>
      </w:r>
      <w:r>
        <w:rPr>
          <w:rFonts w:ascii="宋体" w:eastAsia="宋体" w:hAnsi="宋体" w:cs="宋体"/>
          <w:sz w:val="18"/>
          <w:szCs w:val="18"/>
        </w:rPr>
        <w:t>0.00</w:t>
      </w:r>
      <w:r>
        <w:rPr>
          <w:rFonts w:ascii="宋体" w:eastAsia="宋体" w:hAnsi="宋体" w:cs="宋体"/>
          <w:sz w:val="18"/>
          <w:szCs w:val="18"/>
        </w:rPr>
        <w:t>元，上期被合并方实现的净利润为：</w:t>
      </w:r>
      <w:r>
        <w:rPr>
          <w:rFonts w:ascii="宋体" w:eastAsia="宋体" w:hAnsi="宋体" w:cs="宋体"/>
          <w:sz w:val="18"/>
          <w:szCs w:val="18"/>
        </w:rPr>
        <w:t>0.00</w:t>
      </w:r>
      <w:r>
        <w:rPr>
          <w:rFonts w:ascii="宋体" w:eastAsia="宋体" w:hAnsi="宋体" w:cs="宋体"/>
          <w:sz w:val="18"/>
          <w:szCs w:val="18"/>
        </w:rPr>
        <w:t>元。</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法定代表人：孙伟挺</w:t>
      </w:r>
      <w:r>
        <w:rPr>
          <w:rFonts w:ascii="宋体" w:eastAsia="宋体" w:hAnsi="宋体" w:cs="宋体"/>
          <w:sz w:val="18"/>
          <w:szCs w:val="18"/>
        </w:rPr>
        <w:t xml:space="preserve">    </w:t>
      </w:r>
      <w:r>
        <w:rPr>
          <w:rFonts w:ascii="宋体" w:eastAsia="宋体" w:hAnsi="宋体" w:cs="宋体" w:hint="eastAsia"/>
          <w:sz w:val="18"/>
          <w:szCs w:val="18"/>
        </w:rPr>
        <w:t xml:space="preserve">             </w:t>
      </w:r>
      <w:r>
        <w:rPr>
          <w:rFonts w:ascii="宋体" w:eastAsia="宋体" w:hAnsi="宋体" w:cs="宋体"/>
          <w:sz w:val="18"/>
          <w:szCs w:val="18"/>
        </w:rPr>
        <w:t>主管会计工作负责人：陈玲芬</w:t>
      </w:r>
      <w:r>
        <w:rPr>
          <w:rFonts w:ascii="宋体" w:eastAsia="宋体" w:hAnsi="宋体" w:cs="宋体"/>
          <w:sz w:val="18"/>
          <w:szCs w:val="18"/>
        </w:rPr>
        <w:t xml:space="preserve">    </w:t>
      </w:r>
      <w:r>
        <w:rPr>
          <w:rFonts w:ascii="宋体" w:eastAsia="宋体" w:hAnsi="宋体" w:cs="宋体" w:hint="eastAsia"/>
          <w:sz w:val="18"/>
          <w:szCs w:val="18"/>
        </w:rPr>
        <w:t xml:space="preserve">                </w:t>
      </w:r>
      <w:r>
        <w:rPr>
          <w:rFonts w:ascii="宋体" w:eastAsia="宋体" w:hAnsi="宋体" w:cs="宋体"/>
          <w:sz w:val="18"/>
          <w:szCs w:val="18"/>
        </w:rPr>
        <w:t>会计机构负责人：王国友</w:t>
      </w:r>
    </w:p>
    <w:p w:rsidR="00A067C6" w:rsidRDefault="005C4966">
      <w:pPr>
        <w:pStyle w:val="3"/>
        <w:spacing w:line="280" w:lineRule="exact"/>
        <w:jc w:val="left"/>
        <w:rPr>
          <w:rFonts w:ascii="宋体" w:hAnsi="宋体" w:cs="宋体"/>
          <w:b/>
          <w:bCs/>
        </w:rPr>
      </w:pPr>
      <w:bookmarkStart w:id="111" w:name="_Toc988999"/>
      <w:r>
        <w:rPr>
          <w:rFonts w:ascii="宋体" w:hAnsi="宋体" w:cs="宋体"/>
          <w:b/>
          <w:bCs/>
        </w:rPr>
        <w:t>4</w:t>
      </w:r>
      <w:r>
        <w:rPr>
          <w:rFonts w:ascii="宋体" w:hAnsi="宋体" w:cs="宋体"/>
          <w:b/>
          <w:bCs/>
        </w:rPr>
        <w:t>、母公司利润表</w:t>
      </w:r>
      <w:bookmarkEnd w:id="111"/>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年半年度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2022</w:t>
            </w:r>
            <w:r>
              <w:rPr>
                <w:rFonts w:ascii="宋体" w:eastAsia="宋体" w:hAnsi="宋体" w:cs="宋体"/>
                <w:sz w:val="18"/>
                <w:szCs w:val="18"/>
              </w:rPr>
              <w:t>年半年度</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一、营业收入</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610,952,982.54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392,597,745.49</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减：营业成本</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480,422,738.95</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358,660,654.44</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税金及附加</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4,243,930.38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4,511,247.06</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销售费用</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239,581.05</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45,498.24</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管理费用</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13,738,991.88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14,035,148.87</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研发费用</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19,521,495.48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17,924,984.29</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财务费用</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6,026,299.53</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3,937,695.53</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其中：利息费用</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6,601,502.32</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548,166.65</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700" w:firstLine="1260"/>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365,890.36</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858,631.49</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加：其他收益</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3,095,587.30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6,112,025.46</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投资收益（损失以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134,793,790.09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315,655,360.97</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其中：对联营企业和合营企业的投资收益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700" w:firstLine="1260"/>
              <w:rPr>
                <w:rFonts w:ascii="宋体" w:eastAsia="宋体" w:hAnsi="宋体" w:cs="宋体"/>
                <w:sz w:val="18"/>
                <w:szCs w:val="18"/>
              </w:rPr>
            </w:pPr>
            <w:r>
              <w:rPr>
                <w:rFonts w:ascii="宋体" w:eastAsia="宋体" w:hAnsi="宋体" w:cs="宋体"/>
                <w:sz w:val="18"/>
                <w:szCs w:val="18"/>
              </w:rPr>
              <w:t>以摊余成本计量的金融资产终止确认收益（损失以</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净敞口套期收益（损失以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公允价值变动收益（损失以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-18,123,719.35</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信用减值损失（损失以</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-467,801.24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409,456.03</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资产减值损失（损失以</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6,011,466.57</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资产处置收益（损失以</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-9,255.07</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二、营业利润（亏损以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212,069,268.64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315,650,104.45</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加：营业外收入</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43,140.14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463,094.58</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减：营业外支出</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15,000.98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三、利润总额（亏损总额以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212,097,407.80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316,113,199.03</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-2,463,594.56</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61,418.41</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四、净利润（净亏损以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214,561,002.36</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316,051,780.62</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（一）持续经营净利润（净亏损以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214,561,002.36</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316,051,780.62</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（二）终止经营净利润（净亏损以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五、其他综合收益的税后净额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1,141,722.43</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643,483.85</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200" w:firstLine="360"/>
              <w:rPr>
                <w:rFonts w:ascii="宋体" w:eastAsia="宋体" w:hAnsi="宋体" w:cs="宋体"/>
                <w:sz w:val="18"/>
                <w:szCs w:val="18"/>
              </w:rPr>
            </w:pPr>
            <w:r>
              <w:rPr>
                <w:rFonts w:ascii="宋体" w:eastAsia="宋体" w:hAnsi="宋体" w:cs="宋体"/>
                <w:sz w:val="18"/>
                <w:szCs w:val="18"/>
              </w:rPr>
              <w:t>（一）不能重分类进损益的其他综合收益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1,141,722.43</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643,483.85</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300" w:firstLine="540"/>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重新计量设定受益计划变动额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300" w:firstLine="540"/>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权益法下不能转损益的其他综合收益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300" w:firstLine="540"/>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其他权益工具投资公允价值变动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1,141,722.43</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643,483.85</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300" w:firstLine="540"/>
              <w:rPr>
                <w:rFonts w:ascii="宋体" w:eastAsia="宋体" w:hAnsi="宋体" w:cs="宋体"/>
                <w:sz w:val="18"/>
                <w:szCs w:val="18"/>
              </w:rPr>
            </w:pPr>
            <w:r>
              <w:rPr>
                <w:rFonts w:ascii="宋体" w:eastAsia="宋体" w:hAnsi="宋体" w:cs="宋体"/>
                <w:sz w:val="18"/>
                <w:szCs w:val="18"/>
              </w:rPr>
              <w:t>4.</w:t>
            </w:r>
            <w:r>
              <w:rPr>
                <w:rFonts w:ascii="宋体" w:eastAsia="宋体" w:hAnsi="宋体" w:cs="宋体"/>
                <w:sz w:val="18"/>
                <w:szCs w:val="18"/>
              </w:rPr>
              <w:t>企业自身信用风险公允价值变动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300" w:firstLine="540"/>
              <w:rPr>
                <w:rFonts w:ascii="宋体" w:eastAsia="宋体" w:hAnsi="宋体" w:cs="宋体"/>
                <w:sz w:val="18"/>
                <w:szCs w:val="18"/>
              </w:rPr>
            </w:pPr>
            <w:r>
              <w:rPr>
                <w:rFonts w:ascii="宋体" w:eastAsia="宋体" w:hAnsi="宋体" w:cs="宋体"/>
                <w:sz w:val="18"/>
                <w:szCs w:val="18"/>
              </w:rPr>
              <w:t>5.</w:t>
            </w: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200" w:firstLine="360"/>
              <w:rPr>
                <w:rFonts w:ascii="宋体" w:eastAsia="宋体" w:hAnsi="宋体" w:cs="宋体"/>
                <w:sz w:val="18"/>
                <w:szCs w:val="18"/>
              </w:rPr>
            </w:pPr>
            <w:r>
              <w:rPr>
                <w:rFonts w:ascii="宋体" w:eastAsia="宋体" w:hAnsi="宋体" w:cs="宋体"/>
                <w:sz w:val="18"/>
                <w:szCs w:val="18"/>
              </w:rPr>
              <w:t>（二）将重分类进损益的其他综合收益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300" w:firstLine="540"/>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权益法下可转损益的其他综合收益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300" w:firstLine="540"/>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其他债权投资公允价值变动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300" w:firstLine="540"/>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金融资产重分类计入其他综合收益的金额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300" w:firstLine="540"/>
              <w:rPr>
                <w:rFonts w:ascii="宋体" w:eastAsia="宋体" w:hAnsi="宋体" w:cs="宋体"/>
                <w:sz w:val="18"/>
                <w:szCs w:val="18"/>
              </w:rPr>
            </w:pPr>
            <w:r>
              <w:rPr>
                <w:rFonts w:ascii="宋体" w:eastAsia="宋体" w:hAnsi="宋体" w:cs="宋体"/>
                <w:sz w:val="18"/>
                <w:szCs w:val="18"/>
              </w:rPr>
              <w:t>4.</w:t>
            </w:r>
            <w:r>
              <w:rPr>
                <w:rFonts w:ascii="宋体" w:eastAsia="宋体" w:hAnsi="宋体" w:cs="宋体"/>
                <w:sz w:val="18"/>
                <w:szCs w:val="18"/>
              </w:rPr>
              <w:t>其他债权投资信用减值准备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300" w:firstLine="540"/>
              <w:rPr>
                <w:rFonts w:ascii="宋体" w:eastAsia="宋体" w:hAnsi="宋体" w:cs="宋体"/>
                <w:sz w:val="18"/>
                <w:szCs w:val="18"/>
              </w:rPr>
            </w:pPr>
            <w:r>
              <w:rPr>
                <w:rFonts w:ascii="宋体" w:eastAsia="宋体" w:hAnsi="宋体" w:cs="宋体"/>
                <w:sz w:val="18"/>
                <w:szCs w:val="18"/>
              </w:rPr>
              <w:t>5.</w:t>
            </w:r>
            <w:r>
              <w:rPr>
                <w:rFonts w:ascii="宋体" w:eastAsia="宋体" w:hAnsi="宋体" w:cs="宋体"/>
                <w:sz w:val="18"/>
                <w:szCs w:val="18"/>
              </w:rPr>
              <w:t>现金流量套期储备</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300" w:firstLine="540"/>
              <w:rPr>
                <w:rFonts w:ascii="宋体" w:eastAsia="宋体" w:hAnsi="宋体" w:cs="宋体"/>
                <w:sz w:val="18"/>
                <w:szCs w:val="18"/>
              </w:rPr>
            </w:pPr>
            <w:r>
              <w:rPr>
                <w:rFonts w:ascii="宋体" w:eastAsia="宋体" w:hAnsi="宋体" w:cs="宋体"/>
                <w:sz w:val="18"/>
                <w:szCs w:val="18"/>
              </w:rPr>
              <w:t>6.</w:t>
            </w:r>
            <w:r>
              <w:rPr>
                <w:rFonts w:ascii="宋体" w:eastAsia="宋体" w:hAnsi="宋体" w:cs="宋体"/>
                <w:sz w:val="18"/>
                <w:szCs w:val="18"/>
              </w:rPr>
              <w:t>外币财务报表折算差额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300" w:firstLine="540"/>
              <w:rPr>
                <w:rFonts w:ascii="宋体" w:eastAsia="宋体" w:hAnsi="宋体" w:cs="宋体"/>
                <w:sz w:val="18"/>
                <w:szCs w:val="18"/>
              </w:rPr>
            </w:pPr>
            <w:r>
              <w:rPr>
                <w:rFonts w:ascii="宋体" w:eastAsia="宋体" w:hAnsi="宋体" w:cs="宋体"/>
                <w:sz w:val="18"/>
                <w:szCs w:val="18"/>
              </w:rPr>
              <w:t>7.</w:t>
            </w: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六、综合收益总额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215,702,724.79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316,695,264.47</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七、每股收益：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（一）基本每股收益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（二）稀释每股收益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bl>
    <w:p w:rsidR="00A067C6" w:rsidRDefault="005C4966">
      <w:pPr>
        <w:pStyle w:val="3"/>
        <w:spacing w:line="280" w:lineRule="exact"/>
        <w:jc w:val="left"/>
        <w:rPr>
          <w:rFonts w:ascii="宋体" w:hAnsi="宋体" w:cs="宋体"/>
          <w:b/>
          <w:bCs/>
        </w:rPr>
      </w:pPr>
      <w:bookmarkStart w:id="112" w:name="_Toc989000"/>
      <w:r>
        <w:rPr>
          <w:rFonts w:ascii="宋体" w:hAnsi="宋体" w:cs="宋体"/>
          <w:b/>
          <w:bCs/>
        </w:rPr>
        <w:t>5</w:t>
      </w:r>
      <w:r>
        <w:rPr>
          <w:rFonts w:ascii="宋体" w:hAnsi="宋体" w:cs="宋体"/>
          <w:b/>
          <w:bCs/>
        </w:rPr>
        <w:t>、合并现金流量表</w:t>
      </w:r>
      <w:bookmarkEnd w:id="112"/>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jc w:val="center"/>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年半年度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jc w:val="center"/>
              <w:rPr>
                <w:rFonts w:ascii="宋体" w:eastAsia="宋体" w:hAnsi="宋体" w:cs="宋体"/>
                <w:sz w:val="18"/>
                <w:szCs w:val="18"/>
              </w:rPr>
            </w:pPr>
            <w:r>
              <w:rPr>
                <w:rFonts w:ascii="宋体" w:eastAsia="宋体" w:hAnsi="宋体" w:cs="宋体"/>
                <w:sz w:val="18"/>
                <w:szCs w:val="18"/>
              </w:rPr>
              <w:t>2022</w:t>
            </w:r>
            <w:r>
              <w:rPr>
                <w:rFonts w:ascii="宋体" w:eastAsia="宋体" w:hAnsi="宋体" w:cs="宋体"/>
                <w:sz w:val="18"/>
                <w:szCs w:val="18"/>
              </w:rPr>
              <w:t>年半年度</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一、经营活动产生的现金流量：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销售商品、提供劳务收到的现金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7,158,635,091.85</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8,130,535,553.09</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客户存款和同业存放款项净增加额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向中央银行借款净增加额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向其他金融机构拆入资金净增加额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收到原保险合同保费取得的现金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收到再保业务现金净额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保户储金及投资款净增加额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收取利息、手续费及佣金的现金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回购业务资金净增加额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代理买卖证券收到的现金净额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收到的税费返还</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15,913,783.54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94,598,417.08</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531,898,079.79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518,878,126.28</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经营活动现金流入小计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7,706,446,955.18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8,744,012,096.45</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购买商品、接受劳务支付的现金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5,002,770,829.25</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6,504,248,880.15</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客户贷款及垫款净增加额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存放中央银行和同业款项净增加额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支付原保险合同赔付款项的现金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拆出资金净增加额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支付保单红利的现金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支付给职工以及为职工支付的现金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403,966,231.37</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558,186,897.21</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支付的各项税费</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179,327,704.60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231,080,731.63</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595,660,630.84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685,058,536.95</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经营活动现金流出小计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6,181,725,396.06</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7,978,575,045.94</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1,524,721,559.12</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765,437,050.51</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二、投资活动产生的现金流量：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收回投资收到的现金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57,920,200.00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11,734,817.29</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取得投资收益收到的现金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52,251,517.41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54,584,302.30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处置固定资产、无形资产和其他长期资产收回的现金净额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21,902,479.12</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13,575,404.00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处置子公司及其他营业单位收到的现金净额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77,350,000.00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827,984,314.21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719,544,277.65</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1,037,408,510.74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799,438,801.24</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购建固定资产、无形资产和其他长期资产支付的现金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183,764,050.22</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86,513,997.92</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投资支付的现金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47,465,000.00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140,000,000.00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质押贷款净增加额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取得子公司及其他营业单位支付的现金净额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562,100,036.98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321,276,969.66</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793,329,087.20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547,790,967.58</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244,079,423.54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251,647,833.66</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三、筹资活动产生的现金流量：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吸收投资收到的现金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其中：子公司吸收少数股东投资收到的现金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取得借款收到的现金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5,901,274,619.72</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5,763,560,787.61</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166,977,948.39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195,207,287.32</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筹资活动现金流入小计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6,068,252,568.11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5,958,768,074.93</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偿还债务支付的现金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5,796,675,905.22</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6,535,160,396.56</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分配股利、利润或偿付利息支付的现金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120,539,176.99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398,842,710.90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其中：子公司支付给少数股东的股利、利润</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1,519,402,260.31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807,939,294.39</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筹资活动现金流出小计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7,436,617,342.52</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7,741,942,401.85</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筹资活动产生的现金流量净额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-1,368,364,774.41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-1,783,174,326.92</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四、汇率变动对现金及现金等价物的影响</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-7,266,244.95</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16,350,299.26</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五、现金及现金等价物净增加额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393,169,963.30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-749,739,143.49</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加：期初现金及现金等价物余额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1,841,818,553.58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2,395,731,098.44</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六、期末现金及现金等价物余额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2,234,988,516.88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1,645,991,954.95</w:t>
            </w:r>
          </w:p>
        </w:tc>
      </w:tr>
    </w:tbl>
    <w:p w:rsidR="00A067C6" w:rsidRDefault="005C4966">
      <w:pPr>
        <w:pStyle w:val="3"/>
        <w:spacing w:line="280" w:lineRule="exact"/>
        <w:jc w:val="left"/>
        <w:rPr>
          <w:rFonts w:ascii="宋体" w:hAnsi="宋体" w:cs="宋体"/>
          <w:b/>
          <w:bCs/>
        </w:rPr>
      </w:pPr>
      <w:bookmarkStart w:id="113" w:name="_Toc989001"/>
      <w:r>
        <w:rPr>
          <w:rFonts w:ascii="宋体" w:hAnsi="宋体" w:cs="宋体"/>
          <w:b/>
          <w:bCs/>
        </w:rPr>
        <w:t>6</w:t>
      </w:r>
      <w:r>
        <w:rPr>
          <w:rFonts w:ascii="宋体" w:hAnsi="宋体" w:cs="宋体"/>
          <w:b/>
          <w:bCs/>
        </w:rPr>
        <w:t>、母公司现金流量表</w:t>
      </w:r>
      <w:bookmarkEnd w:id="113"/>
    </w:p>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jc w:val="center"/>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年半年度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jc w:val="center"/>
              <w:rPr>
                <w:rFonts w:ascii="宋体" w:eastAsia="宋体" w:hAnsi="宋体" w:cs="宋体"/>
                <w:sz w:val="18"/>
                <w:szCs w:val="18"/>
              </w:rPr>
            </w:pPr>
            <w:r>
              <w:rPr>
                <w:rFonts w:ascii="宋体" w:eastAsia="宋体" w:hAnsi="宋体" w:cs="宋体"/>
                <w:sz w:val="18"/>
                <w:szCs w:val="18"/>
              </w:rPr>
              <w:t>2022</w:t>
            </w:r>
            <w:r>
              <w:rPr>
                <w:rFonts w:ascii="宋体" w:eastAsia="宋体" w:hAnsi="宋体" w:cs="宋体"/>
                <w:sz w:val="18"/>
                <w:szCs w:val="18"/>
              </w:rPr>
              <w:t>年半年度</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一、经营活动产生的现金流量：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销售商品、提供劳务收到的现金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506,893,247.16</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1,567,351,307.63</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收到的税费返还</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25,295,126.10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65,653,421.14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140,627,591.34</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经营活动现金流入小计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572,546,668.30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1,733,274,025.07</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购买商品、接受劳务支付的现金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796,184,911.06</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2,094,625,992.58</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支付给职工以及为职工支付的现金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49,368,115.62</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57,066,460.06</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支付的各项税费</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11,722,670.71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25,187,787.13</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31,215,319.49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104,649,433.40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经营活动现金流出小计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888,491,016.88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2,281,529,673.17</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-315,944,348.58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-548,255,648.10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二、投资活动产生的现金流量：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收回投资收到的现金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45,385,000.00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取得投资收益收到的现金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118,000,000.00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408,359,379.85</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处置固定资产、无形资产和其他长期资产收回的现金净额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1,080,700.00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处置子公司及其他营业单位收到的现金净额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163,385,000.00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409,440,079.85</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购建固定资产、无形资产和其他长期资产支付的现金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112,648,798.20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57,183,925.34</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投资支付的现金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100,000,000.00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取得子公司及其他营业单位支付的现金净额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112,648,798.20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157,183,925.34</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50,736,201.80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252,256,154.51</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三、筹资活动产生的现金流量：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吸收投资收到的现金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取得借款收到的现金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330,000,000.00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筹资活动现金流入小计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330,000,000.00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偿还债务支付的现金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分配股利、利润或偿付利息支付的现金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5,728,250.01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153,096,733.44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46,967,343.93</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筹资活动现金流出小计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158,824,983.45</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46,967,343.93</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筹资活动产生的现金流量净额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171,175,016.55</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-46,967,343.93</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四、汇率变动对现金及现金等价物的影响</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42,191.10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14,715.31</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五、现金及现金等价物净增加额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-93,990,939.13</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-342,952,122.21</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ind w:firstLineChars="100" w:firstLine="180"/>
              <w:rPr>
                <w:rFonts w:ascii="宋体" w:eastAsia="宋体" w:hAnsi="宋体" w:cs="宋体"/>
                <w:sz w:val="18"/>
                <w:szCs w:val="18"/>
              </w:rPr>
            </w:pPr>
            <w:r>
              <w:rPr>
                <w:rFonts w:ascii="宋体" w:eastAsia="宋体" w:hAnsi="宋体" w:cs="宋体"/>
                <w:sz w:val="18"/>
                <w:szCs w:val="18"/>
              </w:rPr>
              <w:t>加：期初现金及现金等价物余额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136,786,651.88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792,735,638.54</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六、期末现金及现金等价物余额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42,795,712.75</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449,783,516.33</w:t>
            </w:r>
          </w:p>
        </w:tc>
      </w:tr>
    </w:tbl>
    <w:p w:rsidR="00A067C6" w:rsidRDefault="005C4966">
      <w:pPr>
        <w:pStyle w:val="3"/>
        <w:spacing w:line="280" w:lineRule="exact"/>
        <w:jc w:val="left"/>
        <w:rPr>
          <w:rFonts w:ascii="宋体" w:hAnsi="宋体" w:cs="宋体"/>
          <w:b/>
          <w:bCs/>
        </w:rPr>
      </w:pPr>
      <w:bookmarkStart w:id="114" w:name="_Toc989002"/>
      <w:r>
        <w:rPr>
          <w:rFonts w:ascii="宋体" w:hAnsi="宋体" w:cs="宋体"/>
          <w:b/>
          <w:bCs/>
        </w:rPr>
        <w:t>7</w:t>
      </w:r>
      <w:r>
        <w:rPr>
          <w:rFonts w:ascii="宋体" w:hAnsi="宋体" w:cs="宋体"/>
          <w:b/>
          <w:bCs/>
        </w:rPr>
        <w:t>、合并所有者权益变动表</w:t>
      </w:r>
      <w:bookmarkEnd w:id="114"/>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本期金额</w:t>
      </w:r>
    </w:p>
    <w:p w:rsidR="00A067C6" w:rsidRDefault="005C4966">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98"/>
        <w:gridCol w:w="562"/>
        <w:gridCol w:w="562"/>
        <w:gridCol w:w="562"/>
        <w:gridCol w:w="562"/>
        <w:gridCol w:w="563"/>
        <w:gridCol w:w="563"/>
        <w:gridCol w:w="563"/>
        <w:gridCol w:w="563"/>
        <w:gridCol w:w="563"/>
        <w:gridCol w:w="563"/>
        <w:gridCol w:w="563"/>
        <w:gridCol w:w="563"/>
        <w:gridCol w:w="563"/>
        <w:gridCol w:w="563"/>
        <w:gridCol w:w="563"/>
      </w:tblGrid>
      <w:tr w:rsidR="00A067C6">
        <w:trPr>
          <w:trHeight w:val="240"/>
        </w:trPr>
        <w:tc>
          <w:tcPr>
            <w:tcW w:w="120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8439" w:type="dxa"/>
            <w:gridSpan w:val="15"/>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年半年度</w:t>
            </w:r>
          </w:p>
        </w:tc>
      </w:tr>
      <w:tr w:rsidR="00A067C6">
        <w:trPr>
          <w:trHeight w:val="240"/>
        </w:trPr>
        <w:tc>
          <w:tcPr>
            <w:tcW w:w="120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7314" w:type="dxa"/>
            <w:gridSpan w:val="13"/>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归属于母公司所有者权益</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0" w:lineRule="atLeast"/>
              <w:jc w:val="center"/>
              <w:rPr>
                <w:rFonts w:ascii="宋体" w:eastAsia="宋体" w:hAnsi="宋体" w:cs="宋体"/>
                <w:sz w:val="18"/>
                <w:szCs w:val="18"/>
              </w:rPr>
            </w:pPr>
            <w:r>
              <w:rPr>
                <w:rFonts w:ascii="宋体" w:eastAsia="宋体" w:hAnsi="宋体" w:cs="宋体"/>
                <w:sz w:val="18"/>
                <w:szCs w:val="18"/>
              </w:rPr>
              <w:t>少数股东权益</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所有者权益合计</w:t>
            </w:r>
          </w:p>
        </w:tc>
      </w:tr>
      <w:tr w:rsidR="00A067C6">
        <w:trPr>
          <w:trHeight w:val="240"/>
        </w:trPr>
        <w:tc>
          <w:tcPr>
            <w:tcW w:w="120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股本</w:t>
            </w:r>
          </w:p>
        </w:tc>
        <w:tc>
          <w:tcPr>
            <w:tcW w:w="1688"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其他权益工具</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资本公积</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减：库存股</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专项储备</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盈余公积</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一般风险准备</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未分配利润</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小计</w:t>
            </w:r>
          </w:p>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120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56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优先股</w:t>
            </w:r>
          </w:p>
        </w:tc>
        <w:tc>
          <w:tcPr>
            <w:tcW w:w="56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永续债</w:t>
            </w:r>
          </w:p>
        </w:tc>
        <w:tc>
          <w:tcPr>
            <w:tcW w:w="56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563" w:type="dxa"/>
            <w:vMerge/>
            <w:tcBorders>
              <w:top w:val="single" w:sz="2" w:space="0" w:color="auto"/>
              <w:left w:val="single" w:sz="2" w:space="0" w:color="auto"/>
              <w:bottom w:val="single" w:sz="2" w:space="0" w:color="auto"/>
              <w:right w:val="single" w:sz="2" w:space="0" w:color="auto"/>
            </w:tcBorders>
            <w:vAlign w:val="center"/>
          </w:tcPr>
          <w:p w:rsidR="00A067C6" w:rsidRDefault="00A067C6"/>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一、上年期末余额</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2,740,826,583.55</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46,974,359.92</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-48,175,536.34</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302,737,887.79</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1,643,586,800.21</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6,292,682,730.29</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485,981,399.13</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6,778,664,129.42</w:t>
            </w: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加：会计政策变更</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前期差错更正</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同一控制下企业合并</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其他</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二、本年期初余额</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2,740,826,583.55</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46,974,359.92</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-48,175,536.34</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302,737,887.79</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1,643,586,800.21</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6,292,682,730.29</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485,981,399.13</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6,778,664,129.42</w:t>
            </w: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三、本期增减变动金额（减少以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号填列）</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-21,116,067.16</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153,096,733.44</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22,363,915.68</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81,402,847.78</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-70,446,037.14</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-31,709,211.67</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-102,155,248.81</w:t>
            </w: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（一）综合收益总额</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22,363,915.68</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81,402,847.78</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103,766,763.46</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-9,112,653.63</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94,654,109.83</w:t>
            </w: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（二）所有者投入和减少资本</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-21,116,067.16</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153,096,733.44</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-174,212,800.60</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-17,164,804.15</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-191,377,604.75</w:t>
            </w: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．所有者投入的普通股</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．其他权益工具持有者投入资本</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．股份支付计入所有者权益的金额</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4</w:t>
            </w:r>
            <w:r>
              <w:rPr>
                <w:rFonts w:ascii="宋体" w:eastAsia="宋体" w:hAnsi="宋体" w:cs="宋体"/>
                <w:sz w:val="18"/>
                <w:szCs w:val="18"/>
              </w:rPr>
              <w:t>．其他</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-21,116,067.16</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153,096,733.44</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-174,212,800.60</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-17,164,804.15</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-191,377,604.75</w:t>
            </w: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（三）利润分配</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-5,431,753.89</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-5,431,753.89</w:t>
            </w: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．提取盈余公积</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．提取一般风险准备</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．对所有者（或股东）的分配</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-5,431,753.89</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-5,431,753.89</w:t>
            </w: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4</w:t>
            </w:r>
            <w:r>
              <w:rPr>
                <w:rFonts w:ascii="宋体" w:eastAsia="宋体" w:hAnsi="宋体" w:cs="宋体"/>
                <w:sz w:val="18"/>
                <w:szCs w:val="18"/>
              </w:rPr>
              <w:t>．其他</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（四）所有者权益内部结转</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．资本公积转增资本（或股本）</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．盈余公积转增资本（或股本）</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．盈余公积弥补亏损</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4</w:t>
            </w:r>
            <w:r>
              <w:rPr>
                <w:rFonts w:ascii="宋体" w:eastAsia="宋体" w:hAnsi="宋体" w:cs="宋体"/>
                <w:sz w:val="18"/>
                <w:szCs w:val="18"/>
              </w:rPr>
              <w:t>．设定受益计划变动额结转留存收益</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5</w:t>
            </w:r>
            <w:r>
              <w:rPr>
                <w:rFonts w:ascii="宋体" w:eastAsia="宋体" w:hAnsi="宋体" w:cs="宋体"/>
                <w:sz w:val="18"/>
                <w:szCs w:val="18"/>
              </w:rPr>
              <w:t>．其他综合收益结转留存收益</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6</w:t>
            </w:r>
            <w:r>
              <w:rPr>
                <w:rFonts w:ascii="宋体" w:eastAsia="宋体" w:hAnsi="宋体" w:cs="宋体"/>
                <w:sz w:val="18"/>
                <w:szCs w:val="18"/>
              </w:rPr>
              <w:t>．其他</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（五）专项储备</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．本期提取</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．本期使用</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（六）其他</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四、本期期末余额</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2,719,710,516.39</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200,071,093.36</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-25,811,620.66</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302,737,887.79</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1,724,989,647.99</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6,222,236,693.15</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454,272,187.46</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6,676,508,880.61</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上年金额</w:t>
      </w:r>
    </w:p>
    <w:p w:rsidR="00A067C6" w:rsidRDefault="005C4966">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98"/>
        <w:gridCol w:w="562"/>
        <w:gridCol w:w="562"/>
        <w:gridCol w:w="562"/>
        <w:gridCol w:w="562"/>
        <w:gridCol w:w="563"/>
        <w:gridCol w:w="563"/>
        <w:gridCol w:w="563"/>
        <w:gridCol w:w="563"/>
        <w:gridCol w:w="563"/>
        <w:gridCol w:w="563"/>
        <w:gridCol w:w="563"/>
        <w:gridCol w:w="563"/>
        <w:gridCol w:w="563"/>
        <w:gridCol w:w="563"/>
        <w:gridCol w:w="563"/>
      </w:tblGrid>
      <w:tr w:rsidR="00A067C6">
        <w:trPr>
          <w:trHeight w:val="240"/>
        </w:trPr>
        <w:tc>
          <w:tcPr>
            <w:tcW w:w="120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8439" w:type="dxa"/>
            <w:gridSpan w:val="15"/>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2022</w:t>
            </w:r>
            <w:r>
              <w:rPr>
                <w:rFonts w:ascii="宋体" w:eastAsia="宋体" w:hAnsi="宋体" w:cs="宋体"/>
                <w:sz w:val="18"/>
                <w:szCs w:val="18"/>
              </w:rPr>
              <w:t>年半年度</w:t>
            </w:r>
          </w:p>
        </w:tc>
      </w:tr>
      <w:tr w:rsidR="00A067C6">
        <w:trPr>
          <w:trHeight w:val="240"/>
        </w:trPr>
        <w:tc>
          <w:tcPr>
            <w:tcW w:w="120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7314" w:type="dxa"/>
            <w:gridSpan w:val="13"/>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归属于母公司所有者权益</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少数股东权益</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所有者权益合计</w:t>
            </w:r>
          </w:p>
        </w:tc>
      </w:tr>
      <w:tr w:rsidR="00A067C6">
        <w:trPr>
          <w:trHeight w:val="240"/>
        </w:trPr>
        <w:tc>
          <w:tcPr>
            <w:tcW w:w="120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股本</w:t>
            </w:r>
          </w:p>
        </w:tc>
        <w:tc>
          <w:tcPr>
            <w:tcW w:w="1688"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其他权益工具</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资本公积</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减：库存股</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专项储备</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盈余公积</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一般风险准备</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未分配利润</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小计</w:t>
            </w:r>
          </w:p>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120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56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优先股</w:t>
            </w:r>
          </w:p>
        </w:tc>
        <w:tc>
          <w:tcPr>
            <w:tcW w:w="56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永续债</w:t>
            </w:r>
          </w:p>
        </w:tc>
        <w:tc>
          <w:tcPr>
            <w:tcW w:w="56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563" w:type="dxa"/>
            <w:vMerge/>
            <w:tcBorders>
              <w:top w:val="single" w:sz="2" w:space="0" w:color="auto"/>
              <w:left w:val="single" w:sz="2" w:space="0" w:color="auto"/>
              <w:bottom w:val="single" w:sz="2" w:space="0" w:color="auto"/>
              <w:right w:val="single" w:sz="2" w:space="0" w:color="auto"/>
            </w:tcBorders>
            <w:vAlign w:val="center"/>
          </w:tcPr>
          <w:p w:rsidR="00A067C6" w:rsidRDefault="00A067C6"/>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563" w:type="dxa"/>
            <w:vMerge/>
            <w:tcBorders>
              <w:top w:val="single" w:sz="2" w:space="0" w:color="auto"/>
              <w:left w:val="single" w:sz="2" w:space="0" w:color="auto"/>
              <w:bottom w:val="single" w:sz="2" w:space="0" w:color="auto"/>
              <w:right w:val="single" w:sz="2" w:space="0" w:color="auto"/>
            </w:tcBorders>
            <w:vAlign w:val="center"/>
          </w:tcPr>
          <w:p w:rsidR="00A067C6" w:rsidRDefault="00A067C6"/>
        </w:tc>
        <w:tc>
          <w:tcPr>
            <w:tcW w:w="563" w:type="dxa"/>
            <w:vMerge/>
            <w:tcBorders>
              <w:top w:val="single" w:sz="2" w:space="0" w:color="auto"/>
              <w:left w:val="single" w:sz="2" w:space="0" w:color="auto"/>
              <w:bottom w:val="single" w:sz="2" w:space="0" w:color="auto"/>
              <w:right w:val="single" w:sz="2" w:space="0" w:color="auto"/>
            </w:tcBorders>
            <w:vAlign w:val="center"/>
          </w:tcPr>
          <w:p w:rsidR="00A067C6" w:rsidRDefault="00A067C6"/>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一、上年期末余额</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2,771,248,631.27</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-52,730,766.82</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255,624,670.66</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2,334,373,314.01</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7,009,197,204.12</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519,171,926.70</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7,528,369,130.82</w:t>
            </w: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加：会计政策变更</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前期差错更正</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同一控制下企业合并</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其他</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二、本年期初余额</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2,771,248,631.27</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-52,730,766.82</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255,624,670.66</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2,334,373,314.01</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7,009,197,204.12</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519,171,926.70</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7,528,369,130.82</w:t>
            </w: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三、本期增减变动金额（减少以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号填列）</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-3,548,146.00</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46,974,359.92</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24,014,802.98</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292,496,599.75</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265,988,896.81</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4,180,930.29</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270,169,827.10</w:t>
            </w: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（一）综合收益总额</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24,014,802.98</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292,496,599.75</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316,511,402.73</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8,758,564.91</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325,269,967.64</w:t>
            </w: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（二）所有者投入和减少资本</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-3,548,146.00</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46,974,359.92</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-50,522,505.92</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-50,522,505.92</w:t>
            </w: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．所有者投入的普通股</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．其他权益工具持有者投入资本</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．股份支付计入所有者权益的金额</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4</w:t>
            </w:r>
            <w:r>
              <w:rPr>
                <w:rFonts w:ascii="宋体" w:eastAsia="宋体" w:hAnsi="宋体" w:cs="宋体"/>
                <w:sz w:val="18"/>
                <w:szCs w:val="18"/>
              </w:rPr>
              <w:t>．其他</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-3,548,146.00</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46,974,359.92</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-50,522,505.92</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-50,522,505.92</w:t>
            </w: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（三）利润分配</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-4,577,634.62</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-4,577,634.62</w:t>
            </w: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．提取盈余公积</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．提取一般风险准备</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．对所有者（或股东）的分配</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-4,577,634.62</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-4,577,634.62</w:t>
            </w: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4</w:t>
            </w:r>
            <w:r>
              <w:rPr>
                <w:rFonts w:ascii="宋体" w:eastAsia="宋体" w:hAnsi="宋体" w:cs="宋体"/>
                <w:sz w:val="18"/>
                <w:szCs w:val="18"/>
              </w:rPr>
              <w:t>．其他</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（四）所有者权益内部结转</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．资本公积转增资本（或股本）</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．盈余公积转增资本（或股本）</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．盈余公积弥补亏损</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4</w:t>
            </w:r>
            <w:r>
              <w:rPr>
                <w:rFonts w:ascii="宋体" w:eastAsia="宋体" w:hAnsi="宋体" w:cs="宋体"/>
                <w:sz w:val="18"/>
                <w:szCs w:val="18"/>
              </w:rPr>
              <w:t>．设定受益计划变动额结转留存收益</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5</w:t>
            </w:r>
            <w:r>
              <w:rPr>
                <w:rFonts w:ascii="宋体" w:eastAsia="宋体" w:hAnsi="宋体" w:cs="宋体"/>
                <w:sz w:val="18"/>
                <w:szCs w:val="18"/>
              </w:rPr>
              <w:t>．其他综合收益结转留存收益</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6</w:t>
            </w:r>
            <w:r>
              <w:rPr>
                <w:rFonts w:ascii="宋体" w:eastAsia="宋体" w:hAnsi="宋体" w:cs="宋体"/>
                <w:sz w:val="18"/>
                <w:szCs w:val="18"/>
              </w:rPr>
              <w:t>．其他</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（五）专项储备</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．本期提取</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．本期使用</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（六）其他</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四、本期期末余额</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2,767,700,485.27</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46,974,359.92</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-28,715,963.84</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255,624,670.66</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2,626,869,913.76</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7,275,186,100.93</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523,352,856.99</w:t>
            </w:r>
          </w:p>
        </w:tc>
        <w:tc>
          <w:tcPr>
            <w:tcW w:w="56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7,798,538,957.92</w:t>
            </w:r>
          </w:p>
        </w:tc>
      </w:tr>
    </w:tbl>
    <w:p w:rsidR="00A067C6" w:rsidRDefault="005C4966">
      <w:pPr>
        <w:pStyle w:val="3"/>
        <w:spacing w:line="280" w:lineRule="exact"/>
        <w:jc w:val="left"/>
        <w:rPr>
          <w:rFonts w:ascii="宋体" w:hAnsi="宋体" w:cs="宋体"/>
          <w:b/>
          <w:bCs/>
        </w:rPr>
      </w:pPr>
      <w:bookmarkStart w:id="115" w:name="_Toc989003"/>
      <w:r>
        <w:rPr>
          <w:rFonts w:ascii="宋体" w:hAnsi="宋体" w:cs="宋体"/>
          <w:b/>
          <w:bCs/>
        </w:rPr>
        <w:t>8</w:t>
      </w:r>
      <w:r>
        <w:rPr>
          <w:rFonts w:ascii="宋体" w:hAnsi="宋体" w:cs="宋体"/>
          <w:b/>
          <w:bCs/>
        </w:rPr>
        <w:t>、母公司所有者权益变动表</w:t>
      </w:r>
      <w:bookmarkEnd w:id="115"/>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本期金额</w:t>
      </w:r>
    </w:p>
    <w:p w:rsidR="00A067C6" w:rsidRDefault="005C4966">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00"/>
        <w:gridCol w:w="703"/>
        <w:gridCol w:w="703"/>
        <w:gridCol w:w="703"/>
        <w:gridCol w:w="704"/>
        <w:gridCol w:w="703"/>
        <w:gridCol w:w="703"/>
        <w:gridCol w:w="703"/>
        <w:gridCol w:w="703"/>
        <w:gridCol w:w="703"/>
        <w:gridCol w:w="703"/>
        <w:gridCol w:w="703"/>
        <w:gridCol w:w="705"/>
      </w:tblGrid>
      <w:tr w:rsidR="00A067C6">
        <w:trPr>
          <w:trHeight w:val="240"/>
        </w:trPr>
        <w:tc>
          <w:tcPr>
            <w:tcW w:w="120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8439"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年半年度</w:t>
            </w:r>
          </w:p>
        </w:tc>
      </w:tr>
      <w:tr w:rsidR="00A067C6">
        <w:trPr>
          <w:trHeight w:val="240"/>
        </w:trPr>
        <w:tc>
          <w:tcPr>
            <w:tcW w:w="120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股本</w:t>
            </w:r>
          </w:p>
        </w:tc>
        <w:tc>
          <w:tcPr>
            <w:tcW w:w="2110"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其他权益工具</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资本公积</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减：库存股</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专项储备</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盈余公积</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未分配利润</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所有者权益合计</w:t>
            </w:r>
          </w:p>
        </w:tc>
      </w:tr>
      <w:tr w:rsidR="00A067C6">
        <w:trPr>
          <w:trHeight w:val="240"/>
        </w:trPr>
        <w:tc>
          <w:tcPr>
            <w:tcW w:w="120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70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优先股</w:t>
            </w:r>
          </w:p>
        </w:tc>
        <w:tc>
          <w:tcPr>
            <w:tcW w:w="70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永续债</w:t>
            </w:r>
          </w:p>
        </w:tc>
        <w:tc>
          <w:tcPr>
            <w:tcW w:w="70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703" w:type="dxa"/>
            <w:vMerge/>
            <w:tcBorders>
              <w:top w:val="single" w:sz="2" w:space="0" w:color="auto"/>
              <w:left w:val="single" w:sz="2" w:space="0" w:color="auto"/>
              <w:bottom w:val="single" w:sz="2" w:space="0" w:color="auto"/>
              <w:right w:val="single" w:sz="2" w:space="0" w:color="auto"/>
            </w:tcBorders>
            <w:vAlign w:val="center"/>
          </w:tcPr>
          <w:p w:rsidR="00A067C6" w:rsidRDefault="00A067C6"/>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703" w:type="dxa"/>
            <w:vMerge/>
            <w:tcBorders>
              <w:top w:val="single" w:sz="2" w:space="0" w:color="auto"/>
              <w:left w:val="single" w:sz="2" w:space="0" w:color="auto"/>
              <w:bottom w:val="single" w:sz="2" w:space="0" w:color="auto"/>
              <w:right w:val="single" w:sz="2" w:space="0" w:color="auto"/>
            </w:tcBorders>
            <w:vAlign w:val="center"/>
          </w:tcPr>
          <w:p w:rsidR="00A067C6" w:rsidRDefault="00A067C6"/>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一、上年期末余额</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3,106,930,758.15</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46,974,359.92</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15,469,238.85</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271,142,449.26</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217,230,090.53</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5,264,479,531.87</w:t>
            </w: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加：会计政策变更</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前期差错更正</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其他</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二、本年期初余额</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3,106,930,758.15</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46,974,359.92</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15,469,238.85</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271,142,449.26</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217,230,090.53</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5,264,479,531.87</w:t>
            </w: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三、本期增减变动金额（减少以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号填列）</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153,096,733.44</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1,141,722.43</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214,561,002.36</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62,605,991.35</w:t>
            </w: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（一）综合收益总额</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153,096,733.44</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1,141,722.43</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214,561,002.36</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62,605,991.35</w:t>
            </w: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（二）所有者投入和减少资本</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．所有者投入的普通股</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．其他权益工具持有者投入资本</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．股份支付计入所有者权益的金额</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4</w:t>
            </w:r>
            <w:r>
              <w:rPr>
                <w:rFonts w:ascii="宋体" w:eastAsia="宋体" w:hAnsi="宋体" w:cs="宋体"/>
                <w:sz w:val="18"/>
                <w:szCs w:val="18"/>
              </w:rPr>
              <w:t>．其他</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（三）利润分配</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．提取盈余公积</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．对所有者（或股东）的分配</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．其他</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（四）所有者权益内部结转</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．资本公积转增资本（或股本）</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．盈余公积转增资本（或股本）</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．盈余公积弥补亏损</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4</w:t>
            </w:r>
            <w:r>
              <w:rPr>
                <w:rFonts w:ascii="宋体" w:eastAsia="宋体" w:hAnsi="宋体" w:cs="宋体"/>
                <w:sz w:val="18"/>
                <w:szCs w:val="18"/>
              </w:rPr>
              <w:t>．设定受益计划变动额结转留存收益</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5</w:t>
            </w:r>
            <w:r>
              <w:rPr>
                <w:rFonts w:ascii="宋体" w:eastAsia="宋体" w:hAnsi="宋体" w:cs="宋体"/>
                <w:sz w:val="18"/>
                <w:szCs w:val="18"/>
              </w:rPr>
              <w:t>．其他综合收益结转留存收益</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6</w:t>
            </w:r>
            <w:r>
              <w:rPr>
                <w:rFonts w:ascii="宋体" w:eastAsia="宋体" w:hAnsi="宋体" w:cs="宋体"/>
                <w:sz w:val="18"/>
                <w:szCs w:val="18"/>
              </w:rPr>
              <w:t>．其他</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（五）专项储备</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．本期提取</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．本期使用</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（六）其他</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四、本期期末余额</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3,106,930,758.15</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200,071,093.36</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16,610,961.28</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271,142,449.26</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431,791,092.89</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5,327,085,523.22</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上年金额</w:t>
      </w:r>
    </w:p>
    <w:p w:rsidR="00A067C6" w:rsidRDefault="005C4966">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00"/>
        <w:gridCol w:w="703"/>
        <w:gridCol w:w="703"/>
        <w:gridCol w:w="703"/>
        <w:gridCol w:w="704"/>
        <w:gridCol w:w="703"/>
        <w:gridCol w:w="703"/>
        <w:gridCol w:w="703"/>
        <w:gridCol w:w="703"/>
        <w:gridCol w:w="703"/>
        <w:gridCol w:w="703"/>
        <w:gridCol w:w="703"/>
        <w:gridCol w:w="705"/>
      </w:tblGrid>
      <w:tr w:rsidR="00A067C6">
        <w:trPr>
          <w:trHeight w:val="240"/>
        </w:trPr>
        <w:tc>
          <w:tcPr>
            <w:tcW w:w="120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8439"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2022</w:t>
            </w:r>
            <w:r>
              <w:rPr>
                <w:rFonts w:ascii="宋体" w:eastAsia="宋体" w:hAnsi="宋体" w:cs="宋体"/>
                <w:sz w:val="18"/>
                <w:szCs w:val="18"/>
              </w:rPr>
              <w:t>年半年度</w:t>
            </w:r>
          </w:p>
        </w:tc>
      </w:tr>
      <w:tr w:rsidR="00A067C6">
        <w:trPr>
          <w:trHeight w:val="240"/>
        </w:trPr>
        <w:tc>
          <w:tcPr>
            <w:tcW w:w="120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股本</w:t>
            </w:r>
          </w:p>
        </w:tc>
        <w:tc>
          <w:tcPr>
            <w:tcW w:w="2110"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其他权益工具</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资本公积</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减：库存股</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专项储备</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盈余公积</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未分配利润</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所有者权益合计</w:t>
            </w:r>
          </w:p>
        </w:tc>
      </w:tr>
      <w:tr w:rsidR="00A067C6">
        <w:trPr>
          <w:trHeight w:val="240"/>
        </w:trPr>
        <w:tc>
          <w:tcPr>
            <w:tcW w:w="120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70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优先股</w:t>
            </w:r>
          </w:p>
        </w:tc>
        <w:tc>
          <w:tcPr>
            <w:tcW w:w="70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永续债</w:t>
            </w:r>
          </w:p>
        </w:tc>
        <w:tc>
          <w:tcPr>
            <w:tcW w:w="70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703" w:type="dxa"/>
            <w:vMerge/>
            <w:tcBorders>
              <w:top w:val="single" w:sz="2" w:space="0" w:color="auto"/>
              <w:left w:val="single" w:sz="2" w:space="0" w:color="auto"/>
              <w:bottom w:val="single" w:sz="2" w:space="0" w:color="auto"/>
              <w:right w:val="single" w:sz="2" w:space="0" w:color="auto"/>
            </w:tcBorders>
            <w:vAlign w:val="center"/>
          </w:tcPr>
          <w:p w:rsidR="00A067C6" w:rsidRDefault="00A067C6"/>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703" w:type="dxa"/>
            <w:vMerge/>
            <w:tcBorders>
              <w:top w:val="single" w:sz="2" w:space="0" w:color="auto"/>
              <w:left w:val="single" w:sz="2" w:space="0" w:color="auto"/>
              <w:bottom w:val="single" w:sz="2" w:space="0" w:color="auto"/>
              <w:right w:val="single" w:sz="2" w:space="0" w:color="auto"/>
            </w:tcBorders>
            <w:vAlign w:val="center"/>
          </w:tcPr>
          <w:p w:rsidR="00A067C6" w:rsidRDefault="00A067C6"/>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一、上年期末余额</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3,106,930,758.15</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13,704,261.47</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224,029,232.13</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96,989,352.24</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5,142,334,958.99</w:t>
            </w: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加：会计政策变更</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前期差错更正</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其他</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二、本年期初余额</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3,106,930,758.15</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13,704,261.47</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224,029,232.13</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96,989,352.24</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5,142,334,958.99</w:t>
            </w: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三、本期增减变动金额（减少以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号填列）</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46,974,359.92</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643,483.85</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316,051,780.62</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269,720,904.55</w:t>
            </w: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（一）综合收益总额</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643,483.85</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316,051,780.62</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316,695,264.47</w:t>
            </w: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（二）所有者投入和减少资本</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46,974,359.92</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-46,974,359.92</w:t>
            </w: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．所有者投入的普通股</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．其他权益工具持有者投入资本</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．股份支付计入所有者权益的金额</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4</w:t>
            </w:r>
            <w:r>
              <w:rPr>
                <w:rFonts w:ascii="宋体" w:eastAsia="宋体" w:hAnsi="宋体" w:cs="宋体"/>
                <w:sz w:val="18"/>
                <w:szCs w:val="18"/>
              </w:rPr>
              <w:t>．其他</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46,974,359.92</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-46,974,359.92</w:t>
            </w: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（三）利润分配</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．提取盈余公积</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．对所有者（或股东）的分配</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．其他</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（四）所有者权益内部结转</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．资本公积转增资本（或股本）</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．盈余公积转增资本（或股本）</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．盈余公积弥补亏损</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4</w:t>
            </w:r>
            <w:r>
              <w:rPr>
                <w:rFonts w:ascii="宋体" w:eastAsia="宋体" w:hAnsi="宋体" w:cs="宋体"/>
                <w:sz w:val="18"/>
                <w:szCs w:val="18"/>
              </w:rPr>
              <w:t>．设定受益计划变动额结转留存收益</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5</w:t>
            </w:r>
            <w:r>
              <w:rPr>
                <w:rFonts w:ascii="宋体" w:eastAsia="宋体" w:hAnsi="宋体" w:cs="宋体"/>
                <w:sz w:val="18"/>
                <w:szCs w:val="18"/>
              </w:rPr>
              <w:t>．其他综合收益结转留存收益</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6</w:t>
            </w:r>
            <w:r>
              <w:rPr>
                <w:rFonts w:ascii="宋体" w:eastAsia="宋体" w:hAnsi="宋体" w:cs="宋体"/>
                <w:sz w:val="18"/>
                <w:szCs w:val="18"/>
              </w:rPr>
              <w:t>．其他</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（五）专项储备</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．本期提取</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．本期使用</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（六）其他</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四、本期期末余额</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3,106,930,758.15</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46,974,359.92</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14,347,745.32</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224,029,232.13</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413,041,132.86</w:t>
            </w: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5,412,055,863.54</w:t>
            </w:r>
          </w:p>
        </w:tc>
      </w:tr>
    </w:tbl>
    <w:p w:rsidR="00A067C6" w:rsidRDefault="005C4966">
      <w:pPr>
        <w:pStyle w:val="2"/>
        <w:spacing w:before="300" w:after="300" w:line="320" w:lineRule="exact"/>
        <w:rPr>
          <w:rFonts w:ascii="宋体" w:eastAsia="宋体" w:hAnsi="宋体" w:cs="宋体"/>
          <w:b/>
          <w:bCs/>
          <w:sz w:val="24"/>
          <w:szCs w:val="24"/>
        </w:rPr>
      </w:pPr>
      <w:bookmarkStart w:id="116" w:name="_Toc989004"/>
      <w:r>
        <w:rPr>
          <w:rFonts w:ascii="宋体" w:eastAsia="宋体" w:hAnsi="宋体" w:cs="宋体"/>
          <w:b/>
          <w:bCs/>
          <w:sz w:val="24"/>
          <w:szCs w:val="24"/>
        </w:rPr>
        <w:t>三、公司基本情况</w:t>
      </w:r>
      <w:bookmarkEnd w:id="116"/>
    </w:p>
    <w:p w:rsidR="00A067C6" w:rsidRDefault="005C4966">
      <w:pPr>
        <w:pStyle w:val="a6"/>
        <w:spacing w:before="0" w:beforeAutospacing="0" w:after="0" w:afterAutospacing="0"/>
        <w:ind w:firstLine="450"/>
        <w:rPr>
          <w:rFonts w:ascii="Calibri" w:hAnsi="Calibri"/>
          <w:sz w:val="21"/>
          <w:szCs w:val="21"/>
        </w:rPr>
      </w:pPr>
      <w:r>
        <w:rPr>
          <w:rFonts w:ascii="Calibri" w:hAnsi="Calibri"/>
          <w:sz w:val="18"/>
          <w:szCs w:val="18"/>
        </w:rPr>
        <w:t>1</w:t>
      </w:r>
      <w:r>
        <w:rPr>
          <w:rFonts w:hint="eastAsia"/>
          <w:sz w:val="18"/>
          <w:szCs w:val="18"/>
        </w:rPr>
        <w:t>、公司注册地、组织形式和总部地址</w:t>
      </w:r>
    </w:p>
    <w:p w:rsidR="00A067C6" w:rsidRDefault="005C4966">
      <w:pPr>
        <w:pStyle w:val="a6"/>
        <w:spacing w:before="0" w:beforeAutospacing="0" w:after="0" w:afterAutospacing="0"/>
        <w:ind w:firstLine="420"/>
        <w:jc w:val="both"/>
      </w:pPr>
      <w:r>
        <w:rPr>
          <w:rFonts w:hint="eastAsia"/>
          <w:sz w:val="18"/>
          <w:szCs w:val="18"/>
        </w:rPr>
        <w:t>华孚时尚股份有限公司（以下简称“公司”或“本公司”）前身系于</w:t>
      </w:r>
      <w:r>
        <w:rPr>
          <w:rFonts w:hint="eastAsia"/>
          <w:sz w:val="18"/>
          <w:szCs w:val="18"/>
        </w:rPr>
        <w:t>2000</w:t>
      </w:r>
      <w:r>
        <w:rPr>
          <w:rFonts w:hint="eastAsia"/>
          <w:sz w:val="18"/>
          <w:szCs w:val="18"/>
        </w:rPr>
        <w:t>年</w:t>
      </w:r>
      <w:r>
        <w:rPr>
          <w:rFonts w:hint="eastAsia"/>
          <w:sz w:val="18"/>
          <w:szCs w:val="18"/>
        </w:rPr>
        <w:t>10</w:t>
      </w:r>
      <w:r>
        <w:rPr>
          <w:rFonts w:hint="eastAsia"/>
          <w:sz w:val="18"/>
          <w:szCs w:val="18"/>
        </w:rPr>
        <w:t>月经安徽省体改委【皖体改函</w:t>
      </w:r>
      <w:r>
        <w:rPr>
          <w:rFonts w:hint="eastAsia"/>
          <w:sz w:val="18"/>
          <w:szCs w:val="18"/>
        </w:rPr>
        <w:t>[2000]79</w:t>
      </w:r>
      <w:r>
        <w:rPr>
          <w:rFonts w:hint="eastAsia"/>
          <w:sz w:val="18"/>
          <w:szCs w:val="18"/>
        </w:rPr>
        <w:t>号】、安徽省人民政府【皖府股字</w:t>
      </w:r>
      <w:r>
        <w:rPr>
          <w:rFonts w:hint="eastAsia"/>
          <w:sz w:val="18"/>
          <w:szCs w:val="18"/>
        </w:rPr>
        <w:t>[2000]</w:t>
      </w:r>
      <w:r>
        <w:rPr>
          <w:rFonts w:hint="eastAsia"/>
          <w:sz w:val="18"/>
          <w:szCs w:val="18"/>
        </w:rPr>
        <w:t>第</w:t>
      </w:r>
      <w:r>
        <w:rPr>
          <w:rFonts w:hint="eastAsia"/>
          <w:sz w:val="18"/>
          <w:szCs w:val="18"/>
        </w:rPr>
        <w:t>37</w:t>
      </w:r>
      <w:r>
        <w:rPr>
          <w:rFonts w:hint="eastAsia"/>
          <w:sz w:val="18"/>
          <w:szCs w:val="18"/>
        </w:rPr>
        <w:t>号】文批准，由安徽飞亚纺织集团有限公司</w:t>
      </w:r>
      <w:r>
        <w:rPr>
          <w:rFonts w:hint="eastAsia"/>
          <w:sz w:val="18"/>
          <w:szCs w:val="18"/>
        </w:rPr>
        <w:t>(</w:t>
      </w:r>
      <w:r>
        <w:rPr>
          <w:rFonts w:hint="eastAsia"/>
          <w:sz w:val="18"/>
          <w:szCs w:val="18"/>
        </w:rPr>
        <w:t>以下简称“飞亚集团”</w:t>
      </w:r>
      <w:r>
        <w:rPr>
          <w:rFonts w:hint="eastAsia"/>
          <w:sz w:val="18"/>
          <w:szCs w:val="18"/>
        </w:rPr>
        <w:t>)</w:t>
      </w:r>
      <w:r>
        <w:rPr>
          <w:rFonts w:hint="eastAsia"/>
          <w:sz w:val="18"/>
          <w:szCs w:val="18"/>
        </w:rPr>
        <w:t>作为主发起人，联合上海东华大学科技园发展有限公司、淮北印染集团公司、上海市纺织科学研究院、安徽省国有资产运营有限公司、淮北市国有资产运营有限公司等五家企业共同发起，采用募集方式设立的股份有限公司。并于</w:t>
      </w:r>
      <w:r>
        <w:rPr>
          <w:rFonts w:hint="eastAsia"/>
          <w:sz w:val="18"/>
          <w:szCs w:val="18"/>
        </w:rPr>
        <w:t xml:space="preserve">2000 </w:t>
      </w:r>
      <w:r>
        <w:rPr>
          <w:rFonts w:hint="eastAsia"/>
          <w:sz w:val="18"/>
          <w:szCs w:val="18"/>
        </w:rPr>
        <w:t>年</w:t>
      </w:r>
      <w:r>
        <w:rPr>
          <w:rFonts w:hint="eastAsia"/>
          <w:sz w:val="18"/>
          <w:szCs w:val="18"/>
        </w:rPr>
        <w:t xml:space="preserve">10 </w:t>
      </w:r>
      <w:r>
        <w:rPr>
          <w:rFonts w:hint="eastAsia"/>
          <w:sz w:val="18"/>
          <w:szCs w:val="18"/>
        </w:rPr>
        <w:t>月</w:t>
      </w:r>
      <w:r>
        <w:rPr>
          <w:rFonts w:hint="eastAsia"/>
          <w:sz w:val="18"/>
          <w:szCs w:val="18"/>
        </w:rPr>
        <w:t xml:space="preserve">31 </w:t>
      </w:r>
      <w:r>
        <w:rPr>
          <w:rFonts w:hint="eastAsia"/>
          <w:sz w:val="18"/>
          <w:szCs w:val="18"/>
        </w:rPr>
        <w:t>日在安徽省工商行政管理局登记注册，注册资本为</w:t>
      </w:r>
      <w:r>
        <w:rPr>
          <w:rFonts w:hint="eastAsia"/>
          <w:sz w:val="18"/>
          <w:szCs w:val="18"/>
        </w:rPr>
        <w:t>6,000.00</w:t>
      </w:r>
      <w:r>
        <w:rPr>
          <w:rFonts w:hint="eastAsia"/>
          <w:sz w:val="18"/>
          <w:szCs w:val="18"/>
        </w:rPr>
        <w:t>万元。根据本公司</w:t>
      </w:r>
      <w:r>
        <w:rPr>
          <w:rFonts w:hint="eastAsia"/>
          <w:sz w:val="18"/>
          <w:szCs w:val="18"/>
        </w:rPr>
        <w:t xml:space="preserve">2003 </w:t>
      </w:r>
      <w:r>
        <w:rPr>
          <w:rFonts w:hint="eastAsia"/>
          <w:sz w:val="18"/>
          <w:szCs w:val="18"/>
        </w:rPr>
        <w:t>年第一次临时股东大会决议，并经中国证券监督管理委员会证监发行字</w:t>
      </w:r>
      <w:r>
        <w:rPr>
          <w:rFonts w:hint="eastAsia"/>
          <w:sz w:val="18"/>
          <w:szCs w:val="18"/>
        </w:rPr>
        <w:t>[2005]9</w:t>
      </w:r>
      <w:r>
        <w:rPr>
          <w:rFonts w:hint="eastAsia"/>
          <w:sz w:val="18"/>
          <w:szCs w:val="18"/>
        </w:rPr>
        <w:t>号文核准，本公司于</w:t>
      </w:r>
      <w:r>
        <w:rPr>
          <w:rFonts w:hint="eastAsia"/>
          <w:sz w:val="18"/>
          <w:szCs w:val="18"/>
        </w:rPr>
        <w:t xml:space="preserve">2005 </w:t>
      </w:r>
      <w:r>
        <w:rPr>
          <w:rFonts w:hint="eastAsia"/>
          <w:sz w:val="18"/>
          <w:szCs w:val="18"/>
        </w:rPr>
        <w:t>年</w:t>
      </w:r>
      <w:r>
        <w:rPr>
          <w:rFonts w:hint="eastAsia"/>
          <w:sz w:val="18"/>
          <w:szCs w:val="18"/>
        </w:rPr>
        <w:t xml:space="preserve">4 </w:t>
      </w:r>
      <w:r>
        <w:rPr>
          <w:rFonts w:hint="eastAsia"/>
          <w:sz w:val="18"/>
          <w:szCs w:val="18"/>
        </w:rPr>
        <w:t>月向社会公众公开发行股票</w:t>
      </w:r>
      <w:r>
        <w:rPr>
          <w:rFonts w:hint="eastAsia"/>
          <w:sz w:val="18"/>
          <w:szCs w:val="18"/>
        </w:rPr>
        <w:t>4,000</w:t>
      </w:r>
      <w:r>
        <w:rPr>
          <w:rFonts w:hint="eastAsia"/>
          <w:sz w:val="18"/>
          <w:szCs w:val="18"/>
        </w:rPr>
        <w:t>万股，</w:t>
      </w:r>
      <w:r>
        <w:rPr>
          <w:rFonts w:hint="eastAsia"/>
          <w:sz w:val="18"/>
          <w:szCs w:val="18"/>
        </w:rPr>
        <w:t>2005</w:t>
      </w:r>
      <w:r>
        <w:rPr>
          <w:rFonts w:hint="eastAsia"/>
          <w:sz w:val="18"/>
          <w:szCs w:val="18"/>
        </w:rPr>
        <w:t>年</w:t>
      </w:r>
      <w:r>
        <w:rPr>
          <w:rFonts w:hint="eastAsia"/>
          <w:sz w:val="18"/>
          <w:szCs w:val="18"/>
        </w:rPr>
        <w:t xml:space="preserve">4 </w:t>
      </w:r>
      <w:r>
        <w:rPr>
          <w:rFonts w:hint="eastAsia"/>
          <w:sz w:val="18"/>
          <w:szCs w:val="18"/>
        </w:rPr>
        <w:t>月</w:t>
      </w:r>
      <w:r>
        <w:rPr>
          <w:rFonts w:hint="eastAsia"/>
          <w:sz w:val="18"/>
          <w:szCs w:val="18"/>
        </w:rPr>
        <w:t>27</w:t>
      </w:r>
      <w:r>
        <w:rPr>
          <w:rFonts w:hint="eastAsia"/>
          <w:sz w:val="18"/>
          <w:szCs w:val="18"/>
        </w:rPr>
        <w:t>日在深圳证券交易所挂牌上市。</w:t>
      </w:r>
    </w:p>
    <w:p w:rsidR="00A067C6" w:rsidRDefault="005C4966">
      <w:pPr>
        <w:pStyle w:val="a6"/>
        <w:spacing w:before="0" w:beforeAutospacing="0" w:after="0" w:afterAutospacing="0"/>
        <w:ind w:firstLine="420"/>
        <w:jc w:val="both"/>
      </w:pPr>
      <w:r>
        <w:rPr>
          <w:rFonts w:hint="eastAsia"/>
          <w:sz w:val="18"/>
          <w:szCs w:val="18"/>
        </w:rPr>
        <w:t>2008</w:t>
      </w:r>
      <w:r>
        <w:rPr>
          <w:rFonts w:hint="eastAsia"/>
          <w:sz w:val="18"/>
          <w:szCs w:val="18"/>
        </w:rPr>
        <w:t>年</w:t>
      </w:r>
      <w:r>
        <w:rPr>
          <w:rFonts w:hint="eastAsia"/>
          <w:sz w:val="18"/>
          <w:szCs w:val="18"/>
        </w:rPr>
        <w:t>1</w:t>
      </w:r>
      <w:r>
        <w:rPr>
          <w:rFonts w:hint="eastAsia"/>
          <w:sz w:val="18"/>
          <w:szCs w:val="18"/>
        </w:rPr>
        <w:t>月</w:t>
      </w:r>
      <w:r>
        <w:rPr>
          <w:rFonts w:hint="eastAsia"/>
          <w:sz w:val="18"/>
          <w:szCs w:val="18"/>
        </w:rPr>
        <w:t>22</w:t>
      </w:r>
      <w:r>
        <w:rPr>
          <w:rFonts w:hint="eastAsia"/>
          <w:sz w:val="18"/>
          <w:szCs w:val="18"/>
        </w:rPr>
        <w:t>日淮北市人民政府国有资产监督管理委员会与华孚控股有限公司</w:t>
      </w:r>
      <w:r>
        <w:rPr>
          <w:rFonts w:hint="eastAsia"/>
          <w:sz w:val="18"/>
          <w:szCs w:val="18"/>
        </w:rPr>
        <w:t>(</w:t>
      </w:r>
      <w:r>
        <w:rPr>
          <w:rFonts w:hint="eastAsia"/>
          <w:sz w:val="18"/>
          <w:szCs w:val="18"/>
        </w:rPr>
        <w:t>以下简称“华孚控股”</w:t>
      </w:r>
      <w:r>
        <w:rPr>
          <w:rFonts w:hint="eastAsia"/>
          <w:sz w:val="18"/>
          <w:szCs w:val="18"/>
        </w:rPr>
        <w:t>)</w:t>
      </w:r>
      <w:r>
        <w:rPr>
          <w:rFonts w:hint="eastAsia"/>
          <w:sz w:val="18"/>
          <w:szCs w:val="18"/>
        </w:rPr>
        <w:t>签定《产权交易合同》，华孚控股拟收购淮北市人民政府国有资产监督管理委员会持有的飞亚集团</w:t>
      </w:r>
      <w:r>
        <w:rPr>
          <w:rFonts w:hint="eastAsia"/>
          <w:sz w:val="18"/>
          <w:szCs w:val="18"/>
        </w:rPr>
        <w:t>100%</w:t>
      </w:r>
      <w:r>
        <w:rPr>
          <w:rFonts w:hint="eastAsia"/>
          <w:sz w:val="18"/>
          <w:szCs w:val="18"/>
        </w:rPr>
        <w:t>的股权，飞亚集团持有本公司</w:t>
      </w:r>
      <w:r>
        <w:rPr>
          <w:rFonts w:hint="eastAsia"/>
          <w:sz w:val="18"/>
          <w:szCs w:val="18"/>
        </w:rPr>
        <w:t>40.55%</w:t>
      </w:r>
      <w:r>
        <w:rPr>
          <w:rFonts w:hint="eastAsia"/>
          <w:sz w:val="18"/>
          <w:szCs w:val="18"/>
        </w:rPr>
        <w:t>的股权。</w:t>
      </w:r>
    </w:p>
    <w:p w:rsidR="00A067C6" w:rsidRDefault="005C4966">
      <w:pPr>
        <w:pStyle w:val="a6"/>
        <w:spacing w:before="0" w:beforeAutospacing="0" w:after="0" w:afterAutospacing="0"/>
        <w:ind w:firstLine="420"/>
        <w:jc w:val="both"/>
      </w:pPr>
      <w:r>
        <w:rPr>
          <w:rFonts w:hint="eastAsia"/>
          <w:sz w:val="18"/>
          <w:szCs w:val="18"/>
        </w:rPr>
        <w:t>上述转让经</w:t>
      </w:r>
      <w:r>
        <w:rPr>
          <w:rFonts w:hint="eastAsia"/>
          <w:sz w:val="18"/>
          <w:szCs w:val="18"/>
        </w:rPr>
        <w:t>2008</w:t>
      </w:r>
      <w:r>
        <w:rPr>
          <w:rFonts w:hint="eastAsia"/>
          <w:sz w:val="18"/>
          <w:szCs w:val="18"/>
        </w:rPr>
        <w:t>年</w:t>
      </w:r>
      <w:r>
        <w:rPr>
          <w:rFonts w:hint="eastAsia"/>
          <w:sz w:val="18"/>
          <w:szCs w:val="18"/>
        </w:rPr>
        <w:t>4</w:t>
      </w:r>
      <w:r>
        <w:rPr>
          <w:rFonts w:hint="eastAsia"/>
          <w:sz w:val="18"/>
          <w:szCs w:val="18"/>
        </w:rPr>
        <w:t>月</w:t>
      </w:r>
      <w:r>
        <w:rPr>
          <w:rFonts w:hint="eastAsia"/>
          <w:sz w:val="18"/>
          <w:szCs w:val="18"/>
        </w:rPr>
        <w:t>6</w:t>
      </w:r>
      <w:r>
        <w:rPr>
          <w:rFonts w:hint="eastAsia"/>
          <w:sz w:val="18"/>
          <w:szCs w:val="18"/>
        </w:rPr>
        <w:t>日国务院国有资产监督</w:t>
      </w:r>
      <w:r>
        <w:rPr>
          <w:rFonts w:hint="eastAsia"/>
          <w:sz w:val="18"/>
          <w:szCs w:val="18"/>
        </w:rPr>
        <w:t>管理委员会国资产权［</w:t>
      </w:r>
      <w:r>
        <w:rPr>
          <w:rFonts w:hint="eastAsia"/>
          <w:sz w:val="18"/>
          <w:szCs w:val="18"/>
        </w:rPr>
        <w:t>2008</w:t>
      </w:r>
      <w:r>
        <w:rPr>
          <w:rFonts w:hint="eastAsia"/>
          <w:sz w:val="18"/>
          <w:szCs w:val="18"/>
        </w:rPr>
        <w:t>］</w:t>
      </w:r>
      <w:r>
        <w:rPr>
          <w:rFonts w:hint="eastAsia"/>
          <w:sz w:val="18"/>
          <w:szCs w:val="18"/>
        </w:rPr>
        <w:t>357</w:t>
      </w:r>
      <w:r>
        <w:rPr>
          <w:rFonts w:hint="eastAsia"/>
          <w:sz w:val="18"/>
          <w:szCs w:val="18"/>
        </w:rPr>
        <w:t>号《关于安徽飞亚纺织发展股份有限公司间接转让涉及的国有股东性质变更有关问题的批复》以及</w:t>
      </w:r>
      <w:r>
        <w:rPr>
          <w:rFonts w:hint="eastAsia"/>
          <w:sz w:val="18"/>
          <w:szCs w:val="18"/>
        </w:rPr>
        <w:t>2008</w:t>
      </w:r>
      <w:r>
        <w:rPr>
          <w:rFonts w:hint="eastAsia"/>
          <w:sz w:val="18"/>
          <w:szCs w:val="18"/>
        </w:rPr>
        <w:t>年</w:t>
      </w:r>
      <w:r>
        <w:rPr>
          <w:rFonts w:hint="eastAsia"/>
          <w:sz w:val="18"/>
          <w:szCs w:val="18"/>
        </w:rPr>
        <w:t>6</w:t>
      </w:r>
      <w:r>
        <w:rPr>
          <w:rFonts w:hint="eastAsia"/>
          <w:sz w:val="18"/>
          <w:szCs w:val="18"/>
        </w:rPr>
        <w:t>月</w:t>
      </w:r>
      <w:r>
        <w:rPr>
          <w:rFonts w:hint="eastAsia"/>
          <w:sz w:val="18"/>
          <w:szCs w:val="18"/>
        </w:rPr>
        <w:t>27</w:t>
      </w:r>
      <w:r>
        <w:rPr>
          <w:rFonts w:hint="eastAsia"/>
          <w:sz w:val="18"/>
          <w:szCs w:val="18"/>
        </w:rPr>
        <w:t>日中国证券监督管理委员会证监许可［</w:t>
      </w:r>
      <w:r>
        <w:rPr>
          <w:rFonts w:hint="eastAsia"/>
          <w:sz w:val="18"/>
          <w:szCs w:val="18"/>
        </w:rPr>
        <w:t>2008</w:t>
      </w:r>
      <w:r>
        <w:rPr>
          <w:rFonts w:hint="eastAsia"/>
          <w:sz w:val="18"/>
          <w:szCs w:val="18"/>
        </w:rPr>
        <w:t>］</w:t>
      </w:r>
      <w:r>
        <w:rPr>
          <w:rFonts w:hint="eastAsia"/>
          <w:sz w:val="18"/>
          <w:szCs w:val="18"/>
        </w:rPr>
        <w:t>849</w:t>
      </w:r>
      <w:r>
        <w:rPr>
          <w:rFonts w:hint="eastAsia"/>
          <w:sz w:val="18"/>
          <w:szCs w:val="18"/>
        </w:rPr>
        <w:t>号《关于核准华孚控股有限公司公告安徽飞亚纺织发展股份有限公司收购报告书的批复》批准。</w:t>
      </w:r>
      <w:r>
        <w:rPr>
          <w:rFonts w:hint="eastAsia"/>
          <w:sz w:val="18"/>
          <w:szCs w:val="18"/>
        </w:rPr>
        <w:t>2008</w:t>
      </w:r>
      <w:r>
        <w:rPr>
          <w:rFonts w:hint="eastAsia"/>
          <w:sz w:val="18"/>
          <w:szCs w:val="18"/>
        </w:rPr>
        <w:t>年</w:t>
      </w:r>
      <w:r>
        <w:rPr>
          <w:rFonts w:hint="eastAsia"/>
          <w:sz w:val="18"/>
          <w:szCs w:val="18"/>
        </w:rPr>
        <w:t>12</w:t>
      </w:r>
      <w:r>
        <w:rPr>
          <w:rFonts w:hint="eastAsia"/>
          <w:sz w:val="18"/>
          <w:szCs w:val="18"/>
        </w:rPr>
        <w:t>月</w:t>
      </w:r>
      <w:r>
        <w:rPr>
          <w:rFonts w:hint="eastAsia"/>
          <w:sz w:val="18"/>
          <w:szCs w:val="18"/>
        </w:rPr>
        <w:t>10</w:t>
      </w:r>
      <w:r>
        <w:rPr>
          <w:rFonts w:hint="eastAsia"/>
          <w:sz w:val="18"/>
          <w:szCs w:val="18"/>
        </w:rPr>
        <w:t>日完成工商变更登记手续，飞亚集团变更为华孚控股全资子公司。</w:t>
      </w:r>
    </w:p>
    <w:p w:rsidR="00A067C6" w:rsidRDefault="005C4966">
      <w:pPr>
        <w:pStyle w:val="a6"/>
        <w:spacing w:before="0" w:beforeAutospacing="0" w:after="0" w:afterAutospacing="0"/>
        <w:ind w:firstLine="420"/>
        <w:jc w:val="both"/>
      </w:pPr>
      <w:r>
        <w:rPr>
          <w:rFonts w:hint="eastAsia"/>
          <w:sz w:val="18"/>
          <w:szCs w:val="18"/>
        </w:rPr>
        <w:t>2008</w:t>
      </w:r>
      <w:r>
        <w:rPr>
          <w:rFonts w:hint="eastAsia"/>
          <w:sz w:val="18"/>
          <w:szCs w:val="18"/>
        </w:rPr>
        <w:t>年</w:t>
      </w:r>
      <w:r>
        <w:rPr>
          <w:rFonts w:hint="eastAsia"/>
          <w:sz w:val="18"/>
          <w:szCs w:val="18"/>
        </w:rPr>
        <w:t>1</w:t>
      </w:r>
      <w:r>
        <w:rPr>
          <w:rFonts w:hint="eastAsia"/>
          <w:sz w:val="18"/>
          <w:szCs w:val="18"/>
        </w:rPr>
        <w:t>月</w:t>
      </w:r>
      <w:r>
        <w:rPr>
          <w:rFonts w:hint="eastAsia"/>
          <w:sz w:val="18"/>
          <w:szCs w:val="18"/>
        </w:rPr>
        <w:t>30</w:t>
      </w:r>
      <w:r>
        <w:rPr>
          <w:rFonts w:hint="eastAsia"/>
          <w:sz w:val="18"/>
          <w:szCs w:val="18"/>
        </w:rPr>
        <w:t>日，飞亚集团分别与受让方廖煜、赵伟光和陈敏签署了股权转让协议。飞亚集团以协议转让方式分别向廖煜、赵伟光和陈敏转让</w:t>
      </w:r>
      <w:r>
        <w:rPr>
          <w:rFonts w:hint="eastAsia"/>
          <w:sz w:val="18"/>
          <w:szCs w:val="18"/>
        </w:rPr>
        <w:t>499</w:t>
      </w:r>
      <w:r>
        <w:rPr>
          <w:rFonts w:hint="eastAsia"/>
          <w:sz w:val="18"/>
          <w:szCs w:val="18"/>
        </w:rPr>
        <w:t>万股本公司股权，合计转</w:t>
      </w:r>
      <w:r>
        <w:rPr>
          <w:rFonts w:hint="eastAsia"/>
          <w:sz w:val="18"/>
          <w:szCs w:val="18"/>
        </w:rPr>
        <w:t>让</w:t>
      </w:r>
      <w:r>
        <w:rPr>
          <w:rFonts w:hint="eastAsia"/>
          <w:sz w:val="18"/>
          <w:szCs w:val="18"/>
        </w:rPr>
        <w:t>1,497</w:t>
      </w:r>
      <w:r>
        <w:rPr>
          <w:rFonts w:hint="eastAsia"/>
          <w:sz w:val="18"/>
          <w:szCs w:val="18"/>
        </w:rPr>
        <w:t>万股权，占本公司总股本的</w:t>
      </w:r>
      <w:r>
        <w:rPr>
          <w:rFonts w:hint="eastAsia"/>
          <w:sz w:val="18"/>
          <w:szCs w:val="18"/>
        </w:rPr>
        <w:t>14.97%</w:t>
      </w:r>
      <w:r>
        <w:rPr>
          <w:rFonts w:hint="eastAsia"/>
          <w:sz w:val="18"/>
          <w:szCs w:val="18"/>
        </w:rPr>
        <w:t>。飞亚集团减持后持有本公司</w:t>
      </w:r>
      <w:r>
        <w:rPr>
          <w:rFonts w:hint="eastAsia"/>
          <w:sz w:val="18"/>
          <w:szCs w:val="18"/>
        </w:rPr>
        <w:t>2,557.91</w:t>
      </w:r>
      <w:r>
        <w:rPr>
          <w:rFonts w:hint="eastAsia"/>
          <w:sz w:val="18"/>
          <w:szCs w:val="18"/>
        </w:rPr>
        <w:t>万股，占总股本的</w:t>
      </w:r>
      <w:r>
        <w:rPr>
          <w:rFonts w:hint="eastAsia"/>
          <w:sz w:val="18"/>
          <w:szCs w:val="18"/>
        </w:rPr>
        <w:t>25.58%</w:t>
      </w:r>
      <w:r>
        <w:rPr>
          <w:rFonts w:hint="eastAsia"/>
          <w:sz w:val="18"/>
          <w:szCs w:val="18"/>
        </w:rPr>
        <w:t>，该转让于</w:t>
      </w:r>
      <w:r>
        <w:rPr>
          <w:rFonts w:hint="eastAsia"/>
          <w:sz w:val="18"/>
          <w:szCs w:val="18"/>
        </w:rPr>
        <w:t>2008</w:t>
      </w:r>
      <w:r>
        <w:rPr>
          <w:rFonts w:hint="eastAsia"/>
          <w:sz w:val="18"/>
          <w:szCs w:val="18"/>
        </w:rPr>
        <w:t>年</w:t>
      </w:r>
      <w:r>
        <w:rPr>
          <w:rFonts w:hint="eastAsia"/>
          <w:sz w:val="18"/>
          <w:szCs w:val="18"/>
        </w:rPr>
        <w:t>12</w:t>
      </w:r>
      <w:r>
        <w:rPr>
          <w:rFonts w:hint="eastAsia"/>
          <w:sz w:val="18"/>
          <w:szCs w:val="18"/>
        </w:rPr>
        <w:t>月</w:t>
      </w:r>
      <w:r>
        <w:rPr>
          <w:rFonts w:hint="eastAsia"/>
          <w:sz w:val="18"/>
          <w:szCs w:val="18"/>
        </w:rPr>
        <w:t>3</w:t>
      </w:r>
      <w:r>
        <w:rPr>
          <w:rFonts w:hint="eastAsia"/>
          <w:sz w:val="18"/>
          <w:szCs w:val="18"/>
        </w:rPr>
        <w:t>日完成股权过户手续。</w:t>
      </w:r>
    </w:p>
    <w:p w:rsidR="00A067C6" w:rsidRDefault="005C4966">
      <w:pPr>
        <w:pStyle w:val="a6"/>
        <w:spacing w:before="0" w:beforeAutospacing="0" w:after="0" w:afterAutospacing="0"/>
        <w:ind w:firstLine="420"/>
        <w:jc w:val="both"/>
      </w:pPr>
      <w:r>
        <w:rPr>
          <w:rFonts w:hint="eastAsia"/>
          <w:sz w:val="18"/>
          <w:szCs w:val="18"/>
        </w:rPr>
        <w:t>本公司</w:t>
      </w:r>
      <w:r>
        <w:rPr>
          <w:rFonts w:hint="eastAsia"/>
          <w:sz w:val="18"/>
          <w:szCs w:val="18"/>
        </w:rPr>
        <w:t>2008</w:t>
      </w:r>
      <w:r>
        <w:rPr>
          <w:rFonts w:hint="eastAsia"/>
          <w:sz w:val="18"/>
          <w:szCs w:val="18"/>
        </w:rPr>
        <w:t>年</w:t>
      </w:r>
      <w:r>
        <w:rPr>
          <w:rFonts w:hint="eastAsia"/>
          <w:sz w:val="18"/>
          <w:szCs w:val="18"/>
        </w:rPr>
        <w:t>5</w:t>
      </w:r>
      <w:r>
        <w:rPr>
          <w:rFonts w:hint="eastAsia"/>
          <w:sz w:val="18"/>
          <w:szCs w:val="18"/>
        </w:rPr>
        <w:t>月</w:t>
      </w:r>
      <w:r>
        <w:rPr>
          <w:rFonts w:hint="eastAsia"/>
          <w:sz w:val="18"/>
          <w:szCs w:val="18"/>
        </w:rPr>
        <w:t>15</w:t>
      </w:r>
      <w:r>
        <w:rPr>
          <w:rFonts w:hint="eastAsia"/>
          <w:sz w:val="18"/>
          <w:szCs w:val="18"/>
        </w:rPr>
        <w:t>日与华孚控股、深圳市华人投资有限公司及朱翠云、宋江、顾振华、潘金平、齐昌玮、张小荷、项小岳、王斌签署了《非公开发行股份与资产购买协议书》，并经</w:t>
      </w:r>
      <w:r>
        <w:rPr>
          <w:rFonts w:hint="eastAsia"/>
          <w:sz w:val="18"/>
          <w:szCs w:val="18"/>
        </w:rPr>
        <w:t>2008</w:t>
      </w:r>
      <w:r>
        <w:rPr>
          <w:rFonts w:hint="eastAsia"/>
          <w:sz w:val="18"/>
          <w:szCs w:val="18"/>
        </w:rPr>
        <w:t>年第三届董事会第三次会议决议、</w:t>
      </w:r>
      <w:r>
        <w:rPr>
          <w:rFonts w:hint="eastAsia"/>
          <w:sz w:val="18"/>
          <w:szCs w:val="18"/>
        </w:rPr>
        <w:t>2008</w:t>
      </w:r>
      <w:r>
        <w:rPr>
          <w:rFonts w:hint="eastAsia"/>
          <w:sz w:val="18"/>
          <w:szCs w:val="18"/>
        </w:rPr>
        <w:t>年第二次临时股东大会决议通过，本公司以通过非公开发行</w:t>
      </w:r>
      <w:r>
        <w:rPr>
          <w:rFonts w:hint="eastAsia"/>
          <w:sz w:val="18"/>
          <w:szCs w:val="18"/>
        </w:rPr>
        <w:t>13,511.10</w:t>
      </w:r>
      <w:r>
        <w:rPr>
          <w:rFonts w:hint="eastAsia"/>
          <w:sz w:val="18"/>
          <w:szCs w:val="18"/>
        </w:rPr>
        <w:t>万股普通股为对价，认购华孚控股、深圳市华人投资有限公司及朱翠云</w:t>
      </w:r>
      <w:r>
        <w:rPr>
          <w:rFonts w:hint="eastAsia"/>
          <w:sz w:val="18"/>
          <w:szCs w:val="18"/>
        </w:rPr>
        <w:t>、宋江、顾振华、潘金平、齐昌玮、张小荷、项小岳、王斌八位自然人合计持有的深圳市华孚进出口有限公司</w:t>
      </w:r>
      <w:r>
        <w:rPr>
          <w:rFonts w:hint="eastAsia"/>
          <w:sz w:val="18"/>
          <w:szCs w:val="18"/>
        </w:rPr>
        <w:t>100%</w:t>
      </w:r>
      <w:r>
        <w:rPr>
          <w:rFonts w:hint="eastAsia"/>
          <w:sz w:val="18"/>
          <w:szCs w:val="18"/>
        </w:rPr>
        <w:t>股权；认购华孚控股持有的江西华孚色纺有限公司</w:t>
      </w:r>
      <w:r>
        <w:rPr>
          <w:rFonts w:hint="eastAsia"/>
          <w:sz w:val="18"/>
          <w:szCs w:val="18"/>
        </w:rPr>
        <w:t>40%</w:t>
      </w:r>
      <w:r>
        <w:rPr>
          <w:rFonts w:hint="eastAsia"/>
          <w:sz w:val="18"/>
          <w:szCs w:val="18"/>
        </w:rPr>
        <w:t>股权、持有的浙江缙云华孚纺织有限公司</w:t>
      </w:r>
      <w:r>
        <w:rPr>
          <w:rFonts w:hint="eastAsia"/>
          <w:sz w:val="18"/>
          <w:szCs w:val="18"/>
        </w:rPr>
        <w:t>29.70%</w:t>
      </w:r>
      <w:r>
        <w:rPr>
          <w:rFonts w:hint="eastAsia"/>
          <w:sz w:val="18"/>
          <w:szCs w:val="18"/>
        </w:rPr>
        <w:t>股权以及持有的浙江金棉纺织有限公司</w:t>
      </w:r>
      <w:r>
        <w:rPr>
          <w:rFonts w:hint="eastAsia"/>
          <w:sz w:val="18"/>
          <w:szCs w:val="18"/>
        </w:rPr>
        <w:t>37.50%</w:t>
      </w:r>
      <w:r>
        <w:rPr>
          <w:rFonts w:hint="eastAsia"/>
          <w:sz w:val="18"/>
          <w:szCs w:val="18"/>
        </w:rPr>
        <w:t>股权</w:t>
      </w:r>
      <w:r>
        <w:rPr>
          <w:rFonts w:hint="eastAsia"/>
          <w:sz w:val="18"/>
          <w:szCs w:val="18"/>
        </w:rPr>
        <w:t>(</w:t>
      </w:r>
      <w:r>
        <w:rPr>
          <w:rFonts w:hint="eastAsia"/>
          <w:sz w:val="18"/>
          <w:szCs w:val="18"/>
        </w:rPr>
        <w:t>以下简称“标的资产”</w:t>
      </w:r>
      <w:r>
        <w:rPr>
          <w:rFonts w:hint="eastAsia"/>
          <w:sz w:val="18"/>
          <w:szCs w:val="18"/>
        </w:rPr>
        <w:t>)</w:t>
      </w:r>
      <w:r>
        <w:rPr>
          <w:rFonts w:hint="eastAsia"/>
          <w:sz w:val="18"/>
          <w:szCs w:val="18"/>
        </w:rPr>
        <w:t>。</w:t>
      </w:r>
    </w:p>
    <w:p w:rsidR="00A067C6" w:rsidRDefault="005C4966">
      <w:pPr>
        <w:pStyle w:val="a6"/>
        <w:spacing w:before="0" w:beforeAutospacing="0" w:after="0" w:afterAutospacing="0"/>
        <w:ind w:firstLine="420"/>
        <w:jc w:val="both"/>
      </w:pPr>
      <w:r>
        <w:rPr>
          <w:rFonts w:hint="eastAsia"/>
          <w:sz w:val="18"/>
          <w:szCs w:val="18"/>
        </w:rPr>
        <w:t>2008</w:t>
      </w:r>
      <w:r>
        <w:rPr>
          <w:rFonts w:hint="eastAsia"/>
          <w:sz w:val="18"/>
          <w:szCs w:val="18"/>
        </w:rPr>
        <w:t>年</w:t>
      </w:r>
      <w:r>
        <w:rPr>
          <w:rFonts w:hint="eastAsia"/>
          <w:sz w:val="18"/>
          <w:szCs w:val="18"/>
        </w:rPr>
        <w:t>12</w:t>
      </w:r>
      <w:r>
        <w:rPr>
          <w:rFonts w:hint="eastAsia"/>
          <w:sz w:val="18"/>
          <w:szCs w:val="18"/>
        </w:rPr>
        <w:t>月</w:t>
      </w:r>
      <w:r>
        <w:rPr>
          <w:rFonts w:hint="eastAsia"/>
          <w:sz w:val="18"/>
          <w:szCs w:val="18"/>
        </w:rPr>
        <w:t>29</w:t>
      </w:r>
      <w:r>
        <w:rPr>
          <w:rFonts w:hint="eastAsia"/>
          <w:sz w:val="18"/>
          <w:szCs w:val="18"/>
        </w:rPr>
        <w:t>日，根据中国证券监督管理委员会上市公司并购重组审核委员会审核结果，本公司发行股份购买资产暨关联交易获得有条件通过。</w:t>
      </w:r>
    </w:p>
    <w:p w:rsidR="00A067C6" w:rsidRDefault="005C4966">
      <w:pPr>
        <w:pStyle w:val="a6"/>
        <w:spacing w:before="0" w:beforeAutospacing="0" w:after="0" w:afterAutospacing="0"/>
        <w:ind w:firstLine="420"/>
        <w:jc w:val="both"/>
      </w:pPr>
      <w:r>
        <w:rPr>
          <w:rFonts w:hint="eastAsia"/>
          <w:sz w:val="18"/>
          <w:szCs w:val="18"/>
        </w:rPr>
        <w:t>2008</w:t>
      </w:r>
      <w:r>
        <w:rPr>
          <w:rFonts w:hint="eastAsia"/>
          <w:sz w:val="18"/>
          <w:szCs w:val="18"/>
        </w:rPr>
        <w:t>年</w:t>
      </w:r>
      <w:r>
        <w:rPr>
          <w:rFonts w:hint="eastAsia"/>
          <w:sz w:val="18"/>
          <w:szCs w:val="18"/>
        </w:rPr>
        <w:t>12</w:t>
      </w:r>
      <w:r>
        <w:rPr>
          <w:rFonts w:hint="eastAsia"/>
          <w:sz w:val="18"/>
          <w:szCs w:val="18"/>
        </w:rPr>
        <w:t>月</w:t>
      </w:r>
      <w:r>
        <w:rPr>
          <w:rFonts w:hint="eastAsia"/>
          <w:sz w:val="18"/>
          <w:szCs w:val="18"/>
        </w:rPr>
        <w:t>31</w:t>
      </w:r>
      <w:r>
        <w:rPr>
          <w:rFonts w:hint="eastAsia"/>
          <w:sz w:val="18"/>
          <w:szCs w:val="18"/>
        </w:rPr>
        <w:t>日，本公司召开</w:t>
      </w:r>
      <w:r>
        <w:rPr>
          <w:rFonts w:hint="eastAsia"/>
          <w:sz w:val="18"/>
          <w:szCs w:val="18"/>
        </w:rPr>
        <w:t>2008</w:t>
      </w:r>
      <w:r>
        <w:rPr>
          <w:rFonts w:hint="eastAsia"/>
          <w:sz w:val="18"/>
          <w:szCs w:val="18"/>
        </w:rPr>
        <w:t>年第四次临时股东大会，决议通过《关于变更公司注册名称的</w:t>
      </w:r>
      <w:r>
        <w:rPr>
          <w:rFonts w:hint="eastAsia"/>
          <w:sz w:val="18"/>
          <w:szCs w:val="18"/>
        </w:rPr>
        <w:t>议案》，本公司注册名称拟由“安徽飞亚纺织发展股份有限公司”变更为“安徽华孚色纺股份有限公司”，并于</w:t>
      </w:r>
      <w:r>
        <w:rPr>
          <w:rFonts w:hint="eastAsia"/>
          <w:sz w:val="18"/>
          <w:szCs w:val="18"/>
        </w:rPr>
        <w:t>2009</w:t>
      </w:r>
      <w:r>
        <w:rPr>
          <w:rFonts w:hint="eastAsia"/>
          <w:sz w:val="18"/>
          <w:szCs w:val="18"/>
        </w:rPr>
        <w:t>年</w:t>
      </w:r>
      <w:r>
        <w:rPr>
          <w:rFonts w:hint="eastAsia"/>
          <w:sz w:val="18"/>
          <w:szCs w:val="18"/>
        </w:rPr>
        <w:t>1</w:t>
      </w:r>
      <w:r>
        <w:rPr>
          <w:rFonts w:hint="eastAsia"/>
          <w:sz w:val="18"/>
          <w:szCs w:val="18"/>
        </w:rPr>
        <w:t>月</w:t>
      </w:r>
      <w:r>
        <w:rPr>
          <w:rFonts w:hint="eastAsia"/>
          <w:sz w:val="18"/>
          <w:szCs w:val="18"/>
        </w:rPr>
        <w:t>5</w:t>
      </w:r>
      <w:r>
        <w:rPr>
          <w:rFonts w:hint="eastAsia"/>
          <w:sz w:val="18"/>
          <w:szCs w:val="18"/>
        </w:rPr>
        <w:t>日完成工商变更登记手续。</w:t>
      </w:r>
    </w:p>
    <w:p w:rsidR="00A067C6" w:rsidRDefault="005C4966">
      <w:pPr>
        <w:pStyle w:val="a6"/>
        <w:spacing w:before="0" w:beforeAutospacing="0" w:after="0" w:afterAutospacing="0"/>
        <w:ind w:firstLine="420"/>
        <w:jc w:val="both"/>
      </w:pPr>
      <w:r>
        <w:rPr>
          <w:rFonts w:hint="eastAsia"/>
          <w:sz w:val="18"/>
          <w:szCs w:val="18"/>
        </w:rPr>
        <w:t>2009</w:t>
      </w:r>
      <w:r>
        <w:rPr>
          <w:rFonts w:hint="eastAsia"/>
          <w:sz w:val="18"/>
          <w:szCs w:val="18"/>
        </w:rPr>
        <w:t>年</w:t>
      </w:r>
      <w:r>
        <w:rPr>
          <w:rFonts w:hint="eastAsia"/>
          <w:sz w:val="18"/>
          <w:szCs w:val="18"/>
        </w:rPr>
        <w:t>3</w:t>
      </w:r>
      <w:r>
        <w:rPr>
          <w:rFonts w:hint="eastAsia"/>
          <w:sz w:val="18"/>
          <w:szCs w:val="18"/>
        </w:rPr>
        <w:t>月</w:t>
      </w:r>
      <w:r>
        <w:rPr>
          <w:rFonts w:hint="eastAsia"/>
          <w:sz w:val="18"/>
          <w:szCs w:val="18"/>
        </w:rPr>
        <w:t>19</w:t>
      </w:r>
      <w:r>
        <w:rPr>
          <w:rFonts w:hint="eastAsia"/>
          <w:sz w:val="18"/>
          <w:szCs w:val="18"/>
        </w:rPr>
        <w:t>日，本公司召开</w:t>
      </w:r>
      <w:r>
        <w:rPr>
          <w:rFonts w:hint="eastAsia"/>
          <w:sz w:val="18"/>
          <w:szCs w:val="18"/>
        </w:rPr>
        <w:t>2008</w:t>
      </w:r>
      <w:r>
        <w:rPr>
          <w:rFonts w:hint="eastAsia"/>
          <w:sz w:val="18"/>
          <w:szCs w:val="18"/>
        </w:rPr>
        <w:t>年度股东大会，决议通过《关于变更公司注册名称的议案》，本公司注册名称拟由“安徽华孚色纺股份有限公司”变更为“华孚色纺股份有限公司”。</w:t>
      </w:r>
    </w:p>
    <w:p w:rsidR="00A067C6" w:rsidRDefault="005C4966">
      <w:pPr>
        <w:pStyle w:val="a6"/>
        <w:spacing w:before="0" w:beforeAutospacing="0" w:after="0" w:afterAutospacing="0"/>
        <w:ind w:firstLine="420"/>
        <w:jc w:val="both"/>
      </w:pPr>
      <w:r>
        <w:rPr>
          <w:rFonts w:hint="eastAsia"/>
          <w:sz w:val="18"/>
          <w:szCs w:val="18"/>
        </w:rPr>
        <w:t>本公司</w:t>
      </w:r>
      <w:r>
        <w:rPr>
          <w:rFonts w:hint="eastAsia"/>
          <w:sz w:val="18"/>
          <w:szCs w:val="18"/>
        </w:rPr>
        <w:t>2017</w:t>
      </w:r>
      <w:r>
        <w:rPr>
          <w:rFonts w:hint="eastAsia"/>
          <w:sz w:val="18"/>
          <w:szCs w:val="18"/>
        </w:rPr>
        <w:t>年</w:t>
      </w:r>
      <w:r>
        <w:rPr>
          <w:rFonts w:hint="eastAsia"/>
          <w:sz w:val="18"/>
          <w:szCs w:val="18"/>
        </w:rPr>
        <w:t>8</w:t>
      </w:r>
      <w:r>
        <w:rPr>
          <w:rFonts w:hint="eastAsia"/>
          <w:sz w:val="18"/>
          <w:szCs w:val="18"/>
        </w:rPr>
        <w:t>月</w:t>
      </w:r>
      <w:r>
        <w:rPr>
          <w:rFonts w:hint="eastAsia"/>
          <w:sz w:val="18"/>
          <w:szCs w:val="18"/>
        </w:rPr>
        <w:t>23</w:t>
      </w:r>
      <w:r>
        <w:rPr>
          <w:rFonts w:hint="eastAsia"/>
          <w:sz w:val="18"/>
          <w:szCs w:val="18"/>
        </w:rPr>
        <w:t>日召开第六届董事会第八次会议、</w:t>
      </w:r>
      <w:r>
        <w:rPr>
          <w:rFonts w:hint="eastAsia"/>
          <w:sz w:val="18"/>
          <w:szCs w:val="18"/>
        </w:rPr>
        <w:t>2017</w:t>
      </w:r>
      <w:r>
        <w:rPr>
          <w:rFonts w:hint="eastAsia"/>
          <w:sz w:val="18"/>
          <w:szCs w:val="18"/>
        </w:rPr>
        <w:t>年</w:t>
      </w:r>
      <w:r>
        <w:rPr>
          <w:rFonts w:hint="eastAsia"/>
          <w:sz w:val="18"/>
          <w:szCs w:val="18"/>
        </w:rPr>
        <w:t>9</w:t>
      </w:r>
      <w:r>
        <w:rPr>
          <w:rFonts w:hint="eastAsia"/>
          <w:sz w:val="18"/>
          <w:szCs w:val="18"/>
        </w:rPr>
        <w:t>月</w:t>
      </w:r>
      <w:r>
        <w:rPr>
          <w:rFonts w:hint="eastAsia"/>
          <w:sz w:val="18"/>
          <w:szCs w:val="18"/>
        </w:rPr>
        <w:t>12</w:t>
      </w:r>
      <w:r>
        <w:rPr>
          <w:rFonts w:hint="eastAsia"/>
          <w:sz w:val="18"/>
          <w:szCs w:val="18"/>
        </w:rPr>
        <w:t>日召开</w:t>
      </w:r>
      <w:r>
        <w:rPr>
          <w:rFonts w:hint="eastAsia"/>
          <w:sz w:val="18"/>
          <w:szCs w:val="18"/>
        </w:rPr>
        <w:t>2017</w:t>
      </w:r>
      <w:r>
        <w:rPr>
          <w:rFonts w:hint="eastAsia"/>
          <w:sz w:val="18"/>
          <w:szCs w:val="18"/>
        </w:rPr>
        <w:t>年第二次临时股东大会审议通过了《关于拟变更公司名称、证券简称及修订〈公司章程〉的议案》，公司名称由华孚色纺股份有限公司变更为华孚时尚股份有限公司，现持有统一社会信用代码为</w:t>
      </w:r>
      <w:r>
        <w:rPr>
          <w:rFonts w:hint="eastAsia"/>
          <w:sz w:val="18"/>
          <w:szCs w:val="18"/>
        </w:rPr>
        <w:t>9134060072553187XK</w:t>
      </w:r>
      <w:r>
        <w:rPr>
          <w:rFonts w:hint="eastAsia"/>
          <w:sz w:val="18"/>
          <w:szCs w:val="18"/>
        </w:rPr>
        <w:t>的营业执照。</w:t>
      </w:r>
    </w:p>
    <w:p w:rsidR="00A067C6" w:rsidRDefault="005C4966">
      <w:pPr>
        <w:pStyle w:val="a6"/>
        <w:spacing w:before="0" w:beforeAutospacing="0" w:after="0" w:afterAutospacing="0"/>
        <w:ind w:firstLine="420"/>
        <w:jc w:val="both"/>
      </w:pPr>
      <w:r>
        <w:rPr>
          <w:rFonts w:hint="eastAsia"/>
          <w:sz w:val="18"/>
          <w:szCs w:val="18"/>
        </w:rPr>
        <w:t>经过历年的派送红股、配售新股、转增股本及增发新股，截止</w:t>
      </w:r>
      <w:r>
        <w:rPr>
          <w:rFonts w:hint="eastAsia"/>
          <w:sz w:val="18"/>
          <w:szCs w:val="18"/>
        </w:rPr>
        <w:t>2022</w:t>
      </w:r>
      <w:r>
        <w:rPr>
          <w:rFonts w:hint="eastAsia"/>
          <w:sz w:val="18"/>
          <w:szCs w:val="18"/>
        </w:rPr>
        <w:t>年</w:t>
      </w:r>
      <w:r>
        <w:rPr>
          <w:rFonts w:hint="eastAsia"/>
          <w:sz w:val="18"/>
          <w:szCs w:val="18"/>
        </w:rPr>
        <w:t>12</w:t>
      </w:r>
      <w:r>
        <w:rPr>
          <w:rFonts w:hint="eastAsia"/>
          <w:sz w:val="18"/>
          <w:szCs w:val="18"/>
        </w:rPr>
        <w:t>月</w:t>
      </w:r>
      <w:r>
        <w:rPr>
          <w:rFonts w:hint="eastAsia"/>
          <w:sz w:val="18"/>
          <w:szCs w:val="18"/>
        </w:rPr>
        <w:t>31</w:t>
      </w:r>
      <w:r>
        <w:rPr>
          <w:rFonts w:hint="eastAsia"/>
          <w:sz w:val="18"/>
          <w:szCs w:val="18"/>
        </w:rPr>
        <w:t>日，本公司累计发行股本总数</w:t>
      </w:r>
      <w:r>
        <w:rPr>
          <w:rFonts w:hint="eastAsia"/>
          <w:sz w:val="18"/>
          <w:szCs w:val="18"/>
        </w:rPr>
        <w:t>170,068.1355</w:t>
      </w:r>
      <w:r>
        <w:rPr>
          <w:rFonts w:hint="eastAsia"/>
          <w:sz w:val="18"/>
          <w:szCs w:val="18"/>
        </w:rPr>
        <w:t>万股，注册资本为</w:t>
      </w:r>
      <w:r>
        <w:rPr>
          <w:rFonts w:hint="eastAsia"/>
          <w:sz w:val="18"/>
          <w:szCs w:val="18"/>
        </w:rPr>
        <w:t>170,068.1355</w:t>
      </w:r>
      <w:r>
        <w:rPr>
          <w:rFonts w:hint="eastAsia"/>
          <w:sz w:val="18"/>
          <w:szCs w:val="18"/>
        </w:rPr>
        <w:t>万元，注册地址：淮北经济开发区新区石山路</w:t>
      </w:r>
      <w:r>
        <w:rPr>
          <w:rFonts w:hint="eastAsia"/>
          <w:sz w:val="18"/>
          <w:szCs w:val="18"/>
        </w:rPr>
        <w:t>6</w:t>
      </w:r>
      <w:r>
        <w:rPr>
          <w:rFonts w:hint="eastAsia"/>
          <w:sz w:val="18"/>
          <w:szCs w:val="18"/>
        </w:rPr>
        <w:t>号，总部地址：广东省深圳市福田区市花路</w:t>
      </w:r>
      <w:r>
        <w:rPr>
          <w:rFonts w:hint="eastAsia"/>
          <w:sz w:val="18"/>
          <w:szCs w:val="18"/>
        </w:rPr>
        <w:t>5</w:t>
      </w:r>
      <w:r>
        <w:rPr>
          <w:rFonts w:hint="eastAsia"/>
          <w:sz w:val="18"/>
          <w:szCs w:val="18"/>
        </w:rPr>
        <w:t>号长富金茂大厦</w:t>
      </w:r>
      <w:r>
        <w:rPr>
          <w:rFonts w:hint="eastAsia"/>
          <w:sz w:val="18"/>
          <w:szCs w:val="18"/>
        </w:rPr>
        <w:t>59</w:t>
      </w:r>
      <w:r>
        <w:rPr>
          <w:rFonts w:hint="eastAsia"/>
          <w:sz w:val="18"/>
          <w:szCs w:val="18"/>
        </w:rPr>
        <w:t>楼，母公司为华孚控股有限公司，最终实际控制人为孙伟挺、陈玲芬。</w:t>
      </w:r>
    </w:p>
    <w:p w:rsidR="00A067C6" w:rsidRDefault="005C4966">
      <w:pPr>
        <w:pStyle w:val="a6"/>
        <w:spacing w:before="0" w:beforeAutospacing="0" w:after="0" w:afterAutospacing="0"/>
        <w:ind w:firstLine="450"/>
        <w:rPr>
          <w:rFonts w:ascii="Calibri" w:hAnsi="Calibri"/>
          <w:sz w:val="21"/>
          <w:szCs w:val="21"/>
        </w:rPr>
      </w:pPr>
      <w:r>
        <w:rPr>
          <w:rFonts w:ascii="Calibri" w:hAnsi="Calibri"/>
          <w:sz w:val="18"/>
          <w:szCs w:val="18"/>
        </w:rPr>
        <w:t>2</w:t>
      </w:r>
      <w:r>
        <w:rPr>
          <w:rFonts w:hint="eastAsia"/>
          <w:sz w:val="18"/>
          <w:szCs w:val="18"/>
        </w:rPr>
        <w:t>、公司业务性质和主要经营活动</w:t>
      </w:r>
    </w:p>
    <w:p w:rsidR="00A067C6" w:rsidRDefault="005C4966">
      <w:pPr>
        <w:pStyle w:val="a6"/>
        <w:spacing w:before="0" w:beforeAutospacing="0" w:after="0" w:afterAutospacing="0"/>
        <w:ind w:firstLineChars="200" w:firstLine="360"/>
        <w:rPr>
          <w:rFonts w:ascii="Calibri" w:hAnsi="Calibri"/>
          <w:sz w:val="21"/>
          <w:szCs w:val="21"/>
        </w:rPr>
      </w:pPr>
      <w:r>
        <w:rPr>
          <w:rFonts w:hint="eastAsia"/>
          <w:sz w:val="18"/>
          <w:szCs w:val="18"/>
        </w:rPr>
        <w:t>本公司属纺织行业，主要经营活动：纱线的研发、生产、销售；棉花的采购、加工、销售；袜制品设计、生产、销售等。</w:t>
      </w:r>
    </w:p>
    <w:p w:rsidR="00A067C6" w:rsidRDefault="005C4966">
      <w:pPr>
        <w:pStyle w:val="a6"/>
        <w:spacing w:before="0" w:beforeAutospacing="0" w:after="0" w:afterAutospacing="0"/>
        <w:ind w:left="359" w:firstLine="90"/>
        <w:rPr>
          <w:rFonts w:ascii="Calibri" w:hAnsi="Calibri"/>
          <w:sz w:val="21"/>
          <w:szCs w:val="21"/>
        </w:rPr>
      </w:pPr>
      <w:r>
        <w:rPr>
          <w:rFonts w:ascii="Calibri" w:hAnsi="Calibri"/>
          <w:sz w:val="18"/>
          <w:szCs w:val="18"/>
        </w:rPr>
        <w:t>3</w:t>
      </w:r>
      <w:r>
        <w:rPr>
          <w:rFonts w:hint="eastAsia"/>
          <w:sz w:val="18"/>
          <w:szCs w:val="18"/>
        </w:rPr>
        <w:t>、财务报表的批准报出</w:t>
      </w:r>
      <w:r>
        <w:rPr>
          <w:rFonts w:ascii="Calibri" w:hAnsi="Calibri"/>
          <w:sz w:val="18"/>
          <w:szCs w:val="18"/>
        </w:rPr>
        <w:t xml:space="preserve"> </w:t>
      </w:r>
    </w:p>
    <w:p w:rsidR="00A067C6" w:rsidRDefault="005C4966">
      <w:pPr>
        <w:pStyle w:val="a6"/>
        <w:spacing w:before="0" w:beforeAutospacing="0" w:after="0" w:afterAutospacing="0"/>
        <w:ind w:firstLine="450"/>
        <w:jc w:val="both"/>
      </w:pPr>
      <w:r>
        <w:rPr>
          <w:rFonts w:hint="eastAsia"/>
          <w:sz w:val="18"/>
          <w:szCs w:val="18"/>
        </w:rPr>
        <w:t>本财务报表业经公司董事会于</w:t>
      </w:r>
      <w:r>
        <w:rPr>
          <w:rFonts w:hint="eastAsia"/>
          <w:sz w:val="18"/>
          <w:szCs w:val="18"/>
        </w:rPr>
        <w:t>2023</w:t>
      </w:r>
      <w:r>
        <w:rPr>
          <w:rFonts w:hint="eastAsia"/>
          <w:sz w:val="18"/>
          <w:szCs w:val="18"/>
        </w:rPr>
        <w:t>年</w:t>
      </w:r>
      <w:r>
        <w:rPr>
          <w:rFonts w:hint="eastAsia"/>
          <w:sz w:val="18"/>
          <w:szCs w:val="18"/>
        </w:rPr>
        <w:t>8</w:t>
      </w:r>
      <w:r>
        <w:rPr>
          <w:rFonts w:hint="eastAsia"/>
          <w:sz w:val="18"/>
          <w:szCs w:val="18"/>
        </w:rPr>
        <w:t>月</w:t>
      </w:r>
      <w:r>
        <w:rPr>
          <w:rFonts w:hint="eastAsia"/>
          <w:sz w:val="18"/>
          <w:szCs w:val="18"/>
        </w:rPr>
        <w:t>30</w:t>
      </w:r>
      <w:r>
        <w:rPr>
          <w:rFonts w:hint="eastAsia"/>
          <w:sz w:val="18"/>
          <w:szCs w:val="18"/>
        </w:rPr>
        <w:t>日批准报出。</w:t>
      </w:r>
    </w:p>
    <w:p w:rsidR="00A067C6" w:rsidRDefault="005C4966">
      <w:pPr>
        <w:pStyle w:val="a6"/>
        <w:rPr>
          <w:sz w:val="18"/>
          <w:szCs w:val="18"/>
        </w:rPr>
      </w:pPr>
      <w:r>
        <w:rPr>
          <w:rFonts w:hint="eastAsia"/>
          <w:sz w:val="18"/>
          <w:szCs w:val="18"/>
        </w:rPr>
        <w:t>本期纳入合并财务报表范围的子公司共</w:t>
      </w:r>
      <w:r>
        <w:rPr>
          <w:rFonts w:hint="eastAsia"/>
          <w:sz w:val="18"/>
          <w:szCs w:val="18"/>
        </w:rPr>
        <w:t>96</w:t>
      </w:r>
      <w:r>
        <w:rPr>
          <w:rFonts w:hint="eastAsia"/>
          <w:sz w:val="18"/>
          <w:szCs w:val="18"/>
        </w:rPr>
        <w:t>户，具体包括：</w:t>
      </w:r>
    </w:p>
    <w:tbl>
      <w:tblPr>
        <w:tblW w:w="9508" w:type="dxa"/>
        <w:tblCellMar>
          <w:left w:w="0" w:type="dxa"/>
          <w:right w:w="0" w:type="dxa"/>
        </w:tblCellMar>
        <w:tblLook w:val="04A0" w:firstRow="1" w:lastRow="0" w:firstColumn="1" w:lastColumn="0" w:noHBand="0" w:noVBand="1"/>
      </w:tblPr>
      <w:tblGrid>
        <w:gridCol w:w="3979"/>
        <w:gridCol w:w="1560"/>
        <w:gridCol w:w="1134"/>
        <w:gridCol w:w="1417"/>
        <w:gridCol w:w="1418"/>
      </w:tblGrid>
      <w:tr w:rsidR="00A067C6">
        <w:trPr>
          <w:trHeight w:val="20"/>
        </w:trPr>
        <w:tc>
          <w:tcPr>
            <w:tcW w:w="3979" w:type="dxa"/>
            <w:tcBorders>
              <w:top w:val="single" w:sz="8" w:space="0" w:color="000000"/>
              <w:left w:val="single" w:sz="8" w:space="0" w:color="000000"/>
              <w:bottom w:val="single" w:sz="8" w:space="0" w:color="000000"/>
              <w:right w:val="single" w:sz="8" w:space="0" w:color="000000"/>
            </w:tcBorders>
            <w:vAlign w:val="center"/>
          </w:tcPr>
          <w:p w:rsidR="00A067C6" w:rsidRDefault="005C4966">
            <w:pPr>
              <w:jc w:val="center"/>
              <w:rPr>
                <w:rFonts w:ascii="宋体" w:eastAsia="宋体" w:hAnsi="宋体" w:cs="宋体"/>
                <w:sz w:val="18"/>
                <w:szCs w:val="18"/>
              </w:rPr>
            </w:pPr>
            <w:r>
              <w:rPr>
                <w:rFonts w:hint="eastAsia"/>
                <w:sz w:val="18"/>
                <w:szCs w:val="18"/>
              </w:rPr>
              <w:t>子公司名称</w:t>
            </w:r>
          </w:p>
        </w:tc>
        <w:tc>
          <w:tcPr>
            <w:tcW w:w="1560" w:type="dxa"/>
            <w:tcBorders>
              <w:top w:val="single" w:sz="8" w:space="0" w:color="auto"/>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子公司类型</w:t>
            </w:r>
          </w:p>
        </w:tc>
        <w:tc>
          <w:tcPr>
            <w:tcW w:w="1134" w:type="dxa"/>
            <w:tcBorders>
              <w:top w:val="single" w:sz="8" w:space="0" w:color="auto"/>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级次</w:t>
            </w:r>
          </w:p>
        </w:tc>
        <w:tc>
          <w:tcPr>
            <w:tcW w:w="1417" w:type="dxa"/>
            <w:tcBorders>
              <w:top w:val="single" w:sz="8" w:space="0" w:color="auto"/>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持股比例（</w:t>
            </w:r>
            <w:r>
              <w:rPr>
                <w:rFonts w:ascii="Calibri" w:hAnsi="Calibri"/>
                <w:sz w:val="18"/>
                <w:szCs w:val="18"/>
              </w:rPr>
              <w:t>%</w:t>
            </w:r>
            <w:r>
              <w:rPr>
                <w:rFonts w:hint="eastAsia"/>
                <w:sz w:val="18"/>
                <w:szCs w:val="18"/>
              </w:rPr>
              <w:t>）</w:t>
            </w:r>
          </w:p>
        </w:tc>
        <w:tc>
          <w:tcPr>
            <w:tcW w:w="1418" w:type="dxa"/>
            <w:tcBorders>
              <w:top w:val="single" w:sz="8" w:space="0" w:color="auto"/>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表决权比例（</w:t>
            </w:r>
            <w:r>
              <w:rPr>
                <w:rFonts w:ascii="Calibri" w:hAnsi="Calibri"/>
                <w:sz w:val="18"/>
                <w:szCs w:val="18"/>
              </w:rPr>
              <w:t>%</w:t>
            </w:r>
            <w:r>
              <w:rPr>
                <w:rFonts w:hint="eastAsia"/>
                <w:sz w:val="18"/>
                <w:szCs w:val="18"/>
              </w:rPr>
              <w:t>）</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深圳市华孚进出口有限公司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一级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香港华孚有限公司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二级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顺道（越南）实业独资有限公司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香港天成贸易有限公司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越南隆安英鸿投资股份有限公司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80.00%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80.00%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新加坡耀佳国际贸易有限公司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香港华孚贸易有限公司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宁海华孚纺织有限公司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浙江华孚色纺有限公司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余姚华孚纺织有限公司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四级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浙江社标纤维有限公司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四级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阿克苏标信纤维有限公司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五级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石河子标配纤维有限公司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五级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浙江昇孚贸易有限公司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四级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绍兴市上虞华孚物流有限公司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四级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宁波华孚东浩实业有限公司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四级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九江中浩纺织有限公司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五级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浙江缙云华孚纺织有限公司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五级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浙江金华华孚纺织有限公司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五级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平湖市华孚金瓶纺织有限公司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四级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上海华孚色纺贸易有限公司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二级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阿克苏华孚色纺有限公司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二级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新疆华孚色纺集团有限公司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二级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新疆六孚纺织工业园有限公司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新疆天宏新八棉产业有限公司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阿克苏华孚新能源有限公司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新疆华孚纺织有限公司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阿瓦提华孚纺织有限公司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四级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新疆华孚棉业集团有限公司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一级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新疆华孚恒丰棉业有限公司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二级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库车恒丰棉业有限责任公司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库车纵横棉业有限责任公司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四级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沙雅银花棉业有限责任公司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四级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胡杨河华孚宏盛棉业有限公司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二级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浙江聚丰贸易有限公司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二级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石河子华孚宏盛棉业有限公司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二级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石河子市华孚宏丰棉业有限公司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浙江维新贸易有限公司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二级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浙江恒孚贸易有限公司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二级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新疆棉花交易市场有限责任公司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二级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70.40%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70.40%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阿克苏银星物流有限公司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二级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40.80%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40.80%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深圳华孚网链投资有限公司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一级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淮北华孚供应链管理有限公司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二级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浙江服人网络科技有限公司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二级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阿大纺织股份有限公司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二级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浙江阿大贸易有限公司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上海清澄时尚生活用品有限公司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二级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66.70%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66.70%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江苏清澄家生活用品有限公司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浙江鲲驰互联科技有限公司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二级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64.95%</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64.95%</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新疆阿大数字科技产业园有限公司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浙江昊载科技有限公司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诸暨中昊投资管理有限公司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诸暨市承影电子商务有限公司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四级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诸暨市渊虹电子商务有限公司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四级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杭州名鲲科技有限公司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五级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80.00%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80.00%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诸暨市卡拉美拉科技有限公司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四级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78.35%</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78.35%</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诸暨市龙渊电子商务有限公司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五级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诸暨市湛泸电子商务有限公司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五级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诸暨市赤霄电子商务有限公司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五级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诸暨市新亭电子商务有限公司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五级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诸暨市纯钧电子商务有限公司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五级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诸暨市雪霁电子商务有限公司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五级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诸暨市胜跃纺织有限公司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五级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杭州一酷服饰有限公司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五级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90.00%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90.00%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浙江昊驰信息咨询有限公司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浙江昊创贸易有限公司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浙江广孚色纺有限公司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四级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诸暨市鲲驰投资管理合伙企业（有限合伙）</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99.90%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99.90%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浙江易孚贸易有限公司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70.00%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70.00%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浙江博忆纺织科技有限公司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51.00%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51.00%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乌什县阿大纺织有限公司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四级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安徽博忆纺织科技有限公司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四级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浙江双琪进出口有限公司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四级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浙江诸暨科宁投资有限公司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四级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新疆科宁针纺科技有限公司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五级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诸暨广昊纺织有限公司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六级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新疆天孚棉花供应链股份有限公司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二级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51.00%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51.00%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新疆棉花产业（集团）叶城棉业有限责任公司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新疆棉花产业集团泽普棉业有限公司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新疆棉花产业集团岳普湖棉业有限公司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新疆棉花产业集团伽师棉业有限公司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浙江菁英电商管理服务有限公司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二级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51.00%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51.00%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金华市菁英职业技能培训学校有限公司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金华市菁英物业发展有限公司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浙江菁英创业服务有限公司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70.00%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70.00%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金华市菁英网红品牌管理有限公司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四级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浙江铭孚针纺有限公司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二级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51.00%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51.00%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深圳市天计数智科技有限公司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二级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51.00%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51.00%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淮北市华孚纺织有限公司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一级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高可续（上海）棉花有限公司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一级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新疆天路智能制造有限公司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一级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奎屯锦孚纺织有限公司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一级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67.00%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67.00%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浙江果实设计有限公司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四级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浙江其实科技有限公司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浙江艾思其品牌管理有限公司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四级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r w:rsidR="00A067C6">
        <w:trPr>
          <w:trHeight w:val="20"/>
        </w:trPr>
        <w:tc>
          <w:tcPr>
            <w:tcW w:w="3979" w:type="dxa"/>
            <w:tcBorders>
              <w:top w:val="nil"/>
              <w:left w:val="single" w:sz="8" w:space="0" w:color="auto"/>
              <w:bottom w:val="single" w:sz="8" w:space="0" w:color="auto"/>
              <w:right w:val="single" w:sz="8" w:space="0" w:color="auto"/>
            </w:tcBorders>
            <w:vAlign w:val="center"/>
          </w:tcPr>
          <w:p w:rsidR="00A067C6" w:rsidRDefault="005C4966">
            <w:pPr>
              <w:rPr>
                <w:rFonts w:ascii="宋体" w:eastAsia="宋体" w:hAnsi="宋体" w:cs="宋体"/>
                <w:sz w:val="18"/>
                <w:szCs w:val="18"/>
              </w:rPr>
            </w:pPr>
            <w:r>
              <w:rPr>
                <w:rFonts w:hint="eastAsia"/>
                <w:sz w:val="18"/>
                <w:szCs w:val="18"/>
              </w:rPr>
              <w:t>浙江达米安品牌管理有限公司</w:t>
            </w:r>
          </w:p>
        </w:tc>
        <w:tc>
          <w:tcPr>
            <w:tcW w:w="156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四级</w:t>
            </w:r>
          </w:p>
        </w:tc>
        <w:tc>
          <w:tcPr>
            <w:tcW w:w="1417"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tcPr>
          <w:p w:rsidR="00A067C6" w:rsidRDefault="005C4966">
            <w:pPr>
              <w:jc w:val="center"/>
              <w:rPr>
                <w:rFonts w:ascii="Calibri" w:eastAsia="宋体" w:hAnsi="Calibri" w:cs="宋体"/>
                <w:sz w:val="18"/>
                <w:szCs w:val="18"/>
              </w:rPr>
            </w:pPr>
            <w:r>
              <w:rPr>
                <w:rFonts w:ascii="Calibri" w:hAnsi="Calibri"/>
                <w:sz w:val="18"/>
                <w:szCs w:val="18"/>
              </w:rPr>
              <w:t>100.00%</w:t>
            </w:r>
          </w:p>
        </w:tc>
      </w:tr>
    </w:tbl>
    <w:p w:rsidR="00A067C6" w:rsidRDefault="005C4966">
      <w:pPr>
        <w:pStyle w:val="a6"/>
        <w:spacing w:before="0" w:beforeAutospacing="0" w:after="0" w:afterAutospacing="0"/>
        <w:rPr>
          <w:sz w:val="18"/>
          <w:szCs w:val="18"/>
        </w:rPr>
      </w:pPr>
      <w:r>
        <w:rPr>
          <w:rFonts w:hint="eastAsia"/>
          <w:sz w:val="18"/>
          <w:szCs w:val="18"/>
        </w:rPr>
        <w:t>详见本附注七、在其他主体中的权益。本期纳入合并财务报表范围的主体较上期相比，增加</w:t>
      </w:r>
      <w:r>
        <w:rPr>
          <w:rFonts w:hint="eastAsia"/>
          <w:sz w:val="18"/>
          <w:szCs w:val="18"/>
        </w:rPr>
        <w:t>4</w:t>
      </w:r>
      <w:r>
        <w:rPr>
          <w:rFonts w:hint="eastAsia"/>
          <w:sz w:val="18"/>
          <w:szCs w:val="18"/>
        </w:rPr>
        <w:t>户，减少</w:t>
      </w:r>
      <w:r>
        <w:rPr>
          <w:rFonts w:hint="eastAsia"/>
          <w:sz w:val="18"/>
          <w:szCs w:val="18"/>
        </w:rPr>
        <w:t>1</w:t>
      </w:r>
      <w:r>
        <w:rPr>
          <w:rFonts w:hint="eastAsia"/>
          <w:sz w:val="18"/>
          <w:szCs w:val="18"/>
        </w:rPr>
        <w:t>户，合并范围变更主体的具体信息详见附注六、合并范围的变更。</w:t>
      </w:r>
    </w:p>
    <w:p w:rsidR="00A067C6" w:rsidRDefault="005C4966">
      <w:pPr>
        <w:pStyle w:val="2"/>
        <w:spacing w:before="300" w:after="300" w:line="320" w:lineRule="exact"/>
        <w:rPr>
          <w:rFonts w:ascii="宋体" w:eastAsia="宋体" w:hAnsi="宋体" w:cs="宋体"/>
          <w:b/>
          <w:bCs/>
          <w:sz w:val="24"/>
          <w:szCs w:val="24"/>
        </w:rPr>
      </w:pPr>
      <w:bookmarkStart w:id="117" w:name="_Toc989005"/>
      <w:r>
        <w:rPr>
          <w:rFonts w:ascii="宋体" w:eastAsia="宋体" w:hAnsi="宋体" w:cs="宋体"/>
          <w:b/>
          <w:bCs/>
          <w:sz w:val="24"/>
          <w:szCs w:val="24"/>
        </w:rPr>
        <w:t>四、财务报表的编制基础</w:t>
      </w:r>
      <w:bookmarkEnd w:id="117"/>
    </w:p>
    <w:p w:rsidR="00A067C6" w:rsidRDefault="005C4966">
      <w:pPr>
        <w:pStyle w:val="3"/>
        <w:spacing w:line="280" w:lineRule="exact"/>
        <w:jc w:val="left"/>
        <w:rPr>
          <w:rFonts w:ascii="宋体" w:hAnsi="宋体" w:cs="宋体"/>
          <w:b/>
          <w:bCs/>
        </w:rPr>
      </w:pPr>
      <w:bookmarkStart w:id="118" w:name="_Toc989006"/>
      <w:r>
        <w:rPr>
          <w:rFonts w:ascii="宋体" w:hAnsi="宋体" w:cs="宋体"/>
          <w:b/>
          <w:bCs/>
        </w:rPr>
        <w:t>1</w:t>
      </w:r>
      <w:r>
        <w:rPr>
          <w:rFonts w:ascii="宋体" w:hAnsi="宋体" w:cs="宋体"/>
          <w:b/>
          <w:bCs/>
        </w:rPr>
        <w:t>、编制基础</w:t>
      </w:r>
      <w:bookmarkEnd w:id="118"/>
    </w:p>
    <w:p w:rsidR="00A067C6" w:rsidRDefault="005C4966">
      <w:pPr>
        <w:pStyle w:val="a6"/>
        <w:spacing w:before="0" w:beforeAutospacing="0" w:after="0" w:afterAutospacing="0"/>
        <w:ind w:firstLine="420"/>
        <w:jc w:val="both"/>
      </w:pPr>
      <w:r>
        <w:rPr>
          <w:rFonts w:hint="eastAsia"/>
          <w:sz w:val="18"/>
          <w:szCs w:val="18"/>
        </w:rPr>
        <w:t>本公司根据实际发生的交易和事项，按照财政部颁布的《企业会计准则——基本准则》和具体企业会计准则、企业会计准则应用指南、企业会计准则解释及其他相关规定（以下合称“企业会计准则”）进行确认和计量，在此基础上，结合中国证券监督管理委员会《公开发行证券的公司信息披露编报规则第</w:t>
      </w:r>
      <w:r>
        <w:rPr>
          <w:rFonts w:hint="eastAsia"/>
          <w:sz w:val="18"/>
          <w:szCs w:val="18"/>
        </w:rPr>
        <w:t>15</w:t>
      </w:r>
      <w:r>
        <w:rPr>
          <w:rFonts w:hint="eastAsia"/>
          <w:sz w:val="18"/>
          <w:szCs w:val="18"/>
        </w:rPr>
        <w:t>号——财务报告的一般规定》（</w:t>
      </w:r>
      <w:r>
        <w:rPr>
          <w:rFonts w:hint="eastAsia"/>
          <w:sz w:val="18"/>
          <w:szCs w:val="18"/>
        </w:rPr>
        <w:t>2014</w:t>
      </w:r>
      <w:r>
        <w:rPr>
          <w:rFonts w:hint="eastAsia"/>
          <w:sz w:val="18"/>
          <w:szCs w:val="18"/>
        </w:rPr>
        <w:t>年修订）的规定，编制财务报表。</w:t>
      </w:r>
    </w:p>
    <w:p w:rsidR="00A067C6" w:rsidRDefault="005C4966">
      <w:pPr>
        <w:pStyle w:val="3"/>
        <w:spacing w:line="280" w:lineRule="exact"/>
        <w:jc w:val="left"/>
        <w:rPr>
          <w:rFonts w:ascii="宋体" w:hAnsi="宋体" w:cs="宋体"/>
          <w:b/>
          <w:bCs/>
        </w:rPr>
      </w:pPr>
      <w:bookmarkStart w:id="119" w:name="_Toc989007"/>
      <w:r>
        <w:rPr>
          <w:rFonts w:ascii="宋体" w:hAnsi="宋体" w:cs="宋体"/>
          <w:b/>
          <w:bCs/>
        </w:rPr>
        <w:t>2</w:t>
      </w:r>
      <w:r>
        <w:rPr>
          <w:rFonts w:ascii="宋体" w:hAnsi="宋体" w:cs="宋体"/>
          <w:b/>
          <w:bCs/>
        </w:rPr>
        <w:t>、持续经营</w:t>
      </w:r>
      <w:bookmarkEnd w:id="119"/>
    </w:p>
    <w:p w:rsidR="00A067C6" w:rsidRDefault="005C4966">
      <w:pPr>
        <w:pStyle w:val="a6"/>
        <w:spacing w:before="0" w:beforeAutospacing="0" w:after="0" w:afterAutospacing="0"/>
        <w:ind w:firstLineChars="200" w:firstLine="360"/>
        <w:rPr>
          <w:sz w:val="18"/>
          <w:szCs w:val="18"/>
        </w:rPr>
      </w:pPr>
      <w:r>
        <w:rPr>
          <w:rFonts w:hint="eastAsia"/>
          <w:sz w:val="18"/>
          <w:szCs w:val="18"/>
        </w:rPr>
        <w:t>本公司对报告期末起</w:t>
      </w:r>
      <w:r>
        <w:rPr>
          <w:rFonts w:ascii="Calibri" w:hAnsi="Calibri"/>
          <w:sz w:val="18"/>
          <w:szCs w:val="18"/>
        </w:rPr>
        <w:t>12</w:t>
      </w:r>
      <w:r>
        <w:rPr>
          <w:rFonts w:hint="eastAsia"/>
          <w:sz w:val="18"/>
          <w:szCs w:val="18"/>
        </w:rPr>
        <w:t>个月的持续经营能力进行了评价，未发现对持续经营能力产生重大怀疑的事项或情况。因此，本财务报表系在持续经营假设的基础上编制。</w:t>
      </w:r>
    </w:p>
    <w:p w:rsidR="00A067C6" w:rsidRDefault="005C4966">
      <w:pPr>
        <w:pStyle w:val="2"/>
        <w:spacing w:before="300" w:after="300" w:line="320" w:lineRule="exact"/>
        <w:rPr>
          <w:rFonts w:ascii="宋体" w:eastAsia="宋体" w:hAnsi="宋体" w:cs="宋体"/>
          <w:b/>
          <w:bCs/>
          <w:sz w:val="24"/>
          <w:szCs w:val="24"/>
        </w:rPr>
      </w:pPr>
      <w:bookmarkStart w:id="120" w:name="_Toc989008"/>
      <w:r>
        <w:rPr>
          <w:rFonts w:ascii="宋体" w:eastAsia="宋体" w:hAnsi="宋体" w:cs="宋体"/>
          <w:b/>
          <w:bCs/>
          <w:sz w:val="24"/>
          <w:szCs w:val="24"/>
        </w:rPr>
        <w:t>五、重要会计政策及会计估计</w:t>
      </w:r>
      <w:bookmarkEnd w:id="120"/>
    </w:p>
    <w:p w:rsidR="00A067C6" w:rsidRDefault="005C4966">
      <w:pPr>
        <w:spacing w:before="100" w:after="100" w:line="240" w:lineRule="exact"/>
        <w:ind w:firstLineChars="200" w:firstLine="360"/>
        <w:rPr>
          <w:rFonts w:ascii="宋体" w:eastAsia="宋体" w:hAnsi="宋体" w:cs="宋体"/>
          <w:sz w:val="18"/>
          <w:szCs w:val="18"/>
        </w:rPr>
      </w:pPr>
      <w:r>
        <w:rPr>
          <w:rFonts w:ascii="宋体" w:eastAsia="宋体" w:hAnsi="宋体" w:cs="宋体"/>
          <w:sz w:val="18"/>
          <w:szCs w:val="18"/>
        </w:rPr>
        <w:t>具体会计政策和会计估计提示：</w:t>
      </w:r>
      <w:r>
        <w:rPr>
          <w:rFonts w:hint="eastAsia"/>
          <w:sz w:val="18"/>
          <w:szCs w:val="18"/>
        </w:rPr>
        <w:t>无变更。</w:t>
      </w:r>
    </w:p>
    <w:p w:rsidR="00A067C6" w:rsidRDefault="005C4966">
      <w:pPr>
        <w:pStyle w:val="3"/>
        <w:spacing w:line="280" w:lineRule="exact"/>
        <w:jc w:val="left"/>
        <w:rPr>
          <w:rFonts w:ascii="宋体" w:hAnsi="宋体" w:cs="宋体"/>
          <w:b/>
          <w:bCs/>
        </w:rPr>
      </w:pPr>
      <w:bookmarkStart w:id="121" w:name="_Toc989009"/>
      <w:r>
        <w:rPr>
          <w:rFonts w:ascii="宋体" w:hAnsi="宋体" w:cs="宋体"/>
          <w:b/>
          <w:bCs/>
        </w:rPr>
        <w:t>1</w:t>
      </w:r>
      <w:r>
        <w:rPr>
          <w:rFonts w:ascii="宋体" w:hAnsi="宋体" w:cs="宋体"/>
          <w:b/>
          <w:bCs/>
        </w:rPr>
        <w:t>、遵循企业会计准则的声明</w:t>
      </w:r>
      <w:bookmarkEnd w:id="121"/>
    </w:p>
    <w:p w:rsidR="00A067C6" w:rsidRDefault="005C4966">
      <w:pPr>
        <w:pStyle w:val="a6"/>
        <w:spacing w:before="0" w:beforeAutospacing="0" w:after="0" w:afterAutospacing="0"/>
        <w:ind w:firstLineChars="200" w:firstLine="360"/>
        <w:jc w:val="both"/>
      </w:pPr>
      <w:r>
        <w:rPr>
          <w:rFonts w:hint="eastAsia"/>
          <w:sz w:val="18"/>
          <w:szCs w:val="18"/>
        </w:rPr>
        <w:t>本公司所编制的财务报表符合企业会计准则的要求，真实、完整地反映了报告期公司的财务状况、经营成果、现金流量等有关信息。</w:t>
      </w:r>
    </w:p>
    <w:p w:rsidR="00A067C6" w:rsidRDefault="005C4966">
      <w:pPr>
        <w:pStyle w:val="3"/>
        <w:spacing w:line="280" w:lineRule="exact"/>
        <w:jc w:val="left"/>
        <w:rPr>
          <w:rFonts w:ascii="宋体" w:hAnsi="宋体" w:cs="宋体"/>
          <w:b/>
          <w:bCs/>
        </w:rPr>
      </w:pPr>
      <w:bookmarkStart w:id="122" w:name="_Toc989010"/>
      <w:r>
        <w:rPr>
          <w:rFonts w:ascii="宋体" w:hAnsi="宋体" w:cs="宋体"/>
          <w:b/>
          <w:bCs/>
        </w:rPr>
        <w:t>2</w:t>
      </w:r>
      <w:r>
        <w:rPr>
          <w:rFonts w:ascii="宋体" w:hAnsi="宋体" w:cs="宋体"/>
          <w:b/>
          <w:bCs/>
        </w:rPr>
        <w:t>、会计期间</w:t>
      </w:r>
      <w:bookmarkEnd w:id="122"/>
    </w:p>
    <w:p w:rsidR="00A067C6" w:rsidRDefault="005C4966">
      <w:pPr>
        <w:pStyle w:val="a6"/>
        <w:spacing w:before="0" w:beforeAutospacing="0" w:after="0" w:afterAutospacing="0"/>
        <w:ind w:firstLine="420"/>
        <w:jc w:val="both"/>
      </w:pPr>
      <w:r>
        <w:rPr>
          <w:rFonts w:hint="eastAsia"/>
          <w:sz w:val="18"/>
          <w:szCs w:val="18"/>
        </w:rPr>
        <w:t>自公历</w:t>
      </w:r>
      <w:r>
        <w:rPr>
          <w:rFonts w:hint="eastAsia"/>
          <w:sz w:val="18"/>
          <w:szCs w:val="18"/>
        </w:rPr>
        <w:t>1</w:t>
      </w:r>
      <w:r>
        <w:rPr>
          <w:rFonts w:hint="eastAsia"/>
          <w:sz w:val="18"/>
          <w:szCs w:val="18"/>
        </w:rPr>
        <w:t>月</w:t>
      </w:r>
      <w:r>
        <w:rPr>
          <w:rFonts w:hint="eastAsia"/>
          <w:sz w:val="18"/>
          <w:szCs w:val="18"/>
        </w:rPr>
        <w:t>1</w:t>
      </w:r>
      <w:r>
        <w:rPr>
          <w:rFonts w:hint="eastAsia"/>
          <w:sz w:val="18"/>
          <w:szCs w:val="18"/>
        </w:rPr>
        <w:t>日至</w:t>
      </w:r>
      <w:r>
        <w:rPr>
          <w:rFonts w:hint="eastAsia"/>
          <w:sz w:val="18"/>
          <w:szCs w:val="18"/>
        </w:rPr>
        <w:t>12</w:t>
      </w:r>
      <w:r>
        <w:rPr>
          <w:rFonts w:hint="eastAsia"/>
          <w:sz w:val="18"/>
          <w:szCs w:val="18"/>
        </w:rPr>
        <w:t>月</w:t>
      </w:r>
      <w:r>
        <w:rPr>
          <w:rFonts w:hint="eastAsia"/>
          <w:sz w:val="18"/>
          <w:szCs w:val="18"/>
        </w:rPr>
        <w:t>31</w:t>
      </w:r>
      <w:r>
        <w:rPr>
          <w:rFonts w:hint="eastAsia"/>
          <w:sz w:val="18"/>
          <w:szCs w:val="18"/>
        </w:rPr>
        <w:t>日止为一个会计年度。</w:t>
      </w:r>
    </w:p>
    <w:p w:rsidR="00A067C6" w:rsidRDefault="005C4966">
      <w:pPr>
        <w:pStyle w:val="3"/>
        <w:spacing w:line="280" w:lineRule="exact"/>
        <w:jc w:val="left"/>
        <w:rPr>
          <w:rFonts w:ascii="宋体" w:hAnsi="宋体" w:cs="宋体"/>
          <w:b/>
          <w:bCs/>
        </w:rPr>
      </w:pPr>
      <w:bookmarkStart w:id="123" w:name="_Toc989011"/>
      <w:r>
        <w:rPr>
          <w:rFonts w:ascii="宋体" w:hAnsi="宋体" w:cs="宋体"/>
          <w:b/>
          <w:bCs/>
        </w:rPr>
        <w:t>3</w:t>
      </w:r>
      <w:r>
        <w:rPr>
          <w:rFonts w:ascii="宋体" w:hAnsi="宋体" w:cs="宋体"/>
          <w:b/>
          <w:bCs/>
        </w:rPr>
        <w:t>、营业周期</w:t>
      </w:r>
      <w:bookmarkEnd w:id="123"/>
    </w:p>
    <w:p w:rsidR="00A067C6" w:rsidRDefault="005C4966">
      <w:pPr>
        <w:pStyle w:val="a6"/>
        <w:rPr>
          <w:rFonts w:ascii="Times New Roman" w:hAnsi="Times New Roman" w:cs="Times New Roman"/>
        </w:rPr>
      </w:pPr>
      <w:r>
        <w:rPr>
          <w:rFonts w:cs="Times New Roman" w:hint="eastAsia"/>
          <w:sz w:val="18"/>
          <w:szCs w:val="18"/>
        </w:rPr>
        <w:t>   </w:t>
      </w:r>
      <w:r>
        <w:rPr>
          <w:rFonts w:cs="Times New Roman" w:hint="eastAsia"/>
          <w:sz w:val="18"/>
          <w:szCs w:val="18"/>
        </w:rPr>
        <w:t>营业周期是指企业从购买用于加工的资产起至实现现金或现金等价物的期间。本公司以</w:t>
      </w:r>
      <w:r>
        <w:rPr>
          <w:rFonts w:cs="Times New Roman" w:hint="eastAsia"/>
          <w:sz w:val="18"/>
          <w:szCs w:val="18"/>
        </w:rPr>
        <w:t>12</w:t>
      </w:r>
      <w:r>
        <w:rPr>
          <w:rFonts w:cs="Times New Roman" w:hint="eastAsia"/>
          <w:sz w:val="18"/>
          <w:szCs w:val="18"/>
        </w:rPr>
        <w:t>个月作为一个营</w:t>
      </w:r>
      <w:r>
        <w:rPr>
          <w:rFonts w:cs="Times New Roman" w:hint="eastAsia"/>
          <w:sz w:val="18"/>
          <w:szCs w:val="18"/>
        </w:rPr>
        <w:t>业周期，并以其作为资产和负债的流动性划分标准。</w:t>
      </w:r>
    </w:p>
    <w:p w:rsidR="00A067C6" w:rsidRDefault="005C4966">
      <w:pPr>
        <w:pStyle w:val="3"/>
        <w:spacing w:line="280" w:lineRule="exact"/>
        <w:jc w:val="left"/>
        <w:rPr>
          <w:rFonts w:ascii="宋体" w:hAnsi="宋体" w:cs="宋体"/>
          <w:b/>
          <w:bCs/>
        </w:rPr>
      </w:pPr>
      <w:bookmarkStart w:id="124" w:name="_Toc989012"/>
      <w:r>
        <w:rPr>
          <w:rFonts w:ascii="宋体" w:hAnsi="宋体" w:cs="宋体"/>
          <w:b/>
          <w:bCs/>
        </w:rPr>
        <w:t>4</w:t>
      </w:r>
      <w:r>
        <w:rPr>
          <w:rFonts w:ascii="宋体" w:hAnsi="宋体" w:cs="宋体"/>
          <w:b/>
          <w:bCs/>
        </w:rPr>
        <w:t>、记账本位币</w:t>
      </w:r>
      <w:bookmarkEnd w:id="124"/>
    </w:p>
    <w:p w:rsidR="00A067C6" w:rsidRDefault="005C4966">
      <w:pPr>
        <w:pStyle w:val="a6"/>
        <w:spacing w:before="0" w:beforeAutospacing="0" w:after="0" w:afterAutospacing="0"/>
        <w:ind w:firstLine="420"/>
        <w:jc w:val="both"/>
        <w:rPr>
          <w:sz w:val="18"/>
          <w:szCs w:val="18"/>
        </w:rPr>
      </w:pPr>
      <w:r>
        <w:rPr>
          <w:rFonts w:hint="eastAsia"/>
          <w:sz w:val="18"/>
          <w:szCs w:val="18"/>
        </w:rPr>
        <w:t>用人民币为记账本位币。</w:t>
      </w:r>
    </w:p>
    <w:p w:rsidR="00A067C6" w:rsidRDefault="005C4966">
      <w:pPr>
        <w:pStyle w:val="a6"/>
        <w:spacing w:before="0" w:beforeAutospacing="0" w:after="0" w:afterAutospacing="0"/>
        <w:ind w:firstLine="420"/>
        <w:jc w:val="both"/>
        <w:rPr>
          <w:sz w:val="18"/>
          <w:szCs w:val="18"/>
        </w:rPr>
      </w:pPr>
      <w:r>
        <w:rPr>
          <w:rFonts w:hint="eastAsia"/>
          <w:sz w:val="18"/>
          <w:szCs w:val="18"/>
        </w:rPr>
        <w:t>境外子公司以其经营所处的主要经济环境中的货币为记账本位币，编制财务报表时折算为人民币。</w:t>
      </w:r>
    </w:p>
    <w:p w:rsidR="00A067C6" w:rsidRDefault="005C4966">
      <w:pPr>
        <w:pStyle w:val="3"/>
        <w:spacing w:line="280" w:lineRule="exact"/>
        <w:jc w:val="left"/>
        <w:rPr>
          <w:rFonts w:ascii="宋体" w:hAnsi="宋体" w:cs="宋体"/>
          <w:b/>
          <w:bCs/>
        </w:rPr>
      </w:pPr>
      <w:bookmarkStart w:id="125" w:name="_Toc989013"/>
      <w:r>
        <w:rPr>
          <w:rFonts w:ascii="宋体" w:hAnsi="宋体" w:cs="宋体"/>
          <w:b/>
          <w:bCs/>
        </w:rPr>
        <w:t>5</w:t>
      </w:r>
      <w:r>
        <w:rPr>
          <w:rFonts w:ascii="宋体" w:hAnsi="宋体" w:cs="宋体"/>
          <w:b/>
          <w:bCs/>
        </w:rPr>
        <w:t>、同一控制下和非同一控制下企业合并的会计处理方法</w:t>
      </w:r>
      <w:bookmarkEnd w:id="125"/>
    </w:p>
    <w:p w:rsidR="00A067C6" w:rsidRDefault="005C4966">
      <w:pPr>
        <w:pStyle w:val="a6"/>
        <w:ind w:firstLine="310"/>
        <w:jc w:val="both"/>
        <w:rPr>
          <w:rFonts w:ascii="Times New Roman" w:hAnsi="Times New Roman" w:cs="Times New Roman"/>
        </w:rPr>
      </w:pPr>
      <w:r>
        <w:rPr>
          <w:rStyle w:val="a7"/>
          <w:rFonts w:ascii="Times New Roman" w:hAnsi="Times New Roman" w:cs="Times New Roman"/>
          <w:sz w:val="21"/>
          <w:szCs w:val="21"/>
        </w:rPr>
        <w:t>1.</w:t>
      </w:r>
      <w:r>
        <w:rPr>
          <w:rStyle w:val="a7"/>
          <w:rFonts w:cs="Times New Roman" w:hint="eastAsia"/>
          <w:sz w:val="21"/>
          <w:szCs w:val="21"/>
        </w:rPr>
        <w:t>分步实现企业合并过程中的各项交易的条款、条件以及经济影响符合以下一种或多种情况，将多次交易事项作为一揽子交易进行会计处理</w:t>
      </w:r>
    </w:p>
    <w:p w:rsidR="00A067C6" w:rsidRDefault="005C4966">
      <w:pPr>
        <w:pStyle w:val="a6"/>
        <w:spacing w:before="0" w:beforeAutospacing="0" w:after="0" w:afterAutospacing="0"/>
        <w:ind w:firstLine="420"/>
        <w:jc w:val="both"/>
        <w:rPr>
          <w:sz w:val="18"/>
          <w:szCs w:val="18"/>
        </w:rPr>
      </w:pPr>
      <w:r>
        <w:rPr>
          <w:rFonts w:hint="eastAsia"/>
          <w:sz w:val="18"/>
          <w:szCs w:val="18"/>
        </w:rPr>
        <w:t>（</w:t>
      </w:r>
      <w:r>
        <w:rPr>
          <w:rFonts w:hint="eastAsia"/>
          <w:sz w:val="18"/>
          <w:szCs w:val="18"/>
        </w:rPr>
        <w:t>1</w:t>
      </w:r>
      <w:r>
        <w:rPr>
          <w:rFonts w:hint="eastAsia"/>
          <w:sz w:val="18"/>
          <w:szCs w:val="18"/>
        </w:rPr>
        <w:t>）这些交易是同时或者在考虑了彼此影响的情况下订立的；</w:t>
      </w:r>
    </w:p>
    <w:p w:rsidR="00A067C6" w:rsidRDefault="005C4966">
      <w:pPr>
        <w:pStyle w:val="a6"/>
        <w:spacing w:before="0" w:beforeAutospacing="0" w:after="0" w:afterAutospacing="0"/>
        <w:ind w:firstLine="420"/>
        <w:jc w:val="both"/>
        <w:rPr>
          <w:sz w:val="18"/>
          <w:szCs w:val="18"/>
        </w:rPr>
      </w:pPr>
      <w:r>
        <w:rPr>
          <w:rFonts w:hint="eastAsia"/>
          <w:sz w:val="18"/>
          <w:szCs w:val="18"/>
        </w:rPr>
        <w:t>（</w:t>
      </w:r>
      <w:r>
        <w:rPr>
          <w:rFonts w:hint="eastAsia"/>
          <w:sz w:val="18"/>
          <w:szCs w:val="18"/>
        </w:rPr>
        <w:t>2</w:t>
      </w:r>
      <w:r>
        <w:rPr>
          <w:rFonts w:hint="eastAsia"/>
          <w:sz w:val="18"/>
          <w:szCs w:val="18"/>
        </w:rPr>
        <w:t>）这些交易整体才能达成一项完整的商业结果；</w:t>
      </w:r>
    </w:p>
    <w:p w:rsidR="00A067C6" w:rsidRDefault="005C4966">
      <w:pPr>
        <w:pStyle w:val="a6"/>
        <w:spacing w:before="0" w:beforeAutospacing="0" w:after="0" w:afterAutospacing="0"/>
        <w:ind w:firstLine="420"/>
        <w:jc w:val="both"/>
        <w:rPr>
          <w:sz w:val="18"/>
          <w:szCs w:val="18"/>
        </w:rPr>
      </w:pPr>
      <w:r>
        <w:rPr>
          <w:rFonts w:hint="eastAsia"/>
          <w:sz w:val="18"/>
          <w:szCs w:val="18"/>
        </w:rPr>
        <w:t>（</w:t>
      </w:r>
      <w:r>
        <w:rPr>
          <w:rFonts w:hint="eastAsia"/>
          <w:sz w:val="18"/>
          <w:szCs w:val="18"/>
        </w:rPr>
        <w:t>3</w:t>
      </w:r>
      <w:r>
        <w:rPr>
          <w:rFonts w:hint="eastAsia"/>
          <w:sz w:val="18"/>
          <w:szCs w:val="18"/>
        </w:rPr>
        <w:t>）一项交易的发生取决于其他至少一项交易的发生；</w:t>
      </w:r>
    </w:p>
    <w:p w:rsidR="00A067C6" w:rsidRDefault="005C4966">
      <w:pPr>
        <w:pStyle w:val="a6"/>
        <w:spacing w:before="0" w:beforeAutospacing="0" w:after="0" w:afterAutospacing="0"/>
        <w:ind w:firstLine="420"/>
        <w:jc w:val="both"/>
        <w:rPr>
          <w:sz w:val="18"/>
          <w:szCs w:val="18"/>
        </w:rPr>
      </w:pPr>
      <w:r>
        <w:rPr>
          <w:rFonts w:hint="eastAsia"/>
          <w:sz w:val="18"/>
          <w:szCs w:val="18"/>
        </w:rPr>
        <w:t>（</w:t>
      </w:r>
      <w:r>
        <w:rPr>
          <w:rFonts w:hint="eastAsia"/>
          <w:sz w:val="18"/>
          <w:szCs w:val="18"/>
        </w:rPr>
        <w:t>4</w:t>
      </w:r>
      <w:r>
        <w:rPr>
          <w:rFonts w:hint="eastAsia"/>
          <w:sz w:val="18"/>
          <w:szCs w:val="18"/>
        </w:rPr>
        <w:t>）一项交易单独看是不经济的，但是和其他交易一并考虑时是经济的。</w:t>
      </w:r>
    </w:p>
    <w:p w:rsidR="00A067C6" w:rsidRDefault="005C4966">
      <w:pPr>
        <w:pStyle w:val="a6"/>
        <w:ind w:right="840"/>
        <w:jc w:val="both"/>
        <w:rPr>
          <w:rFonts w:ascii="Times New Roman" w:hAnsi="Times New Roman" w:cs="Times New Roman"/>
        </w:rPr>
      </w:pPr>
      <w:r>
        <w:rPr>
          <w:rStyle w:val="a7"/>
          <w:rFonts w:ascii="Times New Roman" w:hAnsi="Times New Roman" w:cs="Times New Roman"/>
          <w:sz w:val="21"/>
          <w:szCs w:val="21"/>
        </w:rPr>
        <w:t>     2.</w:t>
      </w:r>
      <w:r>
        <w:rPr>
          <w:rStyle w:val="a7"/>
          <w:rFonts w:cs="Times New Roman" w:hint="eastAsia"/>
          <w:sz w:val="21"/>
          <w:szCs w:val="21"/>
        </w:rPr>
        <w:t>同一控制下的企业合并</w:t>
      </w:r>
    </w:p>
    <w:p w:rsidR="00A067C6" w:rsidRDefault="005C4966">
      <w:pPr>
        <w:pStyle w:val="a6"/>
        <w:spacing w:before="0" w:beforeAutospacing="0" w:after="0" w:afterAutospacing="0"/>
        <w:ind w:firstLine="420"/>
        <w:jc w:val="both"/>
        <w:rPr>
          <w:sz w:val="18"/>
          <w:szCs w:val="18"/>
        </w:rPr>
      </w:pPr>
      <w:r>
        <w:rPr>
          <w:rFonts w:hint="eastAsia"/>
          <w:sz w:val="18"/>
          <w:szCs w:val="18"/>
        </w:rPr>
        <w:t>本公司在企业合并中取得的资产和负债，按照合并日在被合并方资产、负债（包括最终控制方收购被合并方而形成的商誉）在最终控制方合并财务报表中的账面价值计量。在合并中取得的净资产账面价值与支付的合并对价账面价值（或发行股份面值总额）的差额，调整资本公积中的股本溢价，资本公积中的股本溢价不足冲减的，调整留存收益。</w:t>
      </w:r>
    </w:p>
    <w:p w:rsidR="00A067C6" w:rsidRDefault="005C4966">
      <w:pPr>
        <w:pStyle w:val="a6"/>
        <w:spacing w:before="0" w:beforeAutospacing="0" w:after="0" w:afterAutospacing="0"/>
        <w:ind w:firstLine="420"/>
        <w:jc w:val="both"/>
        <w:rPr>
          <w:sz w:val="18"/>
          <w:szCs w:val="18"/>
        </w:rPr>
      </w:pPr>
      <w:r>
        <w:rPr>
          <w:rFonts w:hint="eastAsia"/>
          <w:sz w:val="18"/>
          <w:szCs w:val="18"/>
        </w:rPr>
        <w:t>如果存在或有对价并需要确认预计负债或资产，该预计负债或资产金额与后续或有对价结算金额的差额，调整资本公</w:t>
      </w:r>
      <w:r>
        <w:rPr>
          <w:rFonts w:hint="eastAsia"/>
          <w:sz w:val="18"/>
          <w:szCs w:val="18"/>
        </w:rPr>
        <w:t>积（资本溢价或股本溢价），资本公积不足的，调整留存收益。</w:t>
      </w:r>
    </w:p>
    <w:p w:rsidR="00A067C6" w:rsidRDefault="005C4966">
      <w:pPr>
        <w:pStyle w:val="a6"/>
        <w:spacing w:before="0" w:beforeAutospacing="0" w:after="0" w:afterAutospacing="0"/>
        <w:ind w:firstLine="420"/>
        <w:jc w:val="both"/>
        <w:rPr>
          <w:sz w:val="18"/>
          <w:szCs w:val="18"/>
        </w:rPr>
      </w:pPr>
      <w:r>
        <w:rPr>
          <w:rFonts w:hint="eastAsia"/>
          <w:sz w:val="18"/>
          <w:szCs w:val="18"/>
        </w:rPr>
        <w:t>对于通过多次交易最终实现企业合并的，属于一揽子交易的，将各项交易作为一项取得控制权的交易进行会计处理；不属于一揽子交易的，在取得控制权日，长期股权投资初始投资成本，与达到合并前的长期股权投资账面价值加上合并日进一步取得股份新支付对价的账面价值之和的差额，调整资本公积；资本公积不足冲减的，调整留存收益。对于合并日之前持有的股权投资，因采用权益法核算或金融工具确认和计量准则核算而确认的其他综合收益，暂不进行会计处理，直至处置该项投资时采用与被投资单位直接</w:t>
      </w:r>
      <w:r>
        <w:rPr>
          <w:rFonts w:hint="eastAsia"/>
          <w:sz w:val="18"/>
          <w:szCs w:val="18"/>
        </w:rPr>
        <w:t>处置相关资产或负债相同的基础进行会计处理；因采用权益法核算而确认的被投资单位净资产中除净损益、其他综合收益和利润分配以外的所有者权益其他变动，暂不进行会计处理，直至处置该项投资时转入当期损益。</w:t>
      </w:r>
    </w:p>
    <w:p w:rsidR="00A067C6" w:rsidRDefault="005C4966">
      <w:pPr>
        <w:pStyle w:val="a6"/>
        <w:ind w:right="840"/>
        <w:jc w:val="both"/>
        <w:rPr>
          <w:rFonts w:ascii="Times New Roman" w:hAnsi="Times New Roman" w:cs="Times New Roman"/>
        </w:rPr>
      </w:pPr>
      <w:r>
        <w:rPr>
          <w:rStyle w:val="a7"/>
          <w:rFonts w:ascii="Times New Roman" w:hAnsi="Times New Roman" w:cs="Times New Roman"/>
          <w:sz w:val="21"/>
          <w:szCs w:val="21"/>
        </w:rPr>
        <w:t>    3.</w:t>
      </w:r>
      <w:r>
        <w:rPr>
          <w:rStyle w:val="a7"/>
          <w:rFonts w:cs="Times New Roman" w:hint="eastAsia"/>
          <w:sz w:val="21"/>
          <w:szCs w:val="21"/>
        </w:rPr>
        <w:t>非同一控制下的企业合并</w:t>
      </w:r>
    </w:p>
    <w:p w:rsidR="00A067C6" w:rsidRDefault="005C4966">
      <w:pPr>
        <w:pStyle w:val="a6"/>
        <w:spacing w:before="0" w:beforeAutospacing="0" w:after="0" w:afterAutospacing="0"/>
        <w:ind w:firstLine="420"/>
        <w:jc w:val="both"/>
        <w:rPr>
          <w:sz w:val="18"/>
          <w:szCs w:val="18"/>
        </w:rPr>
      </w:pPr>
      <w:r>
        <w:rPr>
          <w:rFonts w:hint="eastAsia"/>
          <w:sz w:val="18"/>
          <w:szCs w:val="18"/>
        </w:rPr>
        <w:t>购买日是指本公司实际取得对被购买方控制权的日期，即被购买方的净资产或生产经营决策的控制权转移给本公司的日期。同时满足下列条件时，本公司一般认为实现了控制权的转移：</w:t>
      </w:r>
    </w:p>
    <w:p w:rsidR="00A067C6" w:rsidRDefault="005C4966">
      <w:pPr>
        <w:pStyle w:val="a6"/>
        <w:spacing w:before="0" w:beforeAutospacing="0" w:after="0" w:afterAutospacing="0"/>
        <w:ind w:firstLine="420"/>
        <w:jc w:val="both"/>
        <w:rPr>
          <w:sz w:val="18"/>
          <w:szCs w:val="18"/>
        </w:rPr>
      </w:pPr>
      <w:r>
        <w:rPr>
          <w:rFonts w:hint="eastAsia"/>
          <w:sz w:val="18"/>
          <w:szCs w:val="18"/>
        </w:rPr>
        <w:t>①企业合并合同或协议已获本公司内部权力机构通过。</w:t>
      </w:r>
    </w:p>
    <w:p w:rsidR="00A067C6" w:rsidRDefault="005C4966">
      <w:pPr>
        <w:pStyle w:val="a6"/>
        <w:spacing w:before="0" w:beforeAutospacing="0" w:after="0" w:afterAutospacing="0"/>
        <w:ind w:firstLine="420"/>
        <w:jc w:val="both"/>
        <w:rPr>
          <w:sz w:val="18"/>
          <w:szCs w:val="18"/>
        </w:rPr>
      </w:pPr>
      <w:r>
        <w:rPr>
          <w:rFonts w:hint="eastAsia"/>
          <w:sz w:val="18"/>
          <w:szCs w:val="18"/>
        </w:rPr>
        <w:t>②企业合并事项需要经过国家有关主管部门审批的，已获得批准。</w:t>
      </w:r>
    </w:p>
    <w:p w:rsidR="00A067C6" w:rsidRDefault="005C4966">
      <w:pPr>
        <w:pStyle w:val="a6"/>
        <w:spacing w:before="0" w:beforeAutospacing="0" w:after="0" w:afterAutospacing="0"/>
        <w:ind w:firstLine="420"/>
        <w:jc w:val="both"/>
        <w:rPr>
          <w:sz w:val="18"/>
          <w:szCs w:val="18"/>
        </w:rPr>
      </w:pPr>
      <w:r>
        <w:rPr>
          <w:rFonts w:hint="eastAsia"/>
          <w:sz w:val="18"/>
          <w:szCs w:val="18"/>
        </w:rPr>
        <w:t>③已办理</w:t>
      </w:r>
      <w:r>
        <w:rPr>
          <w:rFonts w:hint="eastAsia"/>
          <w:sz w:val="18"/>
          <w:szCs w:val="18"/>
        </w:rPr>
        <w:t>了必要的财产权转移手续。</w:t>
      </w:r>
    </w:p>
    <w:p w:rsidR="00A067C6" w:rsidRDefault="005C4966">
      <w:pPr>
        <w:pStyle w:val="a6"/>
        <w:spacing w:before="0" w:beforeAutospacing="0" w:after="0" w:afterAutospacing="0"/>
        <w:ind w:firstLine="420"/>
        <w:jc w:val="both"/>
        <w:rPr>
          <w:sz w:val="18"/>
          <w:szCs w:val="18"/>
        </w:rPr>
      </w:pPr>
      <w:r>
        <w:rPr>
          <w:rFonts w:hint="eastAsia"/>
          <w:sz w:val="18"/>
          <w:szCs w:val="18"/>
        </w:rPr>
        <w:t>④本公司已支付了合并价款的大部分，并且有能力、有计划支付剩余款项。</w:t>
      </w:r>
    </w:p>
    <w:p w:rsidR="00A067C6" w:rsidRDefault="005C4966">
      <w:pPr>
        <w:pStyle w:val="a6"/>
        <w:spacing w:before="0" w:beforeAutospacing="0" w:after="0" w:afterAutospacing="0"/>
        <w:ind w:firstLine="420"/>
        <w:jc w:val="both"/>
        <w:rPr>
          <w:sz w:val="18"/>
          <w:szCs w:val="18"/>
        </w:rPr>
      </w:pPr>
      <w:r>
        <w:rPr>
          <w:rFonts w:hint="eastAsia"/>
          <w:sz w:val="18"/>
          <w:szCs w:val="18"/>
        </w:rPr>
        <w:t>⑤本公司实际上已经控制了被购买方的财务和经营政策，并享有相应的利益、承担相应的风险。</w:t>
      </w:r>
    </w:p>
    <w:p w:rsidR="00A067C6" w:rsidRDefault="005C4966">
      <w:pPr>
        <w:pStyle w:val="a6"/>
        <w:spacing w:before="0" w:beforeAutospacing="0" w:after="0" w:afterAutospacing="0"/>
        <w:ind w:firstLine="420"/>
        <w:jc w:val="both"/>
        <w:rPr>
          <w:sz w:val="18"/>
          <w:szCs w:val="18"/>
        </w:rPr>
      </w:pPr>
      <w:r>
        <w:rPr>
          <w:rFonts w:hint="eastAsia"/>
          <w:sz w:val="18"/>
          <w:szCs w:val="18"/>
        </w:rPr>
        <w:t>本公司在购买日对作为企业合并对价付出的资产、发生或承担的负债按照公允价值计量，公允价值与其账面价值的差额，计入当期损益。</w:t>
      </w:r>
    </w:p>
    <w:p w:rsidR="00A067C6" w:rsidRDefault="005C4966">
      <w:pPr>
        <w:pStyle w:val="a6"/>
        <w:spacing w:before="0" w:beforeAutospacing="0" w:after="0" w:afterAutospacing="0"/>
        <w:ind w:firstLine="420"/>
        <w:jc w:val="both"/>
        <w:rPr>
          <w:sz w:val="18"/>
          <w:szCs w:val="18"/>
        </w:rPr>
      </w:pPr>
      <w:r>
        <w:rPr>
          <w:rFonts w:hint="eastAsia"/>
          <w:sz w:val="18"/>
          <w:szCs w:val="18"/>
        </w:rPr>
        <w:t>本公司对合并成本大于合并中取得的被购买方可辨认净资产公允价值份额的差额，确认为商誉；合并成本小于合并中取得的被购买方可辨认净资产公允价值份额的差额，经复核后，计入当期损益。</w:t>
      </w:r>
    </w:p>
    <w:p w:rsidR="00A067C6" w:rsidRDefault="005C4966">
      <w:pPr>
        <w:pStyle w:val="a6"/>
        <w:spacing w:before="0" w:beforeAutospacing="0" w:after="0" w:afterAutospacing="0"/>
        <w:ind w:firstLine="420"/>
        <w:jc w:val="both"/>
        <w:rPr>
          <w:sz w:val="18"/>
          <w:szCs w:val="18"/>
        </w:rPr>
      </w:pPr>
      <w:r>
        <w:rPr>
          <w:rFonts w:hint="eastAsia"/>
          <w:sz w:val="18"/>
          <w:szCs w:val="18"/>
        </w:rPr>
        <w:t>通过多次交换交易分步实现的非同一控制</w:t>
      </w:r>
      <w:r>
        <w:rPr>
          <w:rFonts w:hint="eastAsia"/>
          <w:sz w:val="18"/>
          <w:szCs w:val="18"/>
        </w:rPr>
        <w:t>下企业合并，属于一揽子交易的，将各项交易作为一项取得控制权的交易进行会计处理；不属于一揽子交易的，合并日之前持有的股权投资采用权益法核算的，以购买日之前所持被购买方的股权投资的账面价值与购买日新增投资成本之和，作为该项投资的初始投资成本；购买日之前持有的股权投资因采用权益法核算而确认的其他综合收益，在处置该项投资时采用与被投资单位直接处置相关资产或负债相同的基础进行会计处理。合并日之前持有的股权投资采用金融工具确认和计量准则核算的，以该股权投资在合并日的公允价值加上新增投资成本之和，作为合并日的初始投资成本</w:t>
      </w:r>
      <w:r>
        <w:rPr>
          <w:rFonts w:hint="eastAsia"/>
          <w:sz w:val="18"/>
          <w:szCs w:val="18"/>
        </w:rPr>
        <w:t>。原持有股权的公允价值与账面价值之间的差额以及原计入其他综合收益的累计公允价值变动应全部转入合并日当期的投资收益。</w:t>
      </w:r>
    </w:p>
    <w:p w:rsidR="00A067C6" w:rsidRDefault="005C4966">
      <w:pPr>
        <w:pStyle w:val="a6"/>
        <w:jc w:val="both"/>
        <w:rPr>
          <w:rFonts w:ascii="Times New Roman" w:hAnsi="Times New Roman" w:cs="Times New Roman"/>
        </w:rPr>
      </w:pPr>
      <w:r>
        <w:rPr>
          <w:rStyle w:val="a7"/>
          <w:rFonts w:ascii="Times New Roman" w:hAnsi="Times New Roman" w:cs="Times New Roman"/>
          <w:sz w:val="21"/>
          <w:szCs w:val="21"/>
        </w:rPr>
        <w:t>    4.</w:t>
      </w:r>
      <w:r>
        <w:rPr>
          <w:rStyle w:val="a7"/>
          <w:rFonts w:cs="Times New Roman" w:hint="eastAsia"/>
          <w:sz w:val="21"/>
          <w:szCs w:val="21"/>
        </w:rPr>
        <w:t>为合并发生的相关费用</w:t>
      </w:r>
    </w:p>
    <w:p w:rsidR="00A067C6" w:rsidRDefault="005C4966">
      <w:pPr>
        <w:pStyle w:val="a6"/>
        <w:spacing w:before="0" w:beforeAutospacing="0" w:after="0" w:afterAutospacing="0"/>
        <w:ind w:firstLine="420"/>
        <w:jc w:val="both"/>
        <w:rPr>
          <w:sz w:val="18"/>
          <w:szCs w:val="18"/>
        </w:rPr>
      </w:pPr>
      <w:r>
        <w:rPr>
          <w:rFonts w:hint="eastAsia"/>
          <w:sz w:val="18"/>
          <w:szCs w:val="18"/>
        </w:rPr>
        <w:t>为企业合并发生的审计、法律服务、评估咨询等中介费用以及其他直接相关费用，于发生时计入当期损益；为企业合并而发行权益性证券的交易费用，可直接归属于权益性交易的从权益中扣减。</w:t>
      </w:r>
    </w:p>
    <w:p w:rsidR="00A067C6" w:rsidRDefault="005C4966">
      <w:pPr>
        <w:pStyle w:val="3"/>
        <w:spacing w:line="280" w:lineRule="exact"/>
        <w:jc w:val="left"/>
        <w:rPr>
          <w:rFonts w:ascii="宋体" w:hAnsi="宋体" w:cs="宋体"/>
          <w:b/>
          <w:bCs/>
        </w:rPr>
      </w:pPr>
      <w:bookmarkStart w:id="126" w:name="_Toc989014"/>
      <w:r>
        <w:rPr>
          <w:rFonts w:ascii="宋体" w:hAnsi="宋体" w:cs="宋体"/>
          <w:b/>
          <w:bCs/>
        </w:rPr>
        <w:t>6</w:t>
      </w:r>
      <w:r>
        <w:rPr>
          <w:rFonts w:ascii="宋体" w:hAnsi="宋体" w:cs="宋体"/>
          <w:b/>
          <w:bCs/>
        </w:rPr>
        <w:t>、合并财务报表的编制方法</w:t>
      </w:r>
      <w:bookmarkEnd w:id="126"/>
    </w:p>
    <w:p w:rsidR="00A067C6" w:rsidRDefault="005C4966">
      <w:pPr>
        <w:pStyle w:val="a6"/>
        <w:ind w:right="840" w:firstLine="413"/>
        <w:jc w:val="both"/>
        <w:rPr>
          <w:rFonts w:ascii="Times New Roman" w:hAnsi="Times New Roman" w:cs="Times New Roman"/>
        </w:rPr>
      </w:pPr>
      <w:r>
        <w:rPr>
          <w:rStyle w:val="a7"/>
          <w:rFonts w:ascii="Times New Roman" w:hAnsi="Times New Roman" w:cs="Times New Roman"/>
          <w:sz w:val="21"/>
          <w:szCs w:val="21"/>
        </w:rPr>
        <w:t>1.</w:t>
      </w:r>
      <w:r>
        <w:rPr>
          <w:rStyle w:val="a7"/>
          <w:rFonts w:cs="Times New Roman" w:hint="eastAsia"/>
          <w:sz w:val="21"/>
          <w:szCs w:val="21"/>
        </w:rPr>
        <w:t>合并范围</w:t>
      </w:r>
    </w:p>
    <w:p w:rsidR="00A067C6" w:rsidRDefault="005C4966">
      <w:pPr>
        <w:pStyle w:val="a6"/>
        <w:spacing w:before="0" w:beforeAutospacing="0" w:after="0" w:afterAutospacing="0"/>
        <w:ind w:firstLine="420"/>
        <w:jc w:val="both"/>
        <w:rPr>
          <w:sz w:val="18"/>
          <w:szCs w:val="18"/>
        </w:rPr>
      </w:pPr>
      <w:r>
        <w:rPr>
          <w:rFonts w:hint="eastAsia"/>
          <w:sz w:val="18"/>
          <w:szCs w:val="18"/>
        </w:rPr>
        <w:t>本公司合并财务报表的合并范围以控制为基础确定，所有子公司（包括本公司所控制的单独主体）均纳入合并财务报表。</w:t>
      </w:r>
    </w:p>
    <w:p w:rsidR="00A067C6" w:rsidRDefault="005C4966">
      <w:pPr>
        <w:pStyle w:val="a6"/>
        <w:jc w:val="both"/>
        <w:rPr>
          <w:rFonts w:ascii="Times New Roman" w:hAnsi="Times New Roman" w:cs="Times New Roman"/>
        </w:rPr>
      </w:pPr>
      <w:r>
        <w:rPr>
          <w:rStyle w:val="a7"/>
          <w:rFonts w:ascii="Times New Roman" w:hAnsi="Times New Roman" w:cs="Times New Roman"/>
          <w:sz w:val="21"/>
          <w:szCs w:val="21"/>
        </w:rPr>
        <w:t>        2.</w:t>
      </w:r>
      <w:r>
        <w:rPr>
          <w:rStyle w:val="a7"/>
          <w:rFonts w:cs="Times New Roman" w:hint="eastAsia"/>
          <w:sz w:val="21"/>
          <w:szCs w:val="21"/>
        </w:rPr>
        <w:t>合并程序</w:t>
      </w:r>
    </w:p>
    <w:p w:rsidR="00A067C6" w:rsidRDefault="005C4966">
      <w:pPr>
        <w:pStyle w:val="a6"/>
        <w:spacing w:before="0" w:beforeAutospacing="0" w:after="0" w:afterAutospacing="0"/>
        <w:ind w:firstLine="420"/>
        <w:jc w:val="both"/>
        <w:rPr>
          <w:sz w:val="18"/>
          <w:szCs w:val="18"/>
        </w:rPr>
      </w:pPr>
      <w:r>
        <w:rPr>
          <w:rFonts w:hint="eastAsia"/>
          <w:sz w:val="18"/>
          <w:szCs w:val="18"/>
        </w:rPr>
        <w:t>本公司以自身和各子公司的财务报表为基础，根据其他有关资料，编制合并财务报表。本公司编制合并财务报表，将整个企业集团视为一个会计主体，依据相关企业会计准则的确认、计量和列报要求，按照统一的会计政策，反映本企业集团整体财务状况、经营成果和现金流量。</w:t>
      </w:r>
    </w:p>
    <w:p w:rsidR="00A067C6" w:rsidRDefault="005C4966">
      <w:pPr>
        <w:pStyle w:val="a6"/>
        <w:spacing w:before="0" w:beforeAutospacing="0" w:after="0" w:afterAutospacing="0"/>
        <w:ind w:firstLine="420"/>
        <w:jc w:val="both"/>
        <w:rPr>
          <w:sz w:val="18"/>
          <w:szCs w:val="18"/>
        </w:rPr>
      </w:pPr>
      <w:r>
        <w:rPr>
          <w:rFonts w:hint="eastAsia"/>
          <w:sz w:val="18"/>
          <w:szCs w:val="18"/>
        </w:rPr>
        <w:t>所有纳入合并财务报表合并范围的子公司所采用的会计政策、会计期间与本公司一致，如子公司采用的会计政策、会计期间与本公司不一致的，在编制合并财务报表时，按本公司的会计政策、会计期间进行必要的调整。</w:t>
      </w:r>
    </w:p>
    <w:p w:rsidR="00A067C6" w:rsidRDefault="005C4966">
      <w:pPr>
        <w:pStyle w:val="a6"/>
        <w:spacing w:before="0" w:beforeAutospacing="0" w:after="0" w:afterAutospacing="0"/>
        <w:ind w:firstLine="420"/>
        <w:jc w:val="both"/>
        <w:rPr>
          <w:sz w:val="18"/>
          <w:szCs w:val="18"/>
        </w:rPr>
      </w:pPr>
      <w:r>
        <w:rPr>
          <w:rFonts w:hint="eastAsia"/>
          <w:sz w:val="18"/>
          <w:szCs w:val="18"/>
        </w:rPr>
        <w:t>合并财务报表时抵销本公司与各子公司、各子公司相互之间发生的内部交易对合并</w:t>
      </w:r>
      <w:r>
        <w:rPr>
          <w:rFonts w:hint="eastAsia"/>
          <w:sz w:val="18"/>
          <w:szCs w:val="18"/>
        </w:rPr>
        <w:t>资产负债表、合并利润表、合并现金流量表、合并股东权益变动表的影响。如果站在企业集团合并财务报表角度与以本公司或子公司为会计主体对同一交易的认定不同时，从企业集团的角度对该交易予以调整。</w:t>
      </w:r>
    </w:p>
    <w:p w:rsidR="00A067C6" w:rsidRDefault="005C4966">
      <w:pPr>
        <w:pStyle w:val="a6"/>
        <w:spacing w:before="0" w:beforeAutospacing="0" w:after="0" w:afterAutospacing="0"/>
        <w:ind w:firstLine="420"/>
        <w:jc w:val="both"/>
        <w:rPr>
          <w:sz w:val="18"/>
          <w:szCs w:val="18"/>
        </w:rPr>
      </w:pPr>
      <w:r>
        <w:rPr>
          <w:rFonts w:hint="eastAsia"/>
          <w:sz w:val="18"/>
          <w:szCs w:val="18"/>
        </w:rPr>
        <w:t>子公司所有者权益、当期净损益和当期综合收益中属于少数股东的份额分别在合并资产负债表中所有者权益项目下、合并利润表中净利润项目下和综合收益总额项目下单独列示。子公司少数股东分担的当期亏损超过了少数股东在该子公司期初所有者权益中所享有份额而形成的余额，冲减少数股东权益。</w:t>
      </w:r>
    </w:p>
    <w:p w:rsidR="00A067C6" w:rsidRDefault="005C4966">
      <w:pPr>
        <w:pStyle w:val="a6"/>
        <w:spacing w:before="0" w:beforeAutospacing="0" w:after="0" w:afterAutospacing="0"/>
        <w:ind w:firstLine="420"/>
        <w:jc w:val="both"/>
        <w:rPr>
          <w:sz w:val="18"/>
          <w:szCs w:val="18"/>
        </w:rPr>
      </w:pPr>
      <w:r>
        <w:rPr>
          <w:rFonts w:hint="eastAsia"/>
          <w:sz w:val="18"/>
          <w:szCs w:val="18"/>
        </w:rPr>
        <w:t>对于同一控制下企业合并取得的子公司，以其资产、负债（包括最</w:t>
      </w:r>
      <w:r>
        <w:rPr>
          <w:rFonts w:hint="eastAsia"/>
          <w:sz w:val="18"/>
          <w:szCs w:val="18"/>
        </w:rPr>
        <w:t>终控制方收购该子公司而形成的商誉）在最终控制方财务报表中的账面价值为基础对其财务报表进行调整。</w:t>
      </w:r>
    </w:p>
    <w:p w:rsidR="00A067C6" w:rsidRDefault="005C4966">
      <w:pPr>
        <w:pStyle w:val="a6"/>
        <w:spacing w:before="0" w:beforeAutospacing="0" w:after="0" w:afterAutospacing="0"/>
        <w:ind w:firstLine="420"/>
        <w:jc w:val="both"/>
        <w:rPr>
          <w:sz w:val="18"/>
          <w:szCs w:val="18"/>
        </w:rPr>
      </w:pPr>
      <w:r>
        <w:rPr>
          <w:rFonts w:hint="eastAsia"/>
          <w:sz w:val="18"/>
          <w:szCs w:val="18"/>
        </w:rPr>
        <w:t>对于非同一控制下企业合并取得的子公司，以购买日可辨认净资产公允价值为基础对其财务报表进行调整</w:t>
      </w:r>
    </w:p>
    <w:p w:rsidR="00A067C6" w:rsidRDefault="005C4966">
      <w:pPr>
        <w:pStyle w:val="a6"/>
        <w:spacing w:before="0" w:beforeAutospacing="0" w:after="0" w:afterAutospacing="0"/>
        <w:ind w:firstLine="420"/>
        <w:jc w:val="both"/>
        <w:rPr>
          <w:sz w:val="18"/>
          <w:szCs w:val="18"/>
        </w:rPr>
      </w:pPr>
      <w:r>
        <w:rPr>
          <w:rFonts w:hint="eastAsia"/>
          <w:sz w:val="18"/>
          <w:szCs w:val="18"/>
        </w:rPr>
        <w:t>（</w:t>
      </w:r>
      <w:r>
        <w:rPr>
          <w:rFonts w:hint="eastAsia"/>
          <w:sz w:val="18"/>
          <w:szCs w:val="18"/>
        </w:rPr>
        <w:t>1</w:t>
      </w:r>
      <w:r>
        <w:rPr>
          <w:rFonts w:hint="eastAsia"/>
          <w:sz w:val="18"/>
          <w:szCs w:val="18"/>
        </w:rPr>
        <w:t>）增加子公司或业务</w:t>
      </w:r>
    </w:p>
    <w:p w:rsidR="00A067C6" w:rsidRDefault="005C4966">
      <w:pPr>
        <w:pStyle w:val="a6"/>
        <w:spacing w:before="0" w:beforeAutospacing="0" w:after="0" w:afterAutospacing="0"/>
        <w:ind w:firstLine="420"/>
        <w:jc w:val="both"/>
        <w:rPr>
          <w:sz w:val="18"/>
          <w:szCs w:val="18"/>
        </w:rPr>
      </w:pPr>
      <w:r>
        <w:rPr>
          <w:rFonts w:hint="eastAsia"/>
          <w:sz w:val="18"/>
          <w:szCs w:val="18"/>
        </w:rPr>
        <w:t>在报告期内，若因同一控制下企业合并增加子公司或业务的，则调整合并资产负债表的期初数；将子公司或业务合并当期期初至报告期末的收入、费用、利润纳入合并利润表；将子公司或业务合并当期期初至报告期末的现金流量纳入合并现金流量表，同时对比较报表的相关项目进行调整，视同合并后的报告主体自最终控制方开始控制时点</w:t>
      </w:r>
      <w:r>
        <w:rPr>
          <w:rFonts w:hint="eastAsia"/>
          <w:sz w:val="18"/>
          <w:szCs w:val="18"/>
        </w:rPr>
        <w:t>起一直存在。</w:t>
      </w:r>
    </w:p>
    <w:p w:rsidR="00A067C6" w:rsidRDefault="005C4966">
      <w:pPr>
        <w:pStyle w:val="a6"/>
        <w:spacing w:before="0" w:beforeAutospacing="0" w:after="0" w:afterAutospacing="0"/>
        <w:ind w:firstLine="420"/>
        <w:jc w:val="both"/>
        <w:rPr>
          <w:sz w:val="18"/>
          <w:szCs w:val="18"/>
        </w:rPr>
      </w:pPr>
      <w:r>
        <w:rPr>
          <w:rFonts w:hint="eastAsia"/>
          <w:sz w:val="18"/>
          <w:szCs w:val="18"/>
        </w:rPr>
        <w:t>因追加投资等原因能够对同一控制下的被投资方实施控制的，视同参与合并的各方在最终控制方开始控制时即以目前的状态存在进行调整。在取得被合并方控制权之前持有的股权投资，在取得原股权之日与合并方和被合并方同处于同一控制之日孰晚日起至合并日之间已确认有关损益、其他综合收益以及其他净资产变动，分别冲减比较报表期间的期初留存收益或当期损益。</w:t>
      </w:r>
    </w:p>
    <w:p w:rsidR="00A067C6" w:rsidRDefault="005C4966">
      <w:pPr>
        <w:pStyle w:val="a6"/>
        <w:spacing w:before="0" w:beforeAutospacing="0" w:after="0" w:afterAutospacing="0"/>
        <w:ind w:firstLine="420"/>
        <w:jc w:val="both"/>
        <w:rPr>
          <w:sz w:val="18"/>
          <w:szCs w:val="18"/>
        </w:rPr>
      </w:pPr>
      <w:r>
        <w:rPr>
          <w:rFonts w:hint="eastAsia"/>
          <w:sz w:val="18"/>
          <w:szCs w:val="18"/>
        </w:rPr>
        <w:t>在报告期内，若因非同一控制下企业合并增加子公司或业务的，则不调整合并资产负债表期初数；将该子公司或业务自购买日至报告期末的收入、费用、利润纳入合并利润表；该子公司或业务</w:t>
      </w:r>
      <w:r>
        <w:rPr>
          <w:rFonts w:hint="eastAsia"/>
          <w:sz w:val="18"/>
          <w:szCs w:val="18"/>
        </w:rPr>
        <w:t>自购买日至报告期末的现金流量纳入合并现金流量表。</w:t>
      </w:r>
    </w:p>
    <w:p w:rsidR="00A067C6" w:rsidRDefault="005C4966">
      <w:pPr>
        <w:pStyle w:val="a6"/>
        <w:spacing w:before="0" w:beforeAutospacing="0" w:after="0" w:afterAutospacing="0"/>
        <w:ind w:firstLine="420"/>
        <w:jc w:val="both"/>
        <w:rPr>
          <w:sz w:val="18"/>
          <w:szCs w:val="18"/>
        </w:rPr>
      </w:pPr>
      <w:r>
        <w:rPr>
          <w:rFonts w:hint="eastAsia"/>
          <w:sz w:val="18"/>
          <w:szCs w:val="18"/>
        </w:rPr>
        <w:t>因追加投资等原因能够对非同一控制下的被投资方实施控制的，对于购买日之前持有的被购买方的股权，本公司按照该股权在购买日的公允价值进行重新计量，公允价值与其账面价值的差额计入当期投资收益。购买日之前持有的被购买方的股权涉及权益法核算下的其他综合收益以及除净损益、其他综合收益和利润分配之外的其他所有者权益变动的，与其相关的其他综合收益、其他所有者权益变动转为购买日所属当期投资收益，由于被投资方重新计量设定受益计划净负债或净资产变动而产生的其他综合收益除外。</w:t>
      </w:r>
    </w:p>
    <w:p w:rsidR="00A067C6" w:rsidRDefault="005C4966">
      <w:pPr>
        <w:pStyle w:val="a6"/>
        <w:spacing w:before="0" w:beforeAutospacing="0" w:after="0" w:afterAutospacing="0"/>
        <w:ind w:firstLine="420"/>
        <w:jc w:val="both"/>
        <w:rPr>
          <w:sz w:val="18"/>
          <w:szCs w:val="18"/>
        </w:rPr>
      </w:pPr>
      <w:r>
        <w:rPr>
          <w:rFonts w:hint="eastAsia"/>
          <w:sz w:val="18"/>
          <w:szCs w:val="18"/>
        </w:rPr>
        <w:t>（</w:t>
      </w:r>
      <w:r>
        <w:rPr>
          <w:rFonts w:hint="eastAsia"/>
          <w:sz w:val="18"/>
          <w:szCs w:val="18"/>
        </w:rPr>
        <w:t>2</w:t>
      </w:r>
      <w:r>
        <w:rPr>
          <w:rFonts w:hint="eastAsia"/>
          <w:sz w:val="18"/>
          <w:szCs w:val="18"/>
        </w:rPr>
        <w:t>）处置子公司或业务</w:t>
      </w:r>
    </w:p>
    <w:p w:rsidR="00A067C6" w:rsidRDefault="005C4966">
      <w:pPr>
        <w:pStyle w:val="a6"/>
        <w:spacing w:before="0" w:beforeAutospacing="0" w:after="0" w:afterAutospacing="0"/>
        <w:ind w:firstLine="420"/>
        <w:jc w:val="both"/>
        <w:rPr>
          <w:sz w:val="18"/>
          <w:szCs w:val="18"/>
        </w:rPr>
      </w:pPr>
      <w:r>
        <w:rPr>
          <w:rFonts w:hint="eastAsia"/>
          <w:sz w:val="18"/>
          <w:szCs w:val="18"/>
        </w:rPr>
        <w:t>1</w:t>
      </w:r>
      <w:r>
        <w:rPr>
          <w:rFonts w:hint="eastAsia"/>
          <w:sz w:val="18"/>
          <w:szCs w:val="18"/>
        </w:rPr>
        <w:t>）一般处理方法</w:t>
      </w:r>
    </w:p>
    <w:p w:rsidR="00A067C6" w:rsidRDefault="005C4966">
      <w:pPr>
        <w:pStyle w:val="a6"/>
        <w:spacing w:before="0" w:beforeAutospacing="0" w:after="0" w:afterAutospacing="0"/>
        <w:ind w:firstLine="420"/>
        <w:jc w:val="both"/>
        <w:rPr>
          <w:sz w:val="18"/>
          <w:szCs w:val="18"/>
        </w:rPr>
      </w:pPr>
      <w:r>
        <w:rPr>
          <w:rFonts w:hint="eastAsia"/>
          <w:sz w:val="18"/>
          <w:szCs w:val="18"/>
        </w:rPr>
        <w:t>在报告期内，本公司处置子公司或业务，则该子公司或业务期初至处置日的收入、费用、利润纳入合并利润表；该子公司或业务期初至处置日的现金流量纳入合并现金流量表。</w:t>
      </w:r>
    </w:p>
    <w:p w:rsidR="00A067C6" w:rsidRDefault="005C4966">
      <w:pPr>
        <w:pStyle w:val="a6"/>
        <w:spacing w:before="0" w:beforeAutospacing="0" w:after="0" w:afterAutospacing="0"/>
        <w:ind w:firstLine="420"/>
        <w:jc w:val="both"/>
        <w:rPr>
          <w:sz w:val="18"/>
          <w:szCs w:val="18"/>
        </w:rPr>
      </w:pPr>
      <w:r>
        <w:rPr>
          <w:rFonts w:hint="eastAsia"/>
          <w:sz w:val="18"/>
          <w:szCs w:val="18"/>
        </w:rPr>
        <w:t>因处置部分股权投资或其他原因丧失了对被投资方控制权时，对于处置后的剩余股权投资，本公司按照其在丧失控制权日的公允价值进行重新计量。处置股权取得的对价与剩余股权公允价值之和，减去按原持股比例计算应享有原有子公司自购买日或合并日开始持续计算的净资产的份额与商誉之和的差额，计入丧失控制权当期的投资收益。与原有子公司股权</w:t>
      </w:r>
      <w:r>
        <w:rPr>
          <w:rFonts w:hint="eastAsia"/>
          <w:sz w:val="18"/>
          <w:szCs w:val="18"/>
        </w:rPr>
        <w:t>投资相关的其他综合收益或除净损益、其他综合收益及利润分配之外的其他所有者权益变动，在丧失控制权时转为当期投资收益，由于被投资方重新计量设定受益计划净负债或净资产变动而产生的其他综合收益除外。</w:t>
      </w:r>
    </w:p>
    <w:p w:rsidR="00A067C6" w:rsidRDefault="005C4966">
      <w:pPr>
        <w:pStyle w:val="a6"/>
        <w:spacing w:before="0" w:beforeAutospacing="0" w:after="0" w:afterAutospacing="0"/>
        <w:ind w:firstLine="420"/>
        <w:jc w:val="both"/>
        <w:rPr>
          <w:sz w:val="18"/>
          <w:szCs w:val="18"/>
        </w:rPr>
      </w:pPr>
      <w:r>
        <w:rPr>
          <w:rFonts w:hint="eastAsia"/>
          <w:sz w:val="18"/>
          <w:szCs w:val="18"/>
        </w:rPr>
        <w:t>2</w:t>
      </w:r>
      <w:r>
        <w:rPr>
          <w:rFonts w:hint="eastAsia"/>
          <w:sz w:val="18"/>
          <w:szCs w:val="18"/>
        </w:rPr>
        <w:t>）分步处置子公司</w:t>
      </w:r>
    </w:p>
    <w:p w:rsidR="00A067C6" w:rsidRDefault="005C4966">
      <w:pPr>
        <w:pStyle w:val="a6"/>
        <w:spacing w:before="0" w:beforeAutospacing="0" w:after="0" w:afterAutospacing="0"/>
        <w:ind w:firstLine="420"/>
        <w:jc w:val="both"/>
        <w:rPr>
          <w:sz w:val="18"/>
          <w:szCs w:val="18"/>
        </w:rPr>
      </w:pPr>
      <w:r>
        <w:rPr>
          <w:rFonts w:hint="eastAsia"/>
          <w:sz w:val="18"/>
          <w:szCs w:val="18"/>
        </w:rPr>
        <w:t>通过多次交易分步处置对子公司股权投资直至丧失控制权的，处置对子公司股权投资的各项交易的条款、条件以及经济影响符合以下一种或多种情况，通常表明应将多次交易事项作为一揽子交易进行会计处理：</w:t>
      </w:r>
    </w:p>
    <w:p w:rsidR="00A067C6" w:rsidRDefault="005C4966">
      <w:pPr>
        <w:pStyle w:val="a6"/>
        <w:spacing w:before="0" w:beforeAutospacing="0" w:after="0" w:afterAutospacing="0"/>
        <w:ind w:firstLine="420"/>
        <w:jc w:val="both"/>
        <w:rPr>
          <w:sz w:val="18"/>
          <w:szCs w:val="18"/>
        </w:rPr>
      </w:pPr>
      <w:r>
        <w:rPr>
          <w:rFonts w:hint="eastAsia"/>
          <w:sz w:val="18"/>
          <w:szCs w:val="18"/>
        </w:rPr>
        <w:t>A.</w:t>
      </w:r>
      <w:r>
        <w:rPr>
          <w:rFonts w:hint="eastAsia"/>
          <w:sz w:val="18"/>
          <w:szCs w:val="18"/>
        </w:rPr>
        <w:t>这些交易是同时或者在考虑了彼此影响的情况下订立的；</w:t>
      </w:r>
    </w:p>
    <w:p w:rsidR="00A067C6" w:rsidRDefault="005C4966">
      <w:pPr>
        <w:pStyle w:val="a6"/>
        <w:spacing w:before="0" w:beforeAutospacing="0" w:after="0" w:afterAutospacing="0"/>
        <w:ind w:firstLine="420"/>
        <w:jc w:val="both"/>
        <w:rPr>
          <w:sz w:val="18"/>
          <w:szCs w:val="18"/>
        </w:rPr>
      </w:pPr>
      <w:r>
        <w:rPr>
          <w:rFonts w:hint="eastAsia"/>
          <w:sz w:val="18"/>
          <w:szCs w:val="18"/>
        </w:rPr>
        <w:t>B.</w:t>
      </w:r>
      <w:r>
        <w:rPr>
          <w:rFonts w:hint="eastAsia"/>
          <w:sz w:val="18"/>
          <w:szCs w:val="18"/>
        </w:rPr>
        <w:t>这些交易整体才能达成一项完整的商业结果；</w:t>
      </w:r>
    </w:p>
    <w:p w:rsidR="00A067C6" w:rsidRDefault="005C4966">
      <w:pPr>
        <w:pStyle w:val="a6"/>
        <w:spacing w:before="0" w:beforeAutospacing="0" w:after="0" w:afterAutospacing="0"/>
        <w:ind w:firstLine="420"/>
        <w:jc w:val="both"/>
        <w:rPr>
          <w:sz w:val="18"/>
          <w:szCs w:val="18"/>
        </w:rPr>
      </w:pPr>
      <w:r>
        <w:rPr>
          <w:rFonts w:hint="eastAsia"/>
          <w:sz w:val="18"/>
          <w:szCs w:val="18"/>
        </w:rPr>
        <w:t>C.</w:t>
      </w:r>
      <w:r>
        <w:rPr>
          <w:rFonts w:hint="eastAsia"/>
          <w:sz w:val="18"/>
          <w:szCs w:val="18"/>
        </w:rPr>
        <w:t>一项交易</w:t>
      </w:r>
      <w:r>
        <w:rPr>
          <w:rFonts w:hint="eastAsia"/>
          <w:sz w:val="18"/>
          <w:szCs w:val="18"/>
        </w:rPr>
        <w:t>的发生取决于其他至少一项交易的发生；</w:t>
      </w:r>
    </w:p>
    <w:p w:rsidR="00A067C6" w:rsidRDefault="005C4966">
      <w:pPr>
        <w:pStyle w:val="a6"/>
        <w:spacing w:before="0" w:beforeAutospacing="0" w:after="0" w:afterAutospacing="0"/>
        <w:ind w:firstLine="420"/>
        <w:jc w:val="both"/>
        <w:rPr>
          <w:sz w:val="18"/>
          <w:szCs w:val="18"/>
        </w:rPr>
      </w:pPr>
      <w:r>
        <w:rPr>
          <w:rFonts w:hint="eastAsia"/>
          <w:sz w:val="18"/>
          <w:szCs w:val="18"/>
        </w:rPr>
        <w:t>D.</w:t>
      </w:r>
      <w:r>
        <w:rPr>
          <w:rFonts w:hint="eastAsia"/>
          <w:sz w:val="18"/>
          <w:szCs w:val="18"/>
        </w:rPr>
        <w:t>一项交易单独看是不经济的，但是和其他交易一并考虑时是经济的。</w:t>
      </w:r>
    </w:p>
    <w:p w:rsidR="00A067C6" w:rsidRDefault="005C4966">
      <w:pPr>
        <w:pStyle w:val="a6"/>
        <w:spacing w:before="0" w:beforeAutospacing="0" w:after="0" w:afterAutospacing="0"/>
        <w:ind w:firstLine="420"/>
        <w:jc w:val="both"/>
        <w:rPr>
          <w:sz w:val="18"/>
          <w:szCs w:val="18"/>
        </w:rPr>
      </w:pPr>
      <w:r>
        <w:rPr>
          <w:rFonts w:hint="eastAsia"/>
          <w:sz w:val="18"/>
          <w:szCs w:val="18"/>
        </w:rPr>
        <w:t>处置对子公司股权投资直至丧失控制权的各项交易属于一揽子交易的，本公司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p w:rsidR="00A067C6" w:rsidRDefault="005C4966">
      <w:pPr>
        <w:pStyle w:val="a6"/>
        <w:spacing w:before="0" w:beforeAutospacing="0" w:after="0" w:afterAutospacing="0"/>
        <w:ind w:firstLine="420"/>
        <w:jc w:val="both"/>
        <w:rPr>
          <w:sz w:val="18"/>
          <w:szCs w:val="18"/>
        </w:rPr>
      </w:pPr>
      <w:r>
        <w:rPr>
          <w:rFonts w:hint="eastAsia"/>
          <w:sz w:val="18"/>
          <w:szCs w:val="18"/>
        </w:rPr>
        <w:t>处置对子公司股权投资直至丧失控制权的各项交易不属于一揽子交易的，在丧失控制权之前，按不丧失控制权的情况下部分处置对子</w:t>
      </w:r>
      <w:r>
        <w:rPr>
          <w:rFonts w:hint="eastAsia"/>
          <w:sz w:val="18"/>
          <w:szCs w:val="18"/>
        </w:rPr>
        <w:t>公司的股权投资的相关政策进行会计处理；在丧失控制权时，按处置子公司一般处理方法进行会计处理。</w:t>
      </w:r>
    </w:p>
    <w:p w:rsidR="00A067C6" w:rsidRDefault="005C4966">
      <w:pPr>
        <w:pStyle w:val="a6"/>
        <w:spacing w:before="0" w:beforeAutospacing="0" w:after="0" w:afterAutospacing="0"/>
        <w:ind w:firstLine="420"/>
        <w:jc w:val="both"/>
        <w:rPr>
          <w:sz w:val="18"/>
          <w:szCs w:val="18"/>
        </w:rPr>
      </w:pPr>
      <w:r>
        <w:rPr>
          <w:rFonts w:hint="eastAsia"/>
          <w:sz w:val="18"/>
          <w:szCs w:val="18"/>
        </w:rPr>
        <w:t>（</w:t>
      </w:r>
      <w:r>
        <w:rPr>
          <w:rFonts w:hint="eastAsia"/>
          <w:sz w:val="18"/>
          <w:szCs w:val="18"/>
        </w:rPr>
        <w:t>3</w:t>
      </w:r>
      <w:r>
        <w:rPr>
          <w:rFonts w:hint="eastAsia"/>
          <w:sz w:val="18"/>
          <w:szCs w:val="18"/>
        </w:rPr>
        <w:t>）购买子公司少数股权</w:t>
      </w:r>
    </w:p>
    <w:p w:rsidR="00A067C6" w:rsidRDefault="005C4966">
      <w:pPr>
        <w:pStyle w:val="a6"/>
        <w:spacing w:before="0" w:beforeAutospacing="0" w:after="0" w:afterAutospacing="0"/>
        <w:ind w:firstLine="420"/>
        <w:jc w:val="both"/>
        <w:rPr>
          <w:sz w:val="18"/>
          <w:szCs w:val="18"/>
        </w:rPr>
      </w:pPr>
      <w:r>
        <w:rPr>
          <w:rFonts w:hint="eastAsia"/>
          <w:sz w:val="18"/>
          <w:szCs w:val="18"/>
        </w:rPr>
        <w:t>本公司因购买少数股权新取得的长期股权投资与按照新增持股比例计算应享有子公司自购买日（或合并日）开始持续计算的净资产份额之间的差额，调整合并资产负债表中的资本公积中的股本溢价，资本公积中的股本溢价不足冲减的，调整留存收益。</w:t>
      </w:r>
    </w:p>
    <w:p w:rsidR="00A067C6" w:rsidRDefault="005C4966">
      <w:pPr>
        <w:pStyle w:val="a6"/>
        <w:spacing w:before="0" w:beforeAutospacing="0" w:after="0" w:afterAutospacing="0"/>
        <w:ind w:firstLine="420"/>
        <w:jc w:val="both"/>
        <w:rPr>
          <w:sz w:val="18"/>
          <w:szCs w:val="18"/>
        </w:rPr>
      </w:pPr>
      <w:r>
        <w:rPr>
          <w:rFonts w:hint="eastAsia"/>
          <w:sz w:val="18"/>
          <w:szCs w:val="18"/>
        </w:rPr>
        <w:t>（</w:t>
      </w:r>
      <w:r>
        <w:rPr>
          <w:rFonts w:hint="eastAsia"/>
          <w:sz w:val="18"/>
          <w:szCs w:val="18"/>
        </w:rPr>
        <w:t>4</w:t>
      </w:r>
      <w:r>
        <w:rPr>
          <w:rFonts w:hint="eastAsia"/>
          <w:sz w:val="18"/>
          <w:szCs w:val="18"/>
        </w:rPr>
        <w:t>）不丧失控制权的情况下部分处置对子公司的股权投资</w:t>
      </w:r>
    </w:p>
    <w:p w:rsidR="00A067C6" w:rsidRDefault="005C4966">
      <w:pPr>
        <w:pStyle w:val="a6"/>
        <w:spacing w:before="0" w:beforeAutospacing="0" w:after="0" w:afterAutospacing="0"/>
        <w:ind w:firstLine="420"/>
        <w:jc w:val="both"/>
        <w:rPr>
          <w:sz w:val="18"/>
          <w:szCs w:val="18"/>
        </w:rPr>
      </w:pPr>
      <w:r>
        <w:rPr>
          <w:rFonts w:hint="eastAsia"/>
          <w:sz w:val="18"/>
          <w:szCs w:val="18"/>
        </w:rPr>
        <w:t>在不丧失控制权的情况下因部分处置对子公司的长期股权投资而取得的处置价款与处置长期股权投资相对应享有子公司自购买日或合</w:t>
      </w:r>
      <w:r>
        <w:rPr>
          <w:rFonts w:hint="eastAsia"/>
          <w:sz w:val="18"/>
          <w:szCs w:val="18"/>
        </w:rPr>
        <w:t>并日开始持续计算的净资产份额之间的差额，调整合并资产负债表中的资本公积中的股本溢价，资本公积中的股本溢价不足冲减的，调整留存收益。</w:t>
      </w:r>
    </w:p>
    <w:p w:rsidR="00A067C6" w:rsidRDefault="005C4966">
      <w:pPr>
        <w:pStyle w:val="3"/>
        <w:spacing w:line="280" w:lineRule="exact"/>
        <w:jc w:val="left"/>
        <w:rPr>
          <w:rFonts w:ascii="宋体" w:hAnsi="宋体" w:cs="宋体"/>
          <w:b/>
          <w:bCs/>
        </w:rPr>
      </w:pPr>
      <w:bookmarkStart w:id="127" w:name="_Toc989015"/>
      <w:r>
        <w:rPr>
          <w:rFonts w:ascii="宋体" w:hAnsi="宋体" w:cs="宋体"/>
          <w:b/>
          <w:bCs/>
        </w:rPr>
        <w:t>7</w:t>
      </w:r>
      <w:r>
        <w:rPr>
          <w:rFonts w:ascii="宋体" w:hAnsi="宋体" w:cs="宋体"/>
          <w:b/>
          <w:bCs/>
        </w:rPr>
        <w:t>、合营安排分类及共同经营会计处理方法</w:t>
      </w:r>
      <w:bookmarkEnd w:id="127"/>
    </w:p>
    <w:p w:rsidR="00A067C6" w:rsidRDefault="005C4966" w:rsidP="005C4966">
      <w:pPr>
        <w:pStyle w:val="a6"/>
        <w:ind w:firstLineChars="196" w:firstLine="413"/>
        <w:jc w:val="both"/>
        <w:rPr>
          <w:rStyle w:val="a7"/>
          <w:sz w:val="21"/>
        </w:rPr>
      </w:pPr>
      <w:r>
        <w:rPr>
          <w:rStyle w:val="a7"/>
          <w:rFonts w:ascii="Times New Roman" w:hAnsi="Times New Roman" w:cs="Times New Roman" w:hint="eastAsia"/>
          <w:sz w:val="21"/>
          <w:szCs w:val="21"/>
        </w:rPr>
        <w:t>1.</w:t>
      </w:r>
      <w:r>
        <w:rPr>
          <w:rStyle w:val="a7"/>
          <w:rFonts w:ascii="Times New Roman" w:hAnsi="Times New Roman" w:cs="Times New Roman" w:hint="eastAsia"/>
          <w:sz w:val="21"/>
          <w:szCs w:val="21"/>
        </w:rPr>
        <w:t>合营安排的分类</w:t>
      </w:r>
    </w:p>
    <w:p w:rsidR="00A067C6" w:rsidRDefault="005C4966">
      <w:pPr>
        <w:pStyle w:val="a6"/>
        <w:spacing w:before="0" w:beforeAutospacing="0" w:after="0" w:afterAutospacing="0"/>
        <w:ind w:firstLine="420"/>
        <w:jc w:val="both"/>
        <w:rPr>
          <w:sz w:val="18"/>
          <w:szCs w:val="18"/>
        </w:rPr>
      </w:pPr>
      <w:r>
        <w:rPr>
          <w:rFonts w:hint="eastAsia"/>
          <w:sz w:val="18"/>
          <w:szCs w:val="18"/>
        </w:rPr>
        <w:t>本公司根据合营安排的结构、法律形式以及合营安排中约定的条款、其他相关事实和情况等因素，将合营安排分为共同经营和合营企业。</w:t>
      </w:r>
    </w:p>
    <w:p w:rsidR="00A067C6" w:rsidRDefault="005C4966">
      <w:pPr>
        <w:pStyle w:val="a6"/>
        <w:spacing w:before="0" w:beforeAutospacing="0" w:after="0" w:afterAutospacing="0"/>
        <w:ind w:firstLine="420"/>
        <w:jc w:val="both"/>
        <w:rPr>
          <w:sz w:val="18"/>
          <w:szCs w:val="18"/>
        </w:rPr>
      </w:pPr>
      <w:r>
        <w:rPr>
          <w:rFonts w:hint="eastAsia"/>
          <w:sz w:val="18"/>
          <w:szCs w:val="18"/>
        </w:rPr>
        <w:t>未通过单独主体达成的合营安排，划分为共同经营；通过单独主体达成的合营安排，通常划分为合营企业；但有确凿证据表明满足下列任一条件并且符合相关法律法规规定的合营安排划分为共同经营：</w:t>
      </w:r>
    </w:p>
    <w:p w:rsidR="00A067C6" w:rsidRDefault="005C4966">
      <w:pPr>
        <w:pStyle w:val="a6"/>
        <w:spacing w:before="0" w:beforeAutospacing="0" w:after="0" w:afterAutospacing="0"/>
        <w:ind w:firstLine="420"/>
        <w:jc w:val="both"/>
        <w:rPr>
          <w:sz w:val="18"/>
          <w:szCs w:val="18"/>
        </w:rPr>
      </w:pPr>
      <w:r>
        <w:rPr>
          <w:rFonts w:hint="eastAsia"/>
          <w:sz w:val="18"/>
          <w:szCs w:val="18"/>
        </w:rPr>
        <w:t>（</w:t>
      </w:r>
      <w:r>
        <w:rPr>
          <w:rFonts w:hint="eastAsia"/>
          <w:sz w:val="18"/>
          <w:szCs w:val="18"/>
        </w:rPr>
        <w:t>1</w:t>
      </w:r>
      <w:r>
        <w:rPr>
          <w:rFonts w:hint="eastAsia"/>
          <w:sz w:val="18"/>
          <w:szCs w:val="18"/>
        </w:rPr>
        <w:t>）合营安排的法律形式表明，合营方对该安排中的相关资产和负债分别享有权利和承担义务。</w:t>
      </w:r>
    </w:p>
    <w:p w:rsidR="00A067C6" w:rsidRDefault="005C4966">
      <w:pPr>
        <w:pStyle w:val="a6"/>
        <w:spacing w:before="0" w:beforeAutospacing="0" w:after="0" w:afterAutospacing="0"/>
        <w:ind w:firstLine="420"/>
        <w:jc w:val="both"/>
        <w:rPr>
          <w:sz w:val="18"/>
          <w:szCs w:val="18"/>
        </w:rPr>
      </w:pPr>
      <w:r>
        <w:rPr>
          <w:rFonts w:hint="eastAsia"/>
          <w:sz w:val="18"/>
          <w:szCs w:val="18"/>
        </w:rPr>
        <w:t>（</w:t>
      </w:r>
      <w:r>
        <w:rPr>
          <w:rFonts w:hint="eastAsia"/>
          <w:sz w:val="18"/>
          <w:szCs w:val="18"/>
        </w:rPr>
        <w:t>2</w:t>
      </w:r>
      <w:r>
        <w:rPr>
          <w:rFonts w:hint="eastAsia"/>
          <w:sz w:val="18"/>
          <w:szCs w:val="18"/>
        </w:rPr>
        <w:t>）合营安排的合同条款约定，合营方对该安排中的相关资产和负债分别享有权利和承担义务。</w:t>
      </w:r>
    </w:p>
    <w:p w:rsidR="00A067C6" w:rsidRDefault="005C4966">
      <w:pPr>
        <w:pStyle w:val="a6"/>
        <w:spacing w:before="0" w:beforeAutospacing="0" w:after="0" w:afterAutospacing="0"/>
        <w:ind w:firstLine="420"/>
        <w:jc w:val="both"/>
        <w:rPr>
          <w:sz w:val="18"/>
          <w:szCs w:val="18"/>
        </w:rPr>
      </w:pPr>
      <w:r>
        <w:rPr>
          <w:rFonts w:hint="eastAsia"/>
          <w:sz w:val="18"/>
          <w:szCs w:val="18"/>
        </w:rPr>
        <w:t>（</w:t>
      </w:r>
      <w:r>
        <w:rPr>
          <w:rFonts w:hint="eastAsia"/>
          <w:sz w:val="18"/>
          <w:szCs w:val="18"/>
        </w:rPr>
        <w:t>3</w:t>
      </w:r>
      <w:r>
        <w:rPr>
          <w:rFonts w:hint="eastAsia"/>
          <w:sz w:val="18"/>
          <w:szCs w:val="18"/>
        </w:rPr>
        <w:t>）其他相关事实和情况表明，合营方对该安排中的相关资产和负债分别享有权利和承担义务，如合营方享有与合营安排相关的几乎所有产出，并且该安排中负债的清偿持续依赖于合营方的支持。</w:t>
      </w:r>
    </w:p>
    <w:p w:rsidR="00A067C6" w:rsidRDefault="005C4966" w:rsidP="005C4966">
      <w:pPr>
        <w:pStyle w:val="a6"/>
        <w:ind w:firstLineChars="196" w:firstLine="413"/>
        <w:jc w:val="both"/>
        <w:rPr>
          <w:rFonts w:ascii="Times New Roman" w:hAnsi="Times New Roman" w:cs="Times New Roman"/>
        </w:rPr>
      </w:pPr>
      <w:r>
        <w:rPr>
          <w:rStyle w:val="a7"/>
          <w:rFonts w:ascii="Times New Roman" w:hAnsi="Times New Roman" w:cs="Times New Roman"/>
          <w:sz w:val="21"/>
          <w:szCs w:val="21"/>
        </w:rPr>
        <w:t>2.</w:t>
      </w:r>
      <w:r>
        <w:rPr>
          <w:rStyle w:val="a7"/>
          <w:rFonts w:cs="Times New Roman" w:hint="eastAsia"/>
          <w:sz w:val="21"/>
          <w:szCs w:val="21"/>
        </w:rPr>
        <w:t>共同经营会计处理方法</w:t>
      </w:r>
    </w:p>
    <w:p w:rsidR="00A067C6" w:rsidRDefault="005C4966">
      <w:pPr>
        <w:pStyle w:val="a6"/>
        <w:spacing w:before="0" w:beforeAutospacing="0" w:after="0" w:afterAutospacing="0"/>
        <w:ind w:firstLine="420"/>
        <w:jc w:val="both"/>
        <w:rPr>
          <w:sz w:val="18"/>
          <w:szCs w:val="18"/>
        </w:rPr>
      </w:pPr>
      <w:r>
        <w:rPr>
          <w:rFonts w:hint="eastAsia"/>
          <w:sz w:val="18"/>
          <w:szCs w:val="18"/>
        </w:rPr>
        <w:t>本公司确认共同经营中利益份额中与本公司相关的下列项目，并按照相关企业会计准则的规定进行会计处理：</w:t>
      </w:r>
    </w:p>
    <w:p w:rsidR="00A067C6" w:rsidRDefault="005C4966">
      <w:pPr>
        <w:pStyle w:val="a6"/>
        <w:spacing w:before="0" w:beforeAutospacing="0" w:after="0" w:afterAutospacing="0"/>
        <w:ind w:firstLine="420"/>
        <w:jc w:val="both"/>
        <w:rPr>
          <w:sz w:val="18"/>
          <w:szCs w:val="18"/>
        </w:rPr>
      </w:pPr>
      <w:r>
        <w:rPr>
          <w:rFonts w:hint="eastAsia"/>
          <w:sz w:val="18"/>
          <w:szCs w:val="18"/>
        </w:rPr>
        <w:t>（</w:t>
      </w:r>
      <w:r>
        <w:rPr>
          <w:rFonts w:hint="eastAsia"/>
          <w:sz w:val="18"/>
          <w:szCs w:val="18"/>
        </w:rPr>
        <w:t>1</w:t>
      </w:r>
      <w:r>
        <w:rPr>
          <w:rFonts w:hint="eastAsia"/>
          <w:sz w:val="18"/>
          <w:szCs w:val="18"/>
        </w:rPr>
        <w:t>）确认单独所持有的资产，以及按其</w:t>
      </w:r>
      <w:r>
        <w:rPr>
          <w:rFonts w:hint="eastAsia"/>
          <w:sz w:val="18"/>
          <w:szCs w:val="18"/>
        </w:rPr>
        <w:t>份额确认共同持有的资产；</w:t>
      </w:r>
    </w:p>
    <w:p w:rsidR="00A067C6" w:rsidRDefault="005C4966">
      <w:pPr>
        <w:pStyle w:val="a6"/>
        <w:spacing w:before="0" w:beforeAutospacing="0" w:after="0" w:afterAutospacing="0"/>
        <w:ind w:firstLine="420"/>
        <w:jc w:val="both"/>
        <w:rPr>
          <w:sz w:val="18"/>
          <w:szCs w:val="18"/>
        </w:rPr>
      </w:pPr>
      <w:r>
        <w:rPr>
          <w:rFonts w:hint="eastAsia"/>
          <w:sz w:val="18"/>
          <w:szCs w:val="18"/>
        </w:rPr>
        <w:t>（</w:t>
      </w:r>
      <w:r>
        <w:rPr>
          <w:rFonts w:hint="eastAsia"/>
          <w:sz w:val="18"/>
          <w:szCs w:val="18"/>
        </w:rPr>
        <w:t>2</w:t>
      </w:r>
      <w:r>
        <w:rPr>
          <w:rFonts w:hint="eastAsia"/>
          <w:sz w:val="18"/>
          <w:szCs w:val="18"/>
        </w:rPr>
        <w:t>）确认单独所承担的负债，以及按其份额确认共同承担的负债；</w:t>
      </w:r>
    </w:p>
    <w:p w:rsidR="00A067C6" w:rsidRDefault="005C4966">
      <w:pPr>
        <w:pStyle w:val="a6"/>
        <w:spacing w:before="0" w:beforeAutospacing="0" w:after="0" w:afterAutospacing="0"/>
        <w:ind w:firstLine="420"/>
        <w:jc w:val="both"/>
        <w:rPr>
          <w:sz w:val="18"/>
          <w:szCs w:val="18"/>
        </w:rPr>
      </w:pPr>
      <w:r>
        <w:rPr>
          <w:rFonts w:hint="eastAsia"/>
          <w:sz w:val="18"/>
          <w:szCs w:val="18"/>
        </w:rPr>
        <w:t>（</w:t>
      </w:r>
      <w:r>
        <w:rPr>
          <w:rFonts w:hint="eastAsia"/>
          <w:sz w:val="18"/>
          <w:szCs w:val="18"/>
        </w:rPr>
        <w:t>3</w:t>
      </w:r>
      <w:r>
        <w:rPr>
          <w:rFonts w:hint="eastAsia"/>
          <w:sz w:val="18"/>
          <w:szCs w:val="18"/>
        </w:rPr>
        <w:t>）确认出售其享有的共同经营产出份额所产生的收入；</w:t>
      </w:r>
    </w:p>
    <w:p w:rsidR="00A067C6" w:rsidRDefault="005C4966">
      <w:pPr>
        <w:pStyle w:val="a6"/>
        <w:spacing w:before="0" w:beforeAutospacing="0" w:after="0" w:afterAutospacing="0"/>
        <w:ind w:firstLine="420"/>
        <w:jc w:val="both"/>
        <w:rPr>
          <w:sz w:val="18"/>
          <w:szCs w:val="18"/>
        </w:rPr>
      </w:pPr>
      <w:r>
        <w:rPr>
          <w:rFonts w:hint="eastAsia"/>
          <w:sz w:val="18"/>
          <w:szCs w:val="18"/>
        </w:rPr>
        <w:t>（</w:t>
      </w:r>
      <w:r>
        <w:rPr>
          <w:rFonts w:hint="eastAsia"/>
          <w:sz w:val="18"/>
          <w:szCs w:val="18"/>
        </w:rPr>
        <w:t>4</w:t>
      </w:r>
      <w:r>
        <w:rPr>
          <w:rFonts w:hint="eastAsia"/>
          <w:sz w:val="18"/>
          <w:szCs w:val="18"/>
        </w:rPr>
        <w:t>）按其份额确认共同经营因出售产出所产生的收入；</w:t>
      </w:r>
    </w:p>
    <w:p w:rsidR="00A067C6" w:rsidRDefault="005C4966">
      <w:pPr>
        <w:pStyle w:val="a6"/>
        <w:spacing w:before="0" w:beforeAutospacing="0" w:after="0" w:afterAutospacing="0"/>
        <w:ind w:firstLine="420"/>
        <w:jc w:val="both"/>
        <w:rPr>
          <w:sz w:val="18"/>
          <w:szCs w:val="18"/>
        </w:rPr>
      </w:pPr>
      <w:r>
        <w:rPr>
          <w:rFonts w:hint="eastAsia"/>
          <w:sz w:val="18"/>
          <w:szCs w:val="18"/>
        </w:rPr>
        <w:t>（</w:t>
      </w:r>
      <w:r>
        <w:rPr>
          <w:rFonts w:hint="eastAsia"/>
          <w:sz w:val="18"/>
          <w:szCs w:val="18"/>
        </w:rPr>
        <w:t>5</w:t>
      </w:r>
      <w:r>
        <w:rPr>
          <w:rFonts w:hint="eastAsia"/>
          <w:sz w:val="18"/>
          <w:szCs w:val="18"/>
        </w:rPr>
        <w:t>）确认单独所发生的费用，以及按其份额确认共同经营发生的费用。</w:t>
      </w:r>
    </w:p>
    <w:p w:rsidR="00A067C6" w:rsidRDefault="005C4966">
      <w:pPr>
        <w:pStyle w:val="a6"/>
        <w:spacing w:before="0" w:beforeAutospacing="0" w:after="0" w:afterAutospacing="0"/>
        <w:ind w:firstLine="420"/>
        <w:jc w:val="both"/>
        <w:rPr>
          <w:sz w:val="18"/>
          <w:szCs w:val="18"/>
        </w:rPr>
      </w:pPr>
      <w:r>
        <w:rPr>
          <w:rFonts w:hint="eastAsia"/>
          <w:sz w:val="18"/>
          <w:szCs w:val="18"/>
        </w:rPr>
        <w:t>本公司向共同经营投出或出售资产等（该资产构成业务的除外），在该资产等由共同经营出售给第三方之前，仅确认因该交易产生的损益中归属于共同经营其他参与方的部分。投出或出售的资产发生符合《企业会计准则第</w:t>
      </w:r>
      <w:r>
        <w:rPr>
          <w:rFonts w:hint="eastAsia"/>
          <w:sz w:val="18"/>
          <w:szCs w:val="18"/>
        </w:rPr>
        <w:t>8</w:t>
      </w:r>
      <w:r>
        <w:rPr>
          <w:rFonts w:hint="eastAsia"/>
          <w:sz w:val="18"/>
          <w:szCs w:val="18"/>
        </w:rPr>
        <w:t>号——资产减值》等规定的资产减值损失的，本公司全额确认该</w:t>
      </w:r>
      <w:r>
        <w:rPr>
          <w:rFonts w:hint="eastAsia"/>
          <w:sz w:val="18"/>
          <w:szCs w:val="18"/>
        </w:rPr>
        <w:t>损失。</w:t>
      </w:r>
    </w:p>
    <w:p w:rsidR="00A067C6" w:rsidRDefault="005C4966">
      <w:pPr>
        <w:pStyle w:val="a6"/>
        <w:spacing w:before="0" w:beforeAutospacing="0" w:after="0" w:afterAutospacing="0"/>
        <w:ind w:firstLine="420"/>
        <w:jc w:val="both"/>
        <w:rPr>
          <w:sz w:val="18"/>
          <w:szCs w:val="18"/>
        </w:rPr>
      </w:pPr>
      <w:r>
        <w:rPr>
          <w:rFonts w:hint="eastAsia"/>
          <w:sz w:val="18"/>
          <w:szCs w:val="18"/>
        </w:rPr>
        <w:t>本公司自共同经营购买资产等（该资产构成业务的除外），在将该资产等出售给第三方之前，仅确认因该交易产生的损益中归属于共同经营其他参与方的部分。购入的资产发生符合《企业会计准则第</w:t>
      </w:r>
      <w:r>
        <w:rPr>
          <w:rFonts w:hint="eastAsia"/>
          <w:sz w:val="18"/>
          <w:szCs w:val="18"/>
        </w:rPr>
        <w:t>8</w:t>
      </w:r>
      <w:r>
        <w:rPr>
          <w:rFonts w:hint="eastAsia"/>
          <w:sz w:val="18"/>
          <w:szCs w:val="18"/>
        </w:rPr>
        <w:t>号——资产减值》等规定的资产减值损失的，本公司按承担的份额确认该部分损失。</w:t>
      </w:r>
    </w:p>
    <w:p w:rsidR="00A067C6" w:rsidRDefault="005C4966">
      <w:pPr>
        <w:pStyle w:val="a6"/>
        <w:spacing w:before="0" w:beforeAutospacing="0" w:after="0" w:afterAutospacing="0"/>
        <w:ind w:firstLine="420"/>
        <w:jc w:val="both"/>
        <w:rPr>
          <w:sz w:val="18"/>
          <w:szCs w:val="18"/>
        </w:rPr>
      </w:pPr>
      <w:r>
        <w:rPr>
          <w:rFonts w:hint="eastAsia"/>
          <w:sz w:val="18"/>
          <w:szCs w:val="18"/>
        </w:rPr>
        <w:t>本公司对共同经营不享有共同控制，如果本公司享有该共同经营相关资产且承担该共同经营相关负债的，仍按上述原则进行会计处理，否则，应当按照相关企业会计准则的规定进行会计处理。</w:t>
      </w:r>
      <w:r>
        <w:rPr>
          <w:rFonts w:hint="eastAsia"/>
          <w:sz w:val="18"/>
          <w:szCs w:val="18"/>
        </w:rPr>
        <w:t> </w:t>
      </w:r>
    </w:p>
    <w:p w:rsidR="00A067C6" w:rsidRDefault="005C4966">
      <w:pPr>
        <w:pStyle w:val="3"/>
        <w:spacing w:line="280" w:lineRule="exact"/>
        <w:jc w:val="left"/>
        <w:rPr>
          <w:rFonts w:ascii="宋体" w:hAnsi="宋体" w:cs="宋体"/>
          <w:b/>
          <w:bCs/>
        </w:rPr>
      </w:pPr>
      <w:bookmarkStart w:id="128" w:name="_Toc989016"/>
      <w:r>
        <w:rPr>
          <w:rFonts w:ascii="宋体" w:hAnsi="宋体" w:cs="宋体"/>
          <w:b/>
          <w:bCs/>
        </w:rPr>
        <w:t>8</w:t>
      </w:r>
      <w:r>
        <w:rPr>
          <w:rFonts w:ascii="宋体" w:hAnsi="宋体" w:cs="宋体"/>
          <w:b/>
          <w:bCs/>
        </w:rPr>
        <w:t>、现金及现金等价物的确定标准</w:t>
      </w:r>
      <w:bookmarkEnd w:id="128"/>
    </w:p>
    <w:p w:rsidR="00A067C6" w:rsidRDefault="005C4966">
      <w:pPr>
        <w:pStyle w:val="a6"/>
        <w:spacing w:before="0" w:beforeAutospacing="0" w:after="0" w:afterAutospacing="0"/>
        <w:ind w:firstLine="420"/>
        <w:jc w:val="both"/>
        <w:rPr>
          <w:sz w:val="18"/>
          <w:szCs w:val="18"/>
        </w:rPr>
      </w:pPr>
      <w:r>
        <w:rPr>
          <w:rFonts w:hint="eastAsia"/>
          <w:sz w:val="18"/>
          <w:szCs w:val="18"/>
        </w:rPr>
        <w:t>在编制现金流量表时，将本公司库存现金以及可以随时用于支付的存款确认为现金。将同时具备期限短（一般从购买日起三个月内到期）、流动性强、易于转换为已知金额的现金、价值变动风险很小四个条件的投资，确定为现金等价物。</w:t>
      </w:r>
    </w:p>
    <w:p w:rsidR="00A067C6" w:rsidRDefault="005C4966">
      <w:pPr>
        <w:pStyle w:val="3"/>
        <w:spacing w:line="280" w:lineRule="exact"/>
        <w:jc w:val="left"/>
        <w:rPr>
          <w:rFonts w:ascii="宋体" w:hAnsi="宋体" w:cs="宋体"/>
          <w:b/>
          <w:bCs/>
        </w:rPr>
      </w:pPr>
      <w:bookmarkStart w:id="129" w:name="_Toc989017"/>
      <w:r>
        <w:rPr>
          <w:rFonts w:ascii="宋体" w:hAnsi="宋体" w:cs="宋体"/>
          <w:b/>
          <w:bCs/>
        </w:rPr>
        <w:t>9</w:t>
      </w:r>
      <w:r>
        <w:rPr>
          <w:rFonts w:ascii="宋体" w:hAnsi="宋体" w:cs="宋体"/>
          <w:b/>
          <w:bCs/>
        </w:rPr>
        <w:t>、外币业务和外币报表折算</w:t>
      </w:r>
      <w:bookmarkEnd w:id="129"/>
    </w:p>
    <w:p w:rsidR="00A067C6" w:rsidRDefault="005C4966" w:rsidP="005C4966">
      <w:pPr>
        <w:pStyle w:val="a6"/>
        <w:ind w:firstLineChars="196" w:firstLine="413"/>
        <w:jc w:val="both"/>
        <w:rPr>
          <w:rStyle w:val="a7"/>
          <w:rFonts w:ascii="Times New Roman" w:hAnsi="Times New Roman" w:cs="Times New Roman"/>
          <w:sz w:val="21"/>
          <w:szCs w:val="21"/>
        </w:rPr>
      </w:pPr>
      <w:r>
        <w:rPr>
          <w:rStyle w:val="a7"/>
          <w:rFonts w:ascii="Times New Roman" w:hAnsi="Times New Roman" w:cs="Times New Roman" w:hint="eastAsia"/>
          <w:sz w:val="21"/>
          <w:szCs w:val="21"/>
        </w:rPr>
        <w:t>1.</w:t>
      </w:r>
      <w:r>
        <w:rPr>
          <w:rStyle w:val="a7"/>
          <w:rFonts w:ascii="Times New Roman" w:hAnsi="Times New Roman" w:cs="Times New Roman" w:hint="eastAsia"/>
          <w:sz w:val="21"/>
          <w:szCs w:val="21"/>
        </w:rPr>
        <w:t>外币业务</w:t>
      </w:r>
    </w:p>
    <w:p w:rsidR="00A067C6" w:rsidRDefault="005C4966">
      <w:pPr>
        <w:pStyle w:val="a6"/>
        <w:spacing w:before="0" w:beforeAutospacing="0" w:after="0" w:afterAutospacing="0"/>
        <w:ind w:firstLine="420"/>
        <w:jc w:val="both"/>
        <w:rPr>
          <w:sz w:val="18"/>
          <w:szCs w:val="18"/>
        </w:rPr>
      </w:pPr>
      <w:r>
        <w:rPr>
          <w:rFonts w:hint="eastAsia"/>
          <w:sz w:val="18"/>
          <w:szCs w:val="18"/>
        </w:rPr>
        <w:t>外币业务交易在初始确认时，采用交易发生日的即期汇率作为折算汇率折合成人民币记账。</w:t>
      </w:r>
    </w:p>
    <w:p w:rsidR="00A067C6" w:rsidRDefault="005C4966">
      <w:pPr>
        <w:pStyle w:val="a6"/>
        <w:spacing w:before="0" w:beforeAutospacing="0" w:after="0" w:afterAutospacing="0"/>
        <w:ind w:firstLine="420"/>
        <w:jc w:val="both"/>
        <w:rPr>
          <w:sz w:val="18"/>
          <w:szCs w:val="18"/>
        </w:rPr>
      </w:pPr>
      <w:r>
        <w:rPr>
          <w:rFonts w:hint="eastAsia"/>
          <w:sz w:val="18"/>
          <w:szCs w:val="18"/>
        </w:rPr>
        <w:t>资产负债表日，外币货币性项目按资产负债表日即期汇率折算，由此产生的汇兑差额，除属于与购建符合资本化条件的资产相关的外币专门借款产生的汇兑差额按照借款费用资本化的原则处理外，均计入</w:t>
      </w:r>
      <w:r>
        <w:rPr>
          <w:rFonts w:hint="eastAsia"/>
          <w:sz w:val="18"/>
          <w:szCs w:val="18"/>
        </w:rPr>
        <w:t>当期损益。以历史成本计量的外币非货币性项目，仍采用交易发生日的即期汇率折算，不改变其记账本位币金额。</w:t>
      </w:r>
    </w:p>
    <w:p w:rsidR="00A067C6" w:rsidRDefault="005C4966">
      <w:pPr>
        <w:pStyle w:val="a6"/>
        <w:spacing w:before="0" w:beforeAutospacing="0" w:after="0" w:afterAutospacing="0"/>
        <w:ind w:firstLine="420"/>
        <w:jc w:val="both"/>
        <w:rPr>
          <w:sz w:val="18"/>
          <w:szCs w:val="18"/>
        </w:rPr>
      </w:pPr>
      <w:r>
        <w:rPr>
          <w:rFonts w:hint="eastAsia"/>
          <w:sz w:val="18"/>
          <w:szCs w:val="18"/>
        </w:rPr>
        <w:t>以公允价值计量的外币非货币性项目，采用公允价值确定日的即期汇率折算，折算后的记账本位币金额与原记账本位币金额的差额，作为公允价值变动</w:t>
      </w:r>
      <w:r>
        <w:rPr>
          <w:rFonts w:hint="eastAsia"/>
          <w:sz w:val="18"/>
          <w:szCs w:val="18"/>
        </w:rPr>
        <w:t>(</w:t>
      </w:r>
      <w:r>
        <w:rPr>
          <w:rFonts w:hint="eastAsia"/>
          <w:sz w:val="18"/>
          <w:szCs w:val="18"/>
        </w:rPr>
        <w:t>含汇率变动</w:t>
      </w:r>
      <w:r>
        <w:rPr>
          <w:rFonts w:hint="eastAsia"/>
          <w:sz w:val="18"/>
          <w:szCs w:val="18"/>
        </w:rPr>
        <w:t>)</w:t>
      </w:r>
      <w:r>
        <w:rPr>
          <w:rFonts w:hint="eastAsia"/>
          <w:sz w:val="18"/>
          <w:szCs w:val="18"/>
        </w:rPr>
        <w:t>处理，计入当期损益或确认为其他综合收益。</w:t>
      </w:r>
    </w:p>
    <w:p w:rsidR="00A067C6" w:rsidRDefault="005C4966" w:rsidP="005C4966">
      <w:pPr>
        <w:pStyle w:val="a6"/>
        <w:ind w:firstLineChars="196" w:firstLine="413"/>
        <w:jc w:val="both"/>
        <w:rPr>
          <w:rStyle w:val="a7"/>
          <w:rFonts w:ascii="Times New Roman" w:hAnsi="Times New Roman" w:cs="Times New Roman"/>
          <w:sz w:val="21"/>
          <w:szCs w:val="21"/>
        </w:rPr>
      </w:pPr>
      <w:r>
        <w:rPr>
          <w:rStyle w:val="a7"/>
          <w:rFonts w:ascii="Times New Roman" w:hAnsi="Times New Roman" w:cs="Times New Roman" w:hint="eastAsia"/>
          <w:sz w:val="21"/>
          <w:szCs w:val="21"/>
        </w:rPr>
        <w:t>2.</w:t>
      </w:r>
      <w:r>
        <w:rPr>
          <w:rStyle w:val="a7"/>
          <w:rFonts w:ascii="Times New Roman" w:hAnsi="Times New Roman" w:cs="Times New Roman" w:hint="eastAsia"/>
          <w:sz w:val="21"/>
          <w:szCs w:val="21"/>
        </w:rPr>
        <w:t>外币财务报表的折算</w:t>
      </w:r>
    </w:p>
    <w:p w:rsidR="00A067C6" w:rsidRDefault="005C4966">
      <w:pPr>
        <w:pStyle w:val="a6"/>
        <w:spacing w:before="0" w:beforeAutospacing="0" w:after="0" w:afterAutospacing="0"/>
        <w:ind w:firstLine="420"/>
        <w:jc w:val="both"/>
        <w:rPr>
          <w:sz w:val="18"/>
          <w:szCs w:val="18"/>
        </w:rPr>
      </w:pPr>
      <w:r>
        <w:rPr>
          <w:rFonts w:hint="eastAsia"/>
          <w:sz w:val="18"/>
          <w:szCs w:val="18"/>
        </w:rPr>
        <w:t>资产负债表中的资产和负债项目，采用资产负债表日的即期汇率折算；所有者权益项目除“未分配利润”项目外，其他项目采用发生时的即期汇率折算。利润表中的收入和费用项目，采用当期加权平均汇率折算。按照上述折算产生的外币财务报表折算差额计入其他综合收益。</w:t>
      </w:r>
    </w:p>
    <w:p w:rsidR="00A067C6" w:rsidRDefault="005C4966">
      <w:pPr>
        <w:pStyle w:val="a6"/>
        <w:spacing w:before="0" w:beforeAutospacing="0" w:after="0" w:afterAutospacing="0"/>
        <w:ind w:firstLine="420"/>
        <w:jc w:val="both"/>
        <w:rPr>
          <w:sz w:val="18"/>
          <w:szCs w:val="18"/>
        </w:rPr>
      </w:pPr>
      <w:r>
        <w:rPr>
          <w:rFonts w:hint="eastAsia"/>
          <w:sz w:val="18"/>
          <w:szCs w:val="18"/>
        </w:rPr>
        <w:t>处置境外经营时，将资产负债表中其他综合收益项目中列示的、与该境外经营相关的外币财务报表折算差额，自其他综合收益项目转入处置当期损益；在处置部分股权投资或其他原因导致持有境外经营权益比例降低但不丧失对境外经营控制权时，与该境外经营处置部分相关的外币报表折算差额将归属于少</w:t>
      </w:r>
      <w:r>
        <w:rPr>
          <w:rFonts w:hint="eastAsia"/>
          <w:sz w:val="18"/>
          <w:szCs w:val="18"/>
        </w:rPr>
        <w:t>数股东权益，不转入当期损益。在处置境外经营为联营企业或合营企业的部分股权时，与该境外经营相关的外币报表折算差额，按处置该境外经营的比例转入处置当期损益。</w:t>
      </w:r>
      <w:r>
        <w:rPr>
          <w:rFonts w:hint="eastAsia"/>
          <w:sz w:val="18"/>
          <w:szCs w:val="18"/>
        </w:rPr>
        <w:t xml:space="preserve"> </w:t>
      </w:r>
    </w:p>
    <w:p w:rsidR="00A067C6" w:rsidRDefault="005C4966">
      <w:pPr>
        <w:pStyle w:val="3"/>
        <w:spacing w:line="280" w:lineRule="exact"/>
        <w:jc w:val="left"/>
        <w:rPr>
          <w:rFonts w:ascii="宋体" w:hAnsi="宋体" w:cs="宋体"/>
          <w:b/>
          <w:bCs/>
        </w:rPr>
      </w:pPr>
      <w:bookmarkStart w:id="130" w:name="_Toc989018"/>
      <w:r>
        <w:rPr>
          <w:rFonts w:ascii="宋体" w:hAnsi="宋体" w:cs="宋体"/>
          <w:b/>
          <w:bCs/>
        </w:rPr>
        <w:t>10</w:t>
      </w:r>
      <w:r>
        <w:rPr>
          <w:rFonts w:ascii="宋体" w:hAnsi="宋体" w:cs="宋体"/>
          <w:b/>
          <w:bCs/>
        </w:rPr>
        <w:t>、金融工具</w:t>
      </w:r>
      <w:bookmarkEnd w:id="130"/>
    </w:p>
    <w:p w:rsidR="00A067C6" w:rsidRDefault="005C4966">
      <w:pPr>
        <w:pStyle w:val="a6"/>
        <w:spacing w:before="0" w:beforeAutospacing="0" w:after="0" w:afterAutospacing="0"/>
        <w:ind w:firstLine="420"/>
        <w:jc w:val="both"/>
        <w:rPr>
          <w:sz w:val="18"/>
          <w:szCs w:val="18"/>
        </w:rPr>
      </w:pPr>
      <w:r>
        <w:rPr>
          <w:rFonts w:hint="eastAsia"/>
          <w:sz w:val="18"/>
          <w:szCs w:val="18"/>
        </w:rPr>
        <w:t>本公司在成为金融工具合同的一方时确认一项金融资产或金融负债。</w:t>
      </w:r>
    </w:p>
    <w:p w:rsidR="00A067C6" w:rsidRDefault="005C4966">
      <w:pPr>
        <w:pStyle w:val="a6"/>
        <w:spacing w:before="0" w:beforeAutospacing="0" w:after="0" w:afterAutospacing="0"/>
        <w:ind w:firstLine="420"/>
        <w:jc w:val="both"/>
        <w:rPr>
          <w:sz w:val="18"/>
          <w:szCs w:val="18"/>
        </w:rPr>
      </w:pPr>
      <w:r>
        <w:rPr>
          <w:rFonts w:hint="eastAsia"/>
          <w:sz w:val="18"/>
          <w:szCs w:val="18"/>
        </w:rPr>
        <w:t>实际利率法是指计算金融资产或金融负债的摊余成本以及将利息收入或利息费用分摊计入各会计期间的方法。</w:t>
      </w:r>
    </w:p>
    <w:p w:rsidR="00A067C6" w:rsidRDefault="005C4966">
      <w:pPr>
        <w:pStyle w:val="a6"/>
        <w:spacing w:before="0" w:beforeAutospacing="0" w:after="0" w:afterAutospacing="0"/>
        <w:ind w:firstLine="420"/>
        <w:jc w:val="both"/>
        <w:rPr>
          <w:sz w:val="18"/>
          <w:szCs w:val="18"/>
        </w:rPr>
      </w:pPr>
      <w:r>
        <w:rPr>
          <w:rFonts w:hint="eastAsia"/>
          <w:sz w:val="18"/>
          <w:szCs w:val="18"/>
        </w:rPr>
        <w:t>实际利率，是指将金融资产或金融负债在预计存续期的估计未来现金流量，折现为该金融资产账面余额或该金融负债摊余成本所使用的利率。在确定实际利率时，在考虑金融资产或金融负债所有合同条款</w:t>
      </w:r>
      <w:r>
        <w:rPr>
          <w:rFonts w:hint="eastAsia"/>
          <w:sz w:val="18"/>
          <w:szCs w:val="18"/>
        </w:rPr>
        <w:t>(</w:t>
      </w:r>
      <w:r>
        <w:rPr>
          <w:rFonts w:hint="eastAsia"/>
          <w:sz w:val="18"/>
          <w:szCs w:val="18"/>
        </w:rPr>
        <w:t>如提前还款、展期、看涨期权或其他类似期权等</w:t>
      </w:r>
      <w:r>
        <w:rPr>
          <w:rFonts w:hint="eastAsia"/>
          <w:sz w:val="18"/>
          <w:szCs w:val="18"/>
        </w:rPr>
        <w:t>)</w:t>
      </w:r>
      <w:r>
        <w:rPr>
          <w:rFonts w:hint="eastAsia"/>
          <w:sz w:val="18"/>
          <w:szCs w:val="18"/>
        </w:rPr>
        <w:t>的基础上估计预期现金流量，但不考虑预期信用损失。</w:t>
      </w:r>
    </w:p>
    <w:p w:rsidR="00A067C6" w:rsidRDefault="005C4966">
      <w:pPr>
        <w:pStyle w:val="a6"/>
        <w:spacing w:before="0" w:beforeAutospacing="0" w:after="0" w:afterAutospacing="0"/>
        <w:ind w:firstLine="420"/>
        <w:jc w:val="both"/>
        <w:rPr>
          <w:sz w:val="18"/>
          <w:szCs w:val="18"/>
        </w:rPr>
      </w:pPr>
      <w:r>
        <w:rPr>
          <w:rFonts w:hint="eastAsia"/>
          <w:sz w:val="18"/>
          <w:szCs w:val="18"/>
        </w:rPr>
        <w:t>金融资产或金融负债的摊余成本是以该金融资产或金融负债的初始确认金额扣除已偿还的本金，加上或减去采用实际利率法将该初始确认金额与到期日金额之间的差额进行摊销形成的累计摊销额，再扣除累计计提的损失准备</w:t>
      </w:r>
      <w:r>
        <w:rPr>
          <w:rFonts w:hint="eastAsia"/>
          <w:sz w:val="18"/>
          <w:szCs w:val="18"/>
        </w:rPr>
        <w:t>(</w:t>
      </w:r>
      <w:r>
        <w:rPr>
          <w:rFonts w:hint="eastAsia"/>
          <w:sz w:val="18"/>
          <w:szCs w:val="18"/>
        </w:rPr>
        <w:t>仅适用于金融资产</w:t>
      </w:r>
      <w:r>
        <w:rPr>
          <w:rFonts w:hint="eastAsia"/>
          <w:sz w:val="18"/>
          <w:szCs w:val="18"/>
        </w:rPr>
        <w:t>)</w:t>
      </w:r>
      <w:r>
        <w:rPr>
          <w:rFonts w:hint="eastAsia"/>
          <w:sz w:val="18"/>
          <w:szCs w:val="18"/>
        </w:rPr>
        <w:t>。</w:t>
      </w:r>
    </w:p>
    <w:p w:rsidR="00A067C6" w:rsidRDefault="005C4966">
      <w:pPr>
        <w:widowControl/>
        <w:numPr>
          <w:ilvl w:val="0"/>
          <w:numId w:val="1"/>
        </w:numPr>
        <w:jc w:val="both"/>
        <w:rPr>
          <w:rFonts w:ascii="Times New Roman" w:hAnsi="Times New Roman" w:cs="Times New Roman"/>
          <w:szCs w:val="21"/>
        </w:rPr>
      </w:pPr>
      <w:r>
        <w:rPr>
          <w:rStyle w:val="a7"/>
          <w:rFonts w:cs="Times New Roman" w:hint="eastAsia"/>
          <w:szCs w:val="21"/>
        </w:rPr>
        <w:t>金融资产的分类、确认和计量</w:t>
      </w:r>
    </w:p>
    <w:p w:rsidR="00A067C6" w:rsidRDefault="005C4966">
      <w:pPr>
        <w:pStyle w:val="a6"/>
        <w:spacing w:before="0" w:beforeAutospacing="0" w:after="0" w:afterAutospacing="0"/>
        <w:ind w:firstLine="420"/>
        <w:jc w:val="both"/>
        <w:rPr>
          <w:sz w:val="18"/>
          <w:szCs w:val="18"/>
        </w:rPr>
      </w:pPr>
      <w:r>
        <w:rPr>
          <w:rFonts w:hint="eastAsia"/>
          <w:sz w:val="18"/>
          <w:szCs w:val="18"/>
        </w:rPr>
        <w:t>本公司根据所管理金融资产的业务模式和金融资产的合同现金流量特征，将金融资产划分为以下三类：</w:t>
      </w:r>
    </w:p>
    <w:p w:rsidR="00A067C6" w:rsidRDefault="005C4966">
      <w:pPr>
        <w:pStyle w:val="a6"/>
        <w:spacing w:before="0" w:beforeAutospacing="0" w:after="0" w:afterAutospacing="0"/>
        <w:ind w:firstLine="420"/>
        <w:jc w:val="both"/>
        <w:rPr>
          <w:sz w:val="18"/>
          <w:szCs w:val="18"/>
        </w:rPr>
      </w:pPr>
      <w:r>
        <w:rPr>
          <w:rFonts w:hint="eastAsia"/>
          <w:sz w:val="18"/>
          <w:szCs w:val="18"/>
        </w:rPr>
        <w:t>（</w:t>
      </w:r>
      <w:r>
        <w:rPr>
          <w:rFonts w:hint="eastAsia"/>
          <w:sz w:val="18"/>
          <w:szCs w:val="18"/>
        </w:rPr>
        <w:t>1</w:t>
      </w:r>
      <w:r>
        <w:rPr>
          <w:rFonts w:hint="eastAsia"/>
          <w:sz w:val="18"/>
          <w:szCs w:val="18"/>
        </w:rPr>
        <w:t>）以摊余成本计量的金融资产。</w:t>
      </w:r>
    </w:p>
    <w:p w:rsidR="00A067C6" w:rsidRDefault="005C4966">
      <w:pPr>
        <w:pStyle w:val="a6"/>
        <w:spacing w:before="0" w:beforeAutospacing="0" w:after="0" w:afterAutospacing="0"/>
        <w:ind w:firstLine="420"/>
        <w:jc w:val="both"/>
        <w:rPr>
          <w:sz w:val="18"/>
          <w:szCs w:val="18"/>
        </w:rPr>
      </w:pPr>
      <w:r>
        <w:rPr>
          <w:rFonts w:hint="eastAsia"/>
          <w:sz w:val="18"/>
          <w:szCs w:val="18"/>
        </w:rPr>
        <w:t>（</w:t>
      </w:r>
      <w:r>
        <w:rPr>
          <w:rFonts w:hint="eastAsia"/>
          <w:sz w:val="18"/>
          <w:szCs w:val="18"/>
        </w:rPr>
        <w:t>2</w:t>
      </w:r>
      <w:r>
        <w:rPr>
          <w:rFonts w:hint="eastAsia"/>
          <w:sz w:val="18"/>
          <w:szCs w:val="18"/>
        </w:rPr>
        <w:t>）以公允价值计量且其变动计入其他综合收益</w:t>
      </w:r>
      <w:r>
        <w:rPr>
          <w:rFonts w:hint="eastAsia"/>
          <w:sz w:val="18"/>
          <w:szCs w:val="18"/>
        </w:rPr>
        <w:t>的金融资产。</w:t>
      </w:r>
    </w:p>
    <w:p w:rsidR="00A067C6" w:rsidRDefault="005C4966">
      <w:pPr>
        <w:pStyle w:val="a6"/>
        <w:spacing w:before="0" w:beforeAutospacing="0" w:after="0" w:afterAutospacing="0"/>
        <w:ind w:firstLine="420"/>
        <w:jc w:val="both"/>
        <w:rPr>
          <w:sz w:val="18"/>
          <w:szCs w:val="18"/>
        </w:rPr>
      </w:pPr>
      <w:r>
        <w:rPr>
          <w:rFonts w:hint="eastAsia"/>
          <w:sz w:val="18"/>
          <w:szCs w:val="18"/>
        </w:rPr>
        <w:t>（</w:t>
      </w:r>
      <w:r>
        <w:rPr>
          <w:rFonts w:hint="eastAsia"/>
          <w:sz w:val="18"/>
          <w:szCs w:val="18"/>
        </w:rPr>
        <w:t>3</w:t>
      </w:r>
      <w:r>
        <w:rPr>
          <w:rFonts w:hint="eastAsia"/>
          <w:sz w:val="18"/>
          <w:szCs w:val="18"/>
        </w:rPr>
        <w:t>）以公允价值计量且其变动计入当期损益的金融资产。</w:t>
      </w:r>
    </w:p>
    <w:p w:rsidR="00A067C6" w:rsidRDefault="005C4966">
      <w:pPr>
        <w:pStyle w:val="a6"/>
        <w:spacing w:before="0" w:beforeAutospacing="0" w:after="0" w:afterAutospacing="0"/>
        <w:ind w:firstLine="420"/>
        <w:jc w:val="both"/>
        <w:rPr>
          <w:sz w:val="18"/>
          <w:szCs w:val="18"/>
        </w:rPr>
      </w:pPr>
      <w:r>
        <w:rPr>
          <w:rFonts w:hint="eastAsia"/>
          <w:sz w:val="18"/>
          <w:szCs w:val="18"/>
        </w:rPr>
        <w:t>金融资产在初始确认时以公允价值计量，但是因销售商品或提供服务等产生的应收账款或应收票据未包含重大融资成分或不考虑不超过一年的融资成分的，按照交易价格进行初始计量。</w:t>
      </w:r>
    </w:p>
    <w:p w:rsidR="00A067C6" w:rsidRDefault="005C4966">
      <w:pPr>
        <w:pStyle w:val="a6"/>
        <w:spacing w:before="0" w:beforeAutospacing="0" w:after="0" w:afterAutospacing="0"/>
        <w:ind w:firstLine="420"/>
        <w:jc w:val="both"/>
        <w:rPr>
          <w:sz w:val="18"/>
          <w:szCs w:val="18"/>
        </w:rPr>
      </w:pPr>
      <w:r>
        <w:rPr>
          <w:rFonts w:hint="eastAsia"/>
          <w:sz w:val="18"/>
          <w:szCs w:val="18"/>
        </w:rPr>
        <w:t>对于以公允价值计量且其变动计入当期损益的金融资产，相关交易费用直接计入当期损益，其他类别的金融资产相关交易费用计入其初始确认金额。</w:t>
      </w:r>
    </w:p>
    <w:p w:rsidR="00A067C6" w:rsidRDefault="005C4966">
      <w:pPr>
        <w:pStyle w:val="a6"/>
        <w:spacing w:before="0" w:beforeAutospacing="0" w:after="0" w:afterAutospacing="0"/>
        <w:ind w:firstLine="420"/>
        <w:jc w:val="both"/>
        <w:rPr>
          <w:sz w:val="18"/>
          <w:szCs w:val="18"/>
        </w:rPr>
      </w:pPr>
      <w:r>
        <w:rPr>
          <w:rFonts w:hint="eastAsia"/>
          <w:sz w:val="18"/>
          <w:szCs w:val="18"/>
        </w:rPr>
        <w:t>金融资产的后续计量取决于其分类，当且仅当本公司改变管理金融资产的业务模式时，才对所有受影响的相关金融资产进行重分类。</w:t>
      </w:r>
    </w:p>
    <w:p w:rsidR="00A067C6" w:rsidRDefault="005C4966">
      <w:pPr>
        <w:pStyle w:val="a6"/>
        <w:spacing w:before="0" w:beforeAutospacing="0" w:after="0" w:afterAutospacing="0"/>
        <w:ind w:firstLine="420"/>
        <w:jc w:val="both"/>
        <w:rPr>
          <w:sz w:val="18"/>
          <w:szCs w:val="18"/>
        </w:rPr>
      </w:pPr>
      <w:r>
        <w:rPr>
          <w:rFonts w:hint="eastAsia"/>
          <w:sz w:val="18"/>
          <w:szCs w:val="18"/>
        </w:rPr>
        <w:t>（</w:t>
      </w:r>
      <w:r>
        <w:rPr>
          <w:rFonts w:hint="eastAsia"/>
          <w:sz w:val="18"/>
          <w:szCs w:val="18"/>
        </w:rPr>
        <w:t>1</w:t>
      </w:r>
      <w:r>
        <w:rPr>
          <w:rFonts w:hint="eastAsia"/>
          <w:sz w:val="18"/>
          <w:szCs w:val="18"/>
        </w:rPr>
        <w:t>）分类为以摊余成本计量的金</w:t>
      </w:r>
      <w:r>
        <w:rPr>
          <w:rFonts w:hint="eastAsia"/>
          <w:sz w:val="18"/>
          <w:szCs w:val="18"/>
        </w:rPr>
        <w:t>融资产</w:t>
      </w:r>
    </w:p>
    <w:p w:rsidR="00A067C6" w:rsidRDefault="005C4966">
      <w:pPr>
        <w:pStyle w:val="a6"/>
        <w:spacing w:before="0" w:beforeAutospacing="0" w:after="0" w:afterAutospacing="0"/>
        <w:ind w:firstLine="420"/>
        <w:jc w:val="both"/>
        <w:rPr>
          <w:sz w:val="18"/>
          <w:szCs w:val="18"/>
        </w:rPr>
      </w:pPr>
      <w:r>
        <w:rPr>
          <w:rFonts w:hint="eastAsia"/>
          <w:sz w:val="18"/>
          <w:szCs w:val="18"/>
        </w:rPr>
        <w:t>金融资产的合同条款规定在特定日期产生的现金流量仅为对本金和以未偿付本金金额为基础的利息的支付，且管理该金融资产的业务模式是以收取合同现金流量为目标，则本公司将该金融资产分类为以摊余成本计量的金融资产。本公司分类为以摊余成本计量的金融资产包括货币资金、应收票据、应收款项融资、应收账款、其他应收款、长期应收款等。</w:t>
      </w:r>
    </w:p>
    <w:p w:rsidR="00A067C6" w:rsidRDefault="005C4966">
      <w:pPr>
        <w:pStyle w:val="a6"/>
        <w:spacing w:before="0" w:beforeAutospacing="0" w:after="0" w:afterAutospacing="0"/>
        <w:ind w:firstLine="420"/>
        <w:jc w:val="both"/>
        <w:rPr>
          <w:sz w:val="18"/>
          <w:szCs w:val="18"/>
        </w:rPr>
      </w:pPr>
      <w:r>
        <w:rPr>
          <w:rFonts w:hint="eastAsia"/>
          <w:sz w:val="18"/>
          <w:szCs w:val="18"/>
        </w:rPr>
        <w:t>本公司对此类金融资产采用实际利率法确认利息收入，按摊余成本进行后续计量，其发生减值时或终止确认、修改产生的利得或损失，计入当期损益。除下列情况外，本公司根据金融资产账面余额乘以实际利率计算确定</w:t>
      </w:r>
      <w:r>
        <w:rPr>
          <w:rFonts w:hint="eastAsia"/>
          <w:sz w:val="18"/>
          <w:szCs w:val="18"/>
        </w:rPr>
        <w:t>利息收入：</w:t>
      </w:r>
    </w:p>
    <w:p w:rsidR="00A067C6" w:rsidRDefault="005C4966" w:rsidP="005C4966">
      <w:pPr>
        <w:pStyle w:val="a6"/>
        <w:spacing w:before="0" w:beforeAutospacing="0" w:after="0" w:afterAutospacing="0"/>
        <w:ind w:firstLineChars="432" w:firstLine="778"/>
        <w:jc w:val="both"/>
        <w:rPr>
          <w:sz w:val="18"/>
          <w:szCs w:val="18"/>
        </w:rPr>
      </w:pPr>
      <w:r>
        <w:rPr>
          <w:rFonts w:hint="eastAsia"/>
          <w:sz w:val="18"/>
          <w:szCs w:val="18"/>
        </w:rPr>
        <w:t>1</w:t>
      </w:r>
      <w:r>
        <w:rPr>
          <w:rFonts w:hint="eastAsia"/>
          <w:sz w:val="18"/>
          <w:szCs w:val="18"/>
        </w:rPr>
        <w:t>）对于购入或源生的已发生信用减值的金融资产，本公司自初始确认起，按照该金融资产的摊余成本和经信用调整的实际利率计算确定其利息收入。</w:t>
      </w:r>
    </w:p>
    <w:p w:rsidR="00A067C6" w:rsidRDefault="005C4966" w:rsidP="005C4966">
      <w:pPr>
        <w:pStyle w:val="a6"/>
        <w:spacing w:before="0" w:beforeAutospacing="0" w:after="0" w:afterAutospacing="0"/>
        <w:ind w:firstLineChars="432" w:firstLine="778"/>
        <w:jc w:val="both"/>
        <w:rPr>
          <w:sz w:val="18"/>
          <w:szCs w:val="18"/>
        </w:rPr>
      </w:pPr>
      <w:r>
        <w:rPr>
          <w:rFonts w:hint="eastAsia"/>
          <w:sz w:val="18"/>
          <w:szCs w:val="18"/>
        </w:rPr>
        <w:t>2</w:t>
      </w:r>
      <w:r>
        <w:rPr>
          <w:rFonts w:hint="eastAsia"/>
          <w:sz w:val="18"/>
          <w:szCs w:val="18"/>
        </w:rPr>
        <w:t>）</w:t>
      </w:r>
      <w:r>
        <w:rPr>
          <w:rFonts w:hint="eastAsia"/>
          <w:sz w:val="18"/>
          <w:szCs w:val="18"/>
        </w:rPr>
        <w:t xml:space="preserve"> </w:t>
      </w:r>
      <w:r>
        <w:rPr>
          <w:rFonts w:hint="eastAsia"/>
          <w:sz w:val="18"/>
          <w:szCs w:val="18"/>
        </w:rPr>
        <w:t>对于购入或源生的未发生信用减值、但在后续期间成为已发生信用减值的金融资产，本公司在后续期间，按照该金融资产的摊余成本和实际利率计算确定其利息收入。若该金融工具在后续期间因其信用风险有所改善而不再存在信用减值，本公司转按实际利率乘以该金融资产账面余额来计算确定利息收入。</w:t>
      </w:r>
    </w:p>
    <w:p w:rsidR="00A067C6" w:rsidRDefault="005C4966">
      <w:pPr>
        <w:pStyle w:val="a6"/>
        <w:spacing w:before="0" w:beforeAutospacing="0" w:after="0" w:afterAutospacing="0"/>
        <w:ind w:firstLine="420"/>
        <w:jc w:val="both"/>
        <w:rPr>
          <w:sz w:val="18"/>
          <w:szCs w:val="18"/>
        </w:rPr>
      </w:pPr>
      <w:r>
        <w:rPr>
          <w:rFonts w:hint="eastAsia"/>
          <w:sz w:val="18"/>
          <w:szCs w:val="18"/>
        </w:rPr>
        <w:t>（</w:t>
      </w:r>
      <w:r>
        <w:rPr>
          <w:rFonts w:hint="eastAsia"/>
          <w:sz w:val="18"/>
          <w:szCs w:val="18"/>
        </w:rPr>
        <w:t>2</w:t>
      </w:r>
      <w:r>
        <w:rPr>
          <w:rFonts w:hint="eastAsia"/>
          <w:sz w:val="18"/>
          <w:szCs w:val="18"/>
        </w:rPr>
        <w:t>）分类为以公允价值计量且其变动计入其他综合收益的金融资产</w:t>
      </w:r>
    </w:p>
    <w:p w:rsidR="00A067C6" w:rsidRDefault="005C4966">
      <w:pPr>
        <w:pStyle w:val="a6"/>
        <w:spacing w:before="0" w:beforeAutospacing="0" w:after="0" w:afterAutospacing="0"/>
        <w:ind w:firstLine="420"/>
        <w:jc w:val="both"/>
        <w:rPr>
          <w:sz w:val="18"/>
          <w:szCs w:val="18"/>
        </w:rPr>
      </w:pPr>
      <w:r>
        <w:rPr>
          <w:rFonts w:hint="eastAsia"/>
          <w:sz w:val="18"/>
          <w:szCs w:val="18"/>
        </w:rPr>
        <w:t>金融资产的合同条款规定在特定</w:t>
      </w:r>
      <w:r>
        <w:rPr>
          <w:rFonts w:hint="eastAsia"/>
          <w:sz w:val="18"/>
          <w:szCs w:val="18"/>
        </w:rPr>
        <w:t>日期产生的现金流量仅为对本金和以未偿付本金金额为基础的利息的支付，且管理该金融资产的业务模式既以收取合同现金流量为目标又以出售该金融资产为目标，则本公司将该金融资产分类为以公允价值计量且其变动计入其他综合收益的金融资产。</w:t>
      </w:r>
    </w:p>
    <w:p w:rsidR="00A067C6" w:rsidRDefault="005C4966">
      <w:pPr>
        <w:pStyle w:val="a6"/>
        <w:spacing w:before="0" w:beforeAutospacing="0" w:after="0" w:afterAutospacing="0"/>
        <w:ind w:firstLine="420"/>
        <w:jc w:val="both"/>
        <w:rPr>
          <w:sz w:val="18"/>
          <w:szCs w:val="18"/>
        </w:rPr>
      </w:pPr>
      <w:r>
        <w:rPr>
          <w:rFonts w:hint="eastAsia"/>
          <w:sz w:val="18"/>
          <w:szCs w:val="18"/>
        </w:rPr>
        <w:t>本公司对此类金融资产采用实际利率法确认利息收入。除利息收入、减值损失及汇兑差额确认为当期损益外，其余公允价值变动计入其他综合收益。当该金融资产终止确认时，之前计入其他综合收益的累计利得或损失从其他综合收益中转出，计入当期损益。</w:t>
      </w:r>
    </w:p>
    <w:p w:rsidR="00A067C6" w:rsidRDefault="005C4966">
      <w:pPr>
        <w:pStyle w:val="a6"/>
        <w:spacing w:before="0" w:beforeAutospacing="0" w:after="0" w:afterAutospacing="0"/>
        <w:ind w:firstLine="420"/>
        <w:jc w:val="both"/>
        <w:rPr>
          <w:sz w:val="18"/>
          <w:szCs w:val="18"/>
        </w:rPr>
      </w:pPr>
      <w:r>
        <w:rPr>
          <w:rFonts w:hint="eastAsia"/>
          <w:sz w:val="18"/>
          <w:szCs w:val="18"/>
        </w:rPr>
        <w:t>以公允价值计量且变动计入其他综合收益的应收票据及应收账款列报为应收款项融资，其他此类金融资产列报为其他债权投资，其中：自资产负债表日起一年内到期的其他债权投资列报为一年内到期的非流动资产，原到期日在一年以内的其他债权投资列报为其他流动资产。</w:t>
      </w:r>
    </w:p>
    <w:p w:rsidR="00A067C6" w:rsidRDefault="005C4966">
      <w:pPr>
        <w:pStyle w:val="a6"/>
        <w:spacing w:before="0" w:beforeAutospacing="0" w:after="0" w:afterAutospacing="0"/>
        <w:ind w:firstLine="420"/>
        <w:jc w:val="both"/>
        <w:rPr>
          <w:sz w:val="18"/>
          <w:szCs w:val="18"/>
        </w:rPr>
      </w:pPr>
      <w:r>
        <w:rPr>
          <w:rFonts w:hint="eastAsia"/>
          <w:sz w:val="18"/>
          <w:szCs w:val="18"/>
        </w:rPr>
        <w:t>（</w:t>
      </w:r>
      <w:r>
        <w:rPr>
          <w:rFonts w:hint="eastAsia"/>
          <w:sz w:val="18"/>
          <w:szCs w:val="18"/>
        </w:rPr>
        <w:t>3</w:t>
      </w:r>
      <w:r>
        <w:rPr>
          <w:rFonts w:hint="eastAsia"/>
          <w:sz w:val="18"/>
          <w:szCs w:val="18"/>
        </w:rPr>
        <w:t>）指定为以公允价值计量且其变动计入其他综合收益的金融资产</w:t>
      </w:r>
    </w:p>
    <w:p w:rsidR="00A067C6" w:rsidRDefault="005C4966">
      <w:pPr>
        <w:pStyle w:val="a6"/>
        <w:spacing w:before="0" w:beforeAutospacing="0" w:after="0" w:afterAutospacing="0"/>
        <w:ind w:firstLine="420"/>
        <w:jc w:val="both"/>
        <w:rPr>
          <w:sz w:val="18"/>
          <w:szCs w:val="18"/>
        </w:rPr>
      </w:pPr>
      <w:r>
        <w:rPr>
          <w:rFonts w:hint="eastAsia"/>
          <w:sz w:val="18"/>
          <w:szCs w:val="18"/>
        </w:rPr>
        <w:t>在初始确认时，本公司可以单项金融资产为基础不可撤销地将非交易性权益工具投资指定为以公允价值计量且其变动计入其他综合收益的金融资产。</w:t>
      </w:r>
    </w:p>
    <w:p w:rsidR="00A067C6" w:rsidRDefault="005C4966">
      <w:pPr>
        <w:pStyle w:val="a6"/>
        <w:spacing w:before="0" w:beforeAutospacing="0" w:after="0" w:afterAutospacing="0"/>
        <w:ind w:firstLine="420"/>
        <w:jc w:val="both"/>
        <w:rPr>
          <w:sz w:val="18"/>
          <w:szCs w:val="18"/>
        </w:rPr>
      </w:pPr>
      <w:r>
        <w:rPr>
          <w:rFonts w:hint="eastAsia"/>
          <w:sz w:val="18"/>
          <w:szCs w:val="18"/>
        </w:rPr>
        <w:t>此类金融资产的公允价值变动计入其他综合收益，不需计提减值准备。该金融资产终止</w:t>
      </w:r>
      <w:r>
        <w:rPr>
          <w:rFonts w:hint="eastAsia"/>
          <w:sz w:val="18"/>
          <w:szCs w:val="18"/>
        </w:rPr>
        <w:t>确认时，之前计入其他综合收益的累计利得或损失从其他综合收益中转出，计入留存收益。本公司持有该权益工具投资期间，在本公司收取股利的权利已经确立，与股利相关的经济利益很可能流入本公司，且股利的金额能够可靠计量时，确认股利收入并计入当期损益。本公司对此类金融资产在其他权益工具投资项目下列报。</w:t>
      </w:r>
    </w:p>
    <w:p w:rsidR="00A067C6" w:rsidRDefault="005C4966">
      <w:pPr>
        <w:pStyle w:val="a6"/>
        <w:spacing w:before="0" w:beforeAutospacing="0" w:after="0" w:afterAutospacing="0"/>
        <w:ind w:firstLine="420"/>
        <w:jc w:val="both"/>
        <w:rPr>
          <w:sz w:val="18"/>
          <w:szCs w:val="18"/>
        </w:rPr>
      </w:pPr>
      <w:r>
        <w:rPr>
          <w:rFonts w:hint="eastAsia"/>
          <w:sz w:val="18"/>
          <w:szCs w:val="18"/>
        </w:rPr>
        <w:t>权益工具投资满足下列条件之一的，属于以公允价值计量且其变动计入当期损益的金融资产：取得该金融资产的目的主要是为了近期出售；初始确认时属于集中管理的可辨认金融资产工具组合的一部分，且有客观证据表明近期实际存在短期获利模式；属于</w:t>
      </w:r>
      <w:r>
        <w:rPr>
          <w:rFonts w:hint="eastAsia"/>
          <w:sz w:val="18"/>
          <w:szCs w:val="18"/>
        </w:rPr>
        <w:t>衍生工具（符合财务担保合同定义的以及被指定为有效套期工具的衍生工具除外）。</w:t>
      </w:r>
    </w:p>
    <w:p w:rsidR="00A067C6" w:rsidRDefault="005C4966">
      <w:pPr>
        <w:pStyle w:val="a6"/>
        <w:spacing w:before="0" w:beforeAutospacing="0" w:after="0" w:afterAutospacing="0"/>
        <w:ind w:firstLine="420"/>
        <w:jc w:val="both"/>
        <w:rPr>
          <w:sz w:val="18"/>
          <w:szCs w:val="18"/>
        </w:rPr>
      </w:pPr>
      <w:r>
        <w:rPr>
          <w:rFonts w:hint="eastAsia"/>
          <w:sz w:val="18"/>
          <w:szCs w:val="18"/>
        </w:rPr>
        <w:t>（</w:t>
      </w:r>
      <w:r>
        <w:rPr>
          <w:rFonts w:hint="eastAsia"/>
          <w:sz w:val="18"/>
          <w:szCs w:val="18"/>
        </w:rPr>
        <w:t>4</w:t>
      </w:r>
      <w:r>
        <w:rPr>
          <w:rFonts w:hint="eastAsia"/>
          <w:sz w:val="18"/>
          <w:szCs w:val="18"/>
        </w:rPr>
        <w:t>）分类为以公允价值计量且其变动计入当期损益的金融资产</w:t>
      </w:r>
    </w:p>
    <w:p w:rsidR="00A067C6" w:rsidRDefault="005C4966">
      <w:pPr>
        <w:pStyle w:val="a6"/>
        <w:spacing w:before="0" w:beforeAutospacing="0" w:after="0" w:afterAutospacing="0"/>
        <w:ind w:firstLine="420"/>
        <w:jc w:val="both"/>
        <w:rPr>
          <w:sz w:val="18"/>
          <w:szCs w:val="18"/>
        </w:rPr>
      </w:pPr>
      <w:r>
        <w:rPr>
          <w:rFonts w:hint="eastAsia"/>
          <w:sz w:val="18"/>
          <w:szCs w:val="18"/>
        </w:rPr>
        <w:t>不符合分类为以摊余成本计量或以公允价值计量且其变动计入其他综合收益的金融资产条件、亦不指定为以公允价值计量且其变动计入其他综合收益的金融资产均分类为以公允价值计量且其变动计入当期损益的金融资产。</w:t>
      </w:r>
    </w:p>
    <w:p w:rsidR="00A067C6" w:rsidRDefault="005C4966">
      <w:pPr>
        <w:pStyle w:val="a6"/>
        <w:spacing w:before="0" w:beforeAutospacing="0" w:after="0" w:afterAutospacing="0"/>
        <w:ind w:firstLine="420"/>
        <w:jc w:val="both"/>
        <w:rPr>
          <w:sz w:val="18"/>
          <w:szCs w:val="18"/>
        </w:rPr>
      </w:pPr>
      <w:r>
        <w:rPr>
          <w:rFonts w:hint="eastAsia"/>
          <w:sz w:val="18"/>
          <w:szCs w:val="18"/>
        </w:rPr>
        <w:t>本公司对此类金融资产采用公允价值进行后续计量，将公允价值变动形成的利得或损失以及与此类金融资产相关的股利和利息收入计入当期损益。</w:t>
      </w:r>
    </w:p>
    <w:p w:rsidR="00A067C6" w:rsidRDefault="005C4966">
      <w:pPr>
        <w:pStyle w:val="a6"/>
        <w:spacing w:before="0" w:beforeAutospacing="0" w:after="0" w:afterAutospacing="0"/>
        <w:ind w:firstLine="420"/>
        <w:jc w:val="both"/>
        <w:rPr>
          <w:sz w:val="18"/>
          <w:szCs w:val="18"/>
        </w:rPr>
      </w:pPr>
      <w:r>
        <w:rPr>
          <w:rFonts w:hint="eastAsia"/>
          <w:sz w:val="18"/>
          <w:szCs w:val="18"/>
        </w:rPr>
        <w:t>本公司对此类金融资产根据其流动性在交易性金融资产、其</w:t>
      </w:r>
      <w:r>
        <w:rPr>
          <w:rFonts w:hint="eastAsia"/>
          <w:sz w:val="18"/>
          <w:szCs w:val="18"/>
        </w:rPr>
        <w:t>他非流动金融资产项目列报。</w:t>
      </w:r>
    </w:p>
    <w:p w:rsidR="00A067C6" w:rsidRDefault="005C4966">
      <w:pPr>
        <w:pStyle w:val="a6"/>
        <w:spacing w:before="0" w:beforeAutospacing="0" w:after="0" w:afterAutospacing="0"/>
        <w:ind w:firstLine="420"/>
        <w:jc w:val="both"/>
        <w:rPr>
          <w:sz w:val="18"/>
          <w:szCs w:val="18"/>
        </w:rPr>
      </w:pPr>
      <w:r>
        <w:rPr>
          <w:rFonts w:hint="eastAsia"/>
          <w:sz w:val="18"/>
          <w:szCs w:val="18"/>
        </w:rPr>
        <w:t>（</w:t>
      </w:r>
      <w:r>
        <w:rPr>
          <w:rFonts w:hint="eastAsia"/>
          <w:sz w:val="18"/>
          <w:szCs w:val="18"/>
        </w:rPr>
        <w:t>5</w:t>
      </w:r>
      <w:r>
        <w:rPr>
          <w:rFonts w:hint="eastAsia"/>
          <w:sz w:val="18"/>
          <w:szCs w:val="18"/>
        </w:rPr>
        <w:t>）指定为以公允价值计量且其变动计入当期损益的金融资产</w:t>
      </w:r>
    </w:p>
    <w:p w:rsidR="00A067C6" w:rsidRDefault="005C4966">
      <w:pPr>
        <w:pStyle w:val="a6"/>
        <w:spacing w:before="0" w:beforeAutospacing="0" w:after="0" w:afterAutospacing="0"/>
        <w:ind w:firstLine="420"/>
        <w:jc w:val="both"/>
        <w:rPr>
          <w:sz w:val="18"/>
          <w:szCs w:val="18"/>
        </w:rPr>
      </w:pPr>
      <w:r>
        <w:rPr>
          <w:rFonts w:hint="eastAsia"/>
          <w:sz w:val="18"/>
          <w:szCs w:val="18"/>
        </w:rPr>
        <w:t>在初始确认时，本公司为了消除或显著减少会计错配，可以单项金融资产为基础不可撤销地将金融资产指定为以公允价值计量且其变动计入当期损益的金融资产。</w:t>
      </w:r>
    </w:p>
    <w:p w:rsidR="00A067C6" w:rsidRDefault="005C4966">
      <w:pPr>
        <w:pStyle w:val="a6"/>
        <w:spacing w:before="0" w:beforeAutospacing="0" w:after="0" w:afterAutospacing="0"/>
        <w:ind w:firstLine="420"/>
        <w:jc w:val="both"/>
        <w:rPr>
          <w:sz w:val="18"/>
          <w:szCs w:val="18"/>
        </w:rPr>
      </w:pPr>
      <w:r>
        <w:rPr>
          <w:rFonts w:hint="eastAsia"/>
          <w:sz w:val="18"/>
          <w:szCs w:val="18"/>
        </w:rPr>
        <w:t>混合合同包含一项或多项嵌入衍生工具，且其主合同不属于以上金融资产的，本公司可以将其整体指定为以公允价值计量且其变动计入当期损益的金融工具。但下列情况除外：</w:t>
      </w:r>
      <w:r>
        <w:rPr>
          <w:rFonts w:hint="eastAsia"/>
          <w:sz w:val="18"/>
          <w:szCs w:val="18"/>
        </w:rPr>
        <w:t xml:space="preserve"> </w:t>
      </w:r>
    </w:p>
    <w:p w:rsidR="00A067C6" w:rsidRDefault="005C4966" w:rsidP="005C4966">
      <w:pPr>
        <w:pStyle w:val="a6"/>
        <w:spacing w:before="0" w:beforeAutospacing="0" w:after="0" w:afterAutospacing="0"/>
        <w:ind w:firstLineChars="482" w:firstLine="868"/>
        <w:jc w:val="both"/>
        <w:rPr>
          <w:sz w:val="18"/>
          <w:szCs w:val="18"/>
        </w:rPr>
      </w:pPr>
      <w:r>
        <w:rPr>
          <w:rFonts w:hint="eastAsia"/>
          <w:sz w:val="18"/>
          <w:szCs w:val="18"/>
        </w:rPr>
        <w:t>1</w:t>
      </w:r>
      <w:r>
        <w:rPr>
          <w:rFonts w:hint="eastAsia"/>
          <w:sz w:val="18"/>
          <w:szCs w:val="18"/>
        </w:rPr>
        <w:t>）嵌入衍生工具不会对混合合同的现金流量产生重大改变。</w:t>
      </w:r>
    </w:p>
    <w:p w:rsidR="00A067C6" w:rsidRDefault="005C4966" w:rsidP="005C4966">
      <w:pPr>
        <w:pStyle w:val="a6"/>
        <w:spacing w:before="0" w:beforeAutospacing="0" w:after="0" w:afterAutospacing="0"/>
        <w:ind w:firstLineChars="432" w:firstLine="778"/>
        <w:jc w:val="both"/>
        <w:rPr>
          <w:sz w:val="18"/>
          <w:szCs w:val="18"/>
        </w:rPr>
      </w:pPr>
      <w:r>
        <w:rPr>
          <w:rFonts w:hint="eastAsia"/>
          <w:sz w:val="18"/>
          <w:szCs w:val="18"/>
        </w:rPr>
        <w:t xml:space="preserve"> 2</w:t>
      </w:r>
      <w:r>
        <w:rPr>
          <w:rFonts w:hint="eastAsia"/>
          <w:sz w:val="18"/>
          <w:szCs w:val="18"/>
        </w:rPr>
        <w:t>）在初次确定类似的混合合同是否需要分拆时，几乎不需分析就能明确其</w:t>
      </w:r>
      <w:r>
        <w:rPr>
          <w:rFonts w:hint="eastAsia"/>
          <w:sz w:val="18"/>
          <w:szCs w:val="18"/>
        </w:rPr>
        <w:t>包含的嵌入衍生工具不应分拆。如嵌入贷款的提前还款权，允许持有人以接近摊余成本的金额提前偿还贷款，该提前还款权不需要分拆。</w:t>
      </w:r>
    </w:p>
    <w:p w:rsidR="00A067C6" w:rsidRDefault="005C4966">
      <w:pPr>
        <w:pStyle w:val="a6"/>
        <w:spacing w:before="0" w:beforeAutospacing="0" w:after="0" w:afterAutospacing="0"/>
        <w:ind w:firstLine="420"/>
        <w:jc w:val="both"/>
        <w:rPr>
          <w:sz w:val="18"/>
          <w:szCs w:val="18"/>
        </w:rPr>
      </w:pPr>
      <w:r>
        <w:rPr>
          <w:rFonts w:hint="eastAsia"/>
          <w:sz w:val="18"/>
          <w:szCs w:val="18"/>
        </w:rPr>
        <w:t>本公司对此类金融资产采用公允价值进行后续计量，将公允价值变动形成的利得或损失以及与此类金融资产相关的股利和利息收入计入当期损益。</w:t>
      </w:r>
    </w:p>
    <w:p w:rsidR="00A067C6" w:rsidRDefault="005C4966">
      <w:pPr>
        <w:pStyle w:val="a6"/>
        <w:spacing w:before="0" w:beforeAutospacing="0" w:after="0" w:afterAutospacing="0"/>
        <w:ind w:firstLine="420"/>
        <w:jc w:val="both"/>
        <w:rPr>
          <w:sz w:val="18"/>
          <w:szCs w:val="18"/>
        </w:rPr>
      </w:pPr>
      <w:r>
        <w:rPr>
          <w:rFonts w:hint="eastAsia"/>
          <w:sz w:val="18"/>
          <w:szCs w:val="18"/>
        </w:rPr>
        <w:t>本公司对此类金融资产根据其流动性在交易性金融资产、其他非流动金融资产项目列报。</w:t>
      </w:r>
    </w:p>
    <w:p w:rsidR="00A067C6" w:rsidRDefault="005C4966">
      <w:pPr>
        <w:pStyle w:val="a6"/>
        <w:spacing w:before="120" w:beforeAutospacing="0"/>
        <w:jc w:val="both"/>
        <w:rPr>
          <w:rFonts w:ascii="Times New Roman" w:hAnsi="Times New Roman" w:cs="Times New Roman"/>
        </w:rPr>
      </w:pPr>
      <w:r>
        <w:rPr>
          <w:rStyle w:val="a7"/>
          <w:rFonts w:ascii="Times New Roman" w:hAnsi="Times New Roman" w:cs="Times New Roman"/>
          <w:sz w:val="21"/>
          <w:szCs w:val="21"/>
        </w:rPr>
        <w:t>2.</w:t>
      </w:r>
      <w:r>
        <w:rPr>
          <w:rStyle w:val="a7"/>
          <w:rFonts w:cs="Times New Roman" w:hint="eastAsia"/>
          <w:sz w:val="21"/>
          <w:szCs w:val="21"/>
        </w:rPr>
        <w:t>金融负债的分类、确认和计量</w:t>
      </w:r>
    </w:p>
    <w:p w:rsidR="00A067C6" w:rsidRDefault="005C4966">
      <w:pPr>
        <w:pStyle w:val="a6"/>
        <w:spacing w:before="0" w:beforeAutospacing="0" w:after="0" w:afterAutospacing="0"/>
        <w:ind w:firstLine="420"/>
        <w:jc w:val="both"/>
        <w:rPr>
          <w:sz w:val="18"/>
          <w:szCs w:val="18"/>
        </w:rPr>
      </w:pPr>
      <w:r>
        <w:rPr>
          <w:rFonts w:hint="eastAsia"/>
          <w:sz w:val="18"/>
          <w:szCs w:val="18"/>
        </w:rPr>
        <w:t>本公司根据所发行金融工具的合同条款及其所反映的经济实质而非仅以法律形式，结合金融负债和权益工具的定义，在初始确认时将该金融工具或其组成部分分类为金融</w:t>
      </w:r>
      <w:r>
        <w:rPr>
          <w:rFonts w:hint="eastAsia"/>
          <w:sz w:val="18"/>
          <w:szCs w:val="18"/>
        </w:rPr>
        <w:t>负债或权益工具。金融负债在初始确认时分类为：以公允价值计量且其变动计入当期损益的金融负债、其他金融负债、被指定为有效套期工具的衍生工具。</w:t>
      </w:r>
    </w:p>
    <w:p w:rsidR="00A067C6" w:rsidRDefault="005C4966">
      <w:pPr>
        <w:pStyle w:val="a6"/>
        <w:spacing w:before="0" w:beforeAutospacing="0" w:after="0" w:afterAutospacing="0"/>
        <w:ind w:firstLine="420"/>
        <w:jc w:val="both"/>
        <w:rPr>
          <w:sz w:val="18"/>
          <w:szCs w:val="18"/>
        </w:rPr>
      </w:pPr>
      <w:r>
        <w:rPr>
          <w:rFonts w:hint="eastAsia"/>
          <w:sz w:val="18"/>
          <w:szCs w:val="18"/>
        </w:rPr>
        <w:t>金融负债在初始确认时以公允价值计量。对于以公允价值计量且其变动计入当期损益的金融负债，相关的交易费用直接计入当期损益；对于其他类别的金融负债，相关交易费用计入初始确认金额。</w:t>
      </w:r>
    </w:p>
    <w:p w:rsidR="00A067C6" w:rsidRDefault="005C4966">
      <w:pPr>
        <w:pStyle w:val="a6"/>
        <w:spacing w:before="0" w:beforeAutospacing="0" w:after="0" w:afterAutospacing="0"/>
        <w:ind w:firstLine="420"/>
        <w:jc w:val="both"/>
        <w:rPr>
          <w:sz w:val="18"/>
          <w:szCs w:val="18"/>
        </w:rPr>
      </w:pPr>
      <w:r>
        <w:rPr>
          <w:rFonts w:hint="eastAsia"/>
          <w:sz w:val="18"/>
          <w:szCs w:val="18"/>
        </w:rPr>
        <w:t>金融负债的后续计量取决于其分类：</w:t>
      </w:r>
    </w:p>
    <w:p w:rsidR="00A067C6" w:rsidRDefault="005C4966">
      <w:pPr>
        <w:pStyle w:val="a6"/>
        <w:spacing w:before="0" w:beforeAutospacing="0" w:after="0" w:afterAutospacing="0"/>
        <w:ind w:firstLine="420"/>
        <w:jc w:val="both"/>
        <w:rPr>
          <w:sz w:val="18"/>
          <w:szCs w:val="18"/>
        </w:rPr>
      </w:pPr>
      <w:r>
        <w:rPr>
          <w:rFonts w:hint="eastAsia"/>
          <w:sz w:val="18"/>
          <w:szCs w:val="18"/>
        </w:rPr>
        <w:t>（</w:t>
      </w:r>
      <w:r>
        <w:rPr>
          <w:rFonts w:hint="eastAsia"/>
          <w:sz w:val="18"/>
          <w:szCs w:val="18"/>
        </w:rPr>
        <w:t>1</w:t>
      </w:r>
      <w:r>
        <w:rPr>
          <w:rFonts w:hint="eastAsia"/>
          <w:sz w:val="18"/>
          <w:szCs w:val="18"/>
        </w:rPr>
        <w:t>）以公允价值计量且其变动计入当期损益的金融负债</w:t>
      </w:r>
    </w:p>
    <w:p w:rsidR="00A067C6" w:rsidRDefault="005C4966">
      <w:pPr>
        <w:pStyle w:val="a6"/>
        <w:spacing w:before="0" w:beforeAutospacing="0" w:after="0" w:afterAutospacing="0"/>
        <w:ind w:firstLine="420"/>
        <w:jc w:val="both"/>
        <w:rPr>
          <w:sz w:val="18"/>
          <w:szCs w:val="18"/>
        </w:rPr>
      </w:pPr>
      <w:r>
        <w:rPr>
          <w:rFonts w:hint="eastAsia"/>
          <w:sz w:val="18"/>
          <w:szCs w:val="18"/>
        </w:rPr>
        <w:t>此类金融负债包括交易性金融负债（含属于金融负债的衍生工具）和初始确认时指定为以公允价值计量且其变动计入当期损益的金</w:t>
      </w:r>
      <w:r>
        <w:rPr>
          <w:rFonts w:hint="eastAsia"/>
          <w:sz w:val="18"/>
          <w:szCs w:val="18"/>
        </w:rPr>
        <w:t>融负债。</w:t>
      </w:r>
    </w:p>
    <w:p w:rsidR="00A067C6" w:rsidRDefault="005C4966">
      <w:pPr>
        <w:pStyle w:val="a6"/>
        <w:spacing w:before="0" w:beforeAutospacing="0" w:after="0" w:afterAutospacing="0"/>
        <w:ind w:firstLine="420"/>
        <w:jc w:val="both"/>
        <w:rPr>
          <w:sz w:val="18"/>
          <w:szCs w:val="18"/>
        </w:rPr>
      </w:pPr>
      <w:r>
        <w:rPr>
          <w:rFonts w:hint="eastAsia"/>
          <w:sz w:val="18"/>
          <w:szCs w:val="18"/>
        </w:rPr>
        <w:t>满足下列条件之一的，属于交易性金融负债：承担相关金融负债的目的主要是为了在近期内出售或回购；属于集中管理的可辨认金融工具组合的一部分，且有客观证据表明企业近期采用短期获利方式模式；属于衍生工具，但是，被指定且为有效套期工具的衍生工具、符合财务担保合同的衍生工具除外。交易性金融负债（含属于金融负债的衍生工具），按照公允价值进行后续计量，除与套期会计有关外，所有公允价值变动均计入当期损益。</w:t>
      </w:r>
    </w:p>
    <w:p w:rsidR="00A067C6" w:rsidRDefault="005C4966">
      <w:pPr>
        <w:pStyle w:val="a6"/>
        <w:spacing w:before="0" w:beforeAutospacing="0" w:after="0" w:afterAutospacing="0"/>
        <w:ind w:firstLine="420"/>
        <w:jc w:val="both"/>
        <w:rPr>
          <w:sz w:val="18"/>
          <w:szCs w:val="18"/>
        </w:rPr>
      </w:pPr>
      <w:r>
        <w:rPr>
          <w:rFonts w:hint="eastAsia"/>
          <w:sz w:val="18"/>
          <w:szCs w:val="18"/>
        </w:rPr>
        <w:t>在初始确认时，为了提供更相关的会计信息，本公司将满足下列条件之一的金融负债不可撤销地指定为以公允价值计量且其变动计入当期损益的金融负债：</w:t>
      </w:r>
    </w:p>
    <w:p w:rsidR="00A067C6" w:rsidRDefault="005C4966" w:rsidP="005C4966">
      <w:pPr>
        <w:pStyle w:val="a6"/>
        <w:spacing w:before="0" w:beforeAutospacing="0" w:after="0" w:afterAutospacing="0"/>
        <w:ind w:firstLineChars="432" w:firstLine="778"/>
        <w:jc w:val="both"/>
        <w:rPr>
          <w:sz w:val="18"/>
          <w:szCs w:val="18"/>
        </w:rPr>
      </w:pPr>
      <w:r>
        <w:rPr>
          <w:rFonts w:hint="eastAsia"/>
          <w:sz w:val="18"/>
          <w:szCs w:val="18"/>
        </w:rPr>
        <w:t>1</w:t>
      </w:r>
      <w:r>
        <w:rPr>
          <w:rFonts w:hint="eastAsia"/>
          <w:sz w:val="18"/>
          <w:szCs w:val="18"/>
        </w:rPr>
        <w:t>）能够消除或显著减少会计错配。</w:t>
      </w:r>
    </w:p>
    <w:p w:rsidR="00A067C6" w:rsidRDefault="005C4966">
      <w:pPr>
        <w:pStyle w:val="a6"/>
        <w:spacing w:before="0" w:beforeAutospacing="0" w:after="0" w:afterAutospacing="0"/>
        <w:ind w:firstLineChars="450" w:firstLine="810"/>
        <w:jc w:val="both"/>
        <w:rPr>
          <w:sz w:val="18"/>
          <w:szCs w:val="18"/>
        </w:rPr>
      </w:pPr>
      <w:r>
        <w:rPr>
          <w:rFonts w:hint="eastAsia"/>
          <w:sz w:val="18"/>
          <w:szCs w:val="18"/>
        </w:rPr>
        <w:t>2</w:t>
      </w:r>
      <w:r>
        <w:rPr>
          <w:rFonts w:hint="eastAsia"/>
          <w:sz w:val="18"/>
          <w:szCs w:val="18"/>
        </w:rPr>
        <w:t>）根据正式书面文件载明的企业风险管理或投资策略，以公允价值为基础对金融负债组合或金融资产和金融负债组合进行管理和业绩评价，并在企业内部以此为基础向关键管理人员报告。</w:t>
      </w:r>
    </w:p>
    <w:p w:rsidR="00A067C6" w:rsidRDefault="005C4966">
      <w:pPr>
        <w:pStyle w:val="a6"/>
        <w:spacing w:before="0" w:beforeAutospacing="0" w:after="0" w:afterAutospacing="0"/>
        <w:ind w:firstLine="420"/>
        <w:jc w:val="both"/>
        <w:rPr>
          <w:sz w:val="18"/>
          <w:szCs w:val="18"/>
        </w:rPr>
      </w:pPr>
      <w:r>
        <w:rPr>
          <w:rFonts w:hint="eastAsia"/>
          <w:sz w:val="18"/>
          <w:szCs w:val="18"/>
        </w:rPr>
        <w:t>本公司对此类金融负债采用公允价值进行后续计量，除由本公司自身信用风险变动引起的公允价值变动计入其他综合收益之外，其他公允价值变动计入当期损益。除非由本公司自身信用风险变动引</w:t>
      </w:r>
      <w:r>
        <w:rPr>
          <w:rFonts w:hint="eastAsia"/>
          <w:sz w:val="18"/>
          <w:szCs w:val="18"/>
        </w:rPr>
        <w:t>起的公允价值变动计入其他综合收益会造成或扩大损益中的会计错配，本公司将所有公允价值变动（包括自身信用风险变动的影响金额）计入当期损益。</w:t>
      </w:r>
    </w:p>
    <w:p w:rsidR="00A067C6" w:rsidRDefault="005C4966">
      <w:pPr>
        <w:pStyle w:val="a6"/>
        <w:spacing w:before="0" w:beforeAutospacing="0" w:after="0" w:afterAutospacing="0"/>
        <w:ind w:firstLineChars="200" w:firstLine="360"/>
        <w:jc w:val="both"/>
        <w:rPr>
          <w:sz w:val="18"/>
          <w:szCs w:val="18"/>
        </w:rPr>
      </w:pPr>
      <w:r>
        <w:rPr>
          <w:rFonts w:hint="eastAsia"/>
          <w:sz w:val="18"/>
          <w:szCs w:val="18"/>
        </w:rPr>
        <w:t>（</w:t>
      </w:r>
      <w:r>
        <w:rPr>
          <w:rFonts w:hint="eastAsia"/>
          <w:sz w:val="18"/>
          <w:szCs w:val="18"/>
        </w:rPr>
        <w:t>2</w:t>
      </w:r>
      <w:r>
        <w:rPr>
          <w:rFonts w:hint="eastAsia"/>
          <w:sz w:val="18"/>
          <w:szCs w:val="18"/>
        </w:rPr>
        <w:t>）其他金融负债</w:t>
      </w:r>
    </w:p>
    <w:p w:rsidR="00A067C6" w:rsidRDefault="005C4966">
      <w:pPr>
        <w:pStyle w:val="a6"/>
        <w:spacing w:before="0" w:beforeAutospacing="0" w:after="0" w:afterAutospacing="0"/>
        <w:ind w:firstLine="420"/>
        <w:jc w:val="both"/>
        <w:rPr>
          <w:sz w:val="18"/>
          <w:szCs w:val="18"/>
        </w:rPr>
      </w:pPr>
      <w:r>
        <w:rPr>
          <w:rFonts w:hint="eastAsia"/>
          <w:sz w:val="18"/>
          <w:szCs w:val="18"/>
        </w:rPr>
        <w:t>除下列各项外，公司将金融负债分类为以摊余成本计量的金融负债，对此类金融负债采用实际利率法，按照摊余成本进行后续计量，终止确认或摊销产生的利得或损失计入当期损益：</w:t>
      </w:r>
    </w:p>
    <w:p w:rsidR="00A067C6" w:rsidRDefault="005C4966" w:rsidP="005C4966">
      <w:pPr>
        <w:pStyle w:val="a6"/>
        <w:spacing w:before="0" w:beforeAutospacing="0" w:after="0" w:afterAutospacing="0"/>
        <w:ind w:firstLineChars="432" w:firstLine="778"/>
        <w:jc w:val="both"/>
        <w:rPr>
          <w:sz w:val="18"/>
          <w:szCs w:val="18"/>
        </w:rPr>
      </w:pPr>
      <w:r>
        <w:rPr>
          <w:rFonts w:hint="eastAsia"/>
          <w:sz w:val="18"/>
          <w:szCs w:val="18"/>
        </w:rPr>
        <w:t xml:space="preserve"> 1</w:t>
      </w:r>
      <w:r>
        <w:rPr>
          <w:rFonts w:hint="eastAsia"/>
          <w:sz w:val="18"/>
          <w:szCs w:val="18"/>
        </w:rPr>
        <w:t>）以公允价值计量且其变动计入当期损益的金融负债。</w:t>
      </w:r>
    </w:p>
    <w:p w:rsidR="00A067C6" w:rsidRDefault="005C4966" w:rsidP="005C4966">
      <w:pPr>
        <w:pStyle w:val="a6"/>
        <w:spacing w:before="0" w:beforeAutospacing="0" w:after="0" w:afterAutospacing="0"/>
        <w:ind w:firstLineChars="432" w:firstLine="778"/>
        <w:jc w:val="both"/>
        <w:rPr>
          <w:sz w:val="18"/>
          <w:szCs w:val="18"/>
        </w:rPr>
      </w:pPr>
      <w:r>
        <w:rPr>
          <w:rFonts w:hint="eastAsia"/>
          <w:sz w:val="18"/>
          <w:szCs w:val="18"/>
        </w:rPr>
        <w:t xml:space="preserve"> 2</w:t>
      </w:r>
      <w:r>
        <w:rPr>
          <w:rFonts w:hint="eastAsia"/>
          <w:sz w:val="18"/>
          <w:szCs w:val="18"/>
        </w:rPr>
        <w:t>）金融资产转移不符合终止确认条件或继续涉入被转移金融资产所形成的金融负债。</w:t>
      </w:r>
    </w:p>
    <w:p w:rsidR="00A067C6" w:rsidRDefault="005C4966" w:rsidP="005C4966">
      <w:pPr>
        <w:pStyle w:val="a6"/>
        <w:spacing w:before="0" w:beforeAutospacing="0" w:after="0" w:afterAutospacing="0"/>
        <w:ind w:firstLineChars="482" w:firstLine="868"/>
        <w:jc w:val="both"/>
        <w:rPr>
          <w:sz w:val="18"/>
          <w:szCs w:val="18"/>
        </w:rPr>
      </w:pPr>
      <w:r>
        <w:rPr>
          <w:rFonts w:hint="eastAsia"/>
          <w:sz w:val="18"/>
          <w:szCs w:val="18"/>
        </w:rPr>
        <w:t>3</w:t>
      </w:r>
      <w:r>
        <w:rPr>
          <w:rFonts w:hint="eastAsia"/>
          <w:sz w:val="18"/>
          <w:szCs w:val="18"/>
        </w:rPr>
        <w:t>）不属于本条前两类情形的财务担保合同，以及不属于本条第</w:t>
      </w:r>
      <w:r>
        <w:rPr>
          <w:rFonts w:hint="eastAsia"/>
          <w:sz w:val="18"/>
          <w:szCs w:val="18"/>
        </w:rPr>
        <w:t>1</w:t>
      </w:r>
      <w:r>
        <w:rPr>
          <w:rFonts w:hint="eastAsia"/>
          <w:sz w:val="18"/>
          <w:szCs w:val="18"/>
        </w:rPr>
        <w:t>）</w:t>
      </w:r>
      <w:r>
        <w:rPr>
          <w:rFonts w:hint="eastAsia"/>
          <w:sz w:val="18"/>
          <w:szCs w:val="18"/>
        </w:rPr>
        <w:t>类情形的以低于市场利率贷款的贷款承诺。</w:t>
      </w:r>
    </w:p>
    <w:p w:rsidR="00A067C6" w:rsidRDefault="005C4966">
      <w:pPr>
        <w:pStyle w:val="a6"/>
        <w:spacing w:before="0" w:beforeAutospacing="0" w:after="0" w:afterAutospacing="0"/>
        <w:ind w:firstLine="420"/>
        <w:jc w:val="both"/>
        <w:rPr>
          <w:sz w:val="18"/>
          <w:szCs w:val="18"/>
        </w:rPr>
      </w:pPr>
      <w:r>
        <w:rPr>
          <w:rFonts w:hint="eastAsia"/>
          <w:sz w:val="18"/>
          <w:szCs w:val="18"/>
        </w:rPr>
        <w:t>财务担保合同是指当特定债务人到期不能按照最初或修改后的债务工具条款偿付债务时，要求发行方向蒙受损失的合同持有人赔付特定金额的合同。不属于指定为以公允价值计量且其变动计入当期损益的金融负债的财务担保合同，在初始确认后按照损失准备金额以及初始确认金额扣除担保期内的累计摊销额后的余额孰高进行计量。</w:t>
      </w:r>
    </w:p>
    <w:p w:rsidR="00A067C6" w:rsidRDefault="005C4966">
      <w:pPr>
        <w:pStyle w:val="a6"/>
        <w:spacing w:before="120" w:beforeAutospacing="0"/>
        <w:jc w:val="both"/>
        <w:rPr>
          <w:rFonts w:ascii="Times New Roman" w:hAnsi="Times New Roman" w:cs="Times New Roman"/>
        </w:rPr>
      </w:pPr>
      <w:r>
        <w:rPr>
          <w:rStyle w:val="a7"/>
          <w:rFonts w:ascii="Times New Roman" w:hAnsi="Times New Roman" w:cs="Times New Roman"/>
          <w:sz w:val="21"/>
          <w:szCs w:val="21"/>
        </w:rPr>
        <w:t>3.</w:t>
      </w:r>
      <w:r>
        <w:rPr>
          <w:rStyle w:val="a7"/>
          <w:rFonts w:cs="Times New Roman" w:hint="eastAsia"/>
          <w:sz w:val="21"/>
          <w:szCs w:val="21"/>
        </w:rPr>
        <w:t>金融资产和金融负债的终止确认</w:t>
      </w:r>
    </w:p>
    <w:p w:rsidR="00A067C6" w:rsidRDefault="005C4966">
      <w:pPr>
        <w:pStyle w:val="a6"/>
        <w:spacing w:before="0" w:beforeAutospacing="0" w:after="0" w:afterAutospacing="0"/>
        <w:ind w:firstLine="420"/>
        <w:jc w:val="both"/>
        <w:rPr>
          <w:sz w:val="18"/>
          <w:szCs w:val="18"/>
        </w:rPr>
      </w:pPr>
      <w:r>
        <w:rPr>
          <w:rFonts w:hint="eastAsia"/>
          <w:sz w:val="18"/>
          <w:szCs w:val="18"/>
        </w:rPr>
        <w:t>（</w:t>
      </w:r>
      <w:r>
        <w:rPr>
          <w:rFonts w:hint="eastAsia"/>
          <w:sz w:val="18"/>
          <w:szCs w:val="18"/>
        </w:rPr>
        <w:t>1</w:t>
      </w:r>
      <w:r>
        <w:rPr>
          <w:rFonts w:hint="eastAsia"/>
          <w:sz w:val="18"/>
          <w:szCs w:val="18"/>
        </w:rPr>
        <w:t>）金融资产满足下列条件之一的，终止确认金融资产，即从其账户和资产负债表内予以转销：</w:t>
      </w:r>
    </w:p>
    <w:p w:rsidR="00A067C6" w:rsidRDefault="005C4966">
      <w:pPr>
        <w:pStyle w:val="a6"/>
        <w:spacing w:before="0" w:beforeAutospacing="0" w:after="0" w:afterAutospacing="0"/>
        <w:ind w:firstLine="420"/>
        <w:jc w:val="both"/>
        <w:rPr>
          <w:sz w:val="18"/>
          <w:szCs w:val="18"/>
        </w:rPr>
      </w:pPr>
      <w:r>
        <w:rPr>
          <w:rFonts w:hint="eastAsia"/>
          <w:sz w:val="18"/>
          <w:szCs w:val="18"/>
        </w:rPr>
        <w:t xml:space="preserve">     1</w:t>
      </w:r>
      <w:r>
        <w:rPr>
          <w:rFonts w:hint="eastAsia"/>
          <w:sz w:val="18"/>
          <w:szCs w:val="18"/>
        </w:rPr>
        <w:t>）收取该金融资产现金流量的合同权利终止。</w:t>
      </w:r>
    </w:p>
    <w:p w:rsidR="00A067C6" w:rsidRDefault="005C4966" w:rsidP="005C4966">
      <w:pPr>
        <w:pStyle w:val="a6"/>
        <w:spacing w:before="0" w:beforeAutospacing="0" w:after="0" w:afterAutospacing="0"/>
        <w:ind w:firstLineChars="432" w:firstLine="778"/>
        <w:jc w:val="both"/>
        <w:rPr>
          <w:sz w:val="18"/>
          <w:szCs w:val="18"/>
        </w:rPr>
      </w:pPr>
      <w:r>
        <w:rPr>
          <w:rFonts w:hint="eastAsia"/>
          <w:sz w:val="18"/>
          <w:szCs w:val="18"/>
        </w:rPr>
        <w:t xml:space="preserve"> </w:t>
      </w:r>
      <w:r>
        <w:rPr>
          <w:rFonts w:hint="eastAsia"/>
          <w:sz w:val="18"/>
          <w:szCs w:val="18"/>
        </w:rPr>
        <w:t>2</w:t>
      </w:r>
      <w:r>
        <w:rPr>
          <w:rFonts w:hint="eastAsia"/>
          <w:sz w:val="18"/>
          <w:szCs w:val="18"/>
        </w:rPr>
        <w:t>）该金融资产已转移，且该转移满足金融资产终止确认的规定。</w:t>
      </w:r>
    </w:p>
    <w:p w:rsidR="00A067C6" w:rsidRDefault="005C4966">
      <w:pPr>
        <w:pStyle w:val="a6"/>
        <w:spacing w:before="0" w:beforeAutospacing="0" w:after="0" w:afterAutospacing="0"/>
        <w:ind w:firstLine="420"/>
        <w:jc w:val="both"/>
        <w:rPr>
          <w:sz w:val="18"/>
          <w:szCs w:val="18"/>
        </w:rPr>
      </w:pPr>
      <w:r>
        <w:rPr>
          <w:rFonts w:hint="eastAsia"/>
          <w:sz w:val="18"/>
          <w:szCs w:val="18"/>
        </w:rPr>
        <w:t>（</w:t>
      </w:r>
      <w:r>
        <w:rPr>
          <w:rFonts w:hint="eastAsia"/>
          <w:sz w:val="18"/>
          <w:szCs w:val="18"/>
        </w:rPr>
        <w:t>2</w:t>
      </w:r>
      <w:r>
        <w:rPr>
          <w:rFonts w:hint="eastAsia"/>
          <w:sz w:val="18"/>
          <w:szCs w:val="18"/>
        </w:rPr>
        <w:t>）金融负债终止确认条件</w:t>
      </w:r>
    </w:p>
    <w:p w:rsidR="00A067C6" w:rsidRDefault="005C4966">
      <w:pPr>
        <w:pStyle w:val="a6"/>
        <w:spacing w:before="0" w:beforeAutospacing="0" w:after="0" w:afterAutospacing="0"/>
        <w:ind w:firstLine="420"/>
        <w:jc w:val="both"/>
        <w:rPr>
          <w:sz w:val="18"/>
          <w:szCs w:val="18"/>
        </w:rPr>
      </w:pPr>
      <w:r>
        <w:rPr>
          <w:rFonts w:hint="eastAsia"/>
          <w:sz w:val="18"/>
          <w:szCs w:val="18"/>
        </w:rPr>
        <w:t>金融负债（或其一部分）的现时义务已经解除的，则终止确认该金融负债（或该部分金融负债）。</w:t>
      </w:r>
    </w:p>
    <w:p w:rsidR="00A067C6" w:rsidRDefault="005C4966">
      <w:pPr>
        <w:pStyle w:val="a6"/>
        <w:spacing w:before="0" w:beforeAutospacing="0" w:after="0" w:afterAutospacing="0"/>
        <w:ind w:firstLine="420"/>
        <w:jc w:val="both"/>
        <w:rPr>
          <w:sz w:val="18"/>
          <w:szCs w:val="18"/>
        </w:rPr>
      </w:pPr>
      <w:r>
        <w:rPr>
          <w:rFonts w:hint="eastAsia"/>
          <w:sz w:val="18"/>
          <w:szCs w:val="18"/>
        </w:rPr>
        <w:t>本公司与借出方之间签订协议，以承担新金融负债方式替换原金融负债，且新金融负债与原金融负债的合同条款实质上不同的，或对原金融负债（或其一部分）的合同条款做出实质性修改的，则终止确认原金融负债，同时确认一项新金融负债，账面价值与支付的对价（包括转出的非现金资产或承担的负债）之间的差额，计入当期损益。</w:t>
      </w:r>
    </w:p>
    <w:p w:rsidR="00A067C6" w:rsidRDefault="005C4966">
      <w:pPr>
        <w:pStyle w:val="a6"/>
        <w:spacing w:before="0" w:beforeAutospacing="0" w:after="0" w:afterAutospacing="0"/>
        <w:ind w:firstLine="420"/>
        <w:jc w:val="both"/>
        <w:rPr>
          <w:sz w:val="18"/>
          <w:szCs w:val="18"/>
        </w:rPr>
      </w:pPr>
      <w:r>
        <w:rPr>
          <w:rFonts w:hint="eastAsia"/>
          <w:sz w:val="18"/>
          <w:szCs w:val="18"/>
        </w:rPr>
        <w:t>本公司回购金融负债一部分的，按照继续确认部分和终止确认部分在回购日各自的公允价值占整体公允价值的比例，对该金融负债整体的账面价值进行分配。分配给终止确认部分的账面价值与支付的对价（包括转出的非现金资产或承担的负债）之间的差额，应当计入当期损益。</w:t>
      </w:r>
    </w:p>
    <w:p w:rsidR="00A067C6" w:rsidRDefault="005C4966">
      <w:pPr>
        <w:pStyle w:val="a6"/>
        <w:ind w:right="782"/>
        <w:jc w:val="both"/>
        <w:rPr>
          <w:rFonts w:ascii="Times New Roman" w:hAnsi="Times New Roman" w:cs="Times New Roman"/>
        </w:rPr>
      </w:pPr>
      <w:r>
        <w:rPr>
          <w:rStyle w:val="a7"/>
          <w:rFonts w:ascii="Times New Roman" w:hAnsi="Times New Roman" w:cs="Times New Roman"/>
          <w:sz w:val="21"/>
          <w:szCs w:val="21"/>
        </w:rPr>
        <w:t>4.</w:t>
      </w:r>
      <w:r>
        <w:rPr>
          <w:rStyle w:val="a7"/>
          <w:rFonts w:cs="Times New Roman" w:hint="eastAsia"/>
          <w:sz w:val="21"/>
          <w:szCs w:val="21"/>
        </w:rPr>
        <w:t>金融资产转移的确认依据和计量方法</w:t>
      </w:r>
    </w:p>
    <w:p w:rsidR="00A067C6" w:rsidRDefault="005C4966">
      <w:pPr>
        <w:pStyle w:val="a6"/>
        <w:spacing w:before="0" w:beforeAutospacing="0" w:after="0" w:afterAutospacing="0"/>
        <w:ind w:firstLine="420"/>
        <w:jc w:val="both"/>
        <w:rPr>
          <w:sz w:val="18"/>
          <w:szCs w:val="18"/>
        </w:rPr>
      </w:pPr>
      <w:r>
        <w:rPr>
          <w:rFonts w:hint="eastAsia"/>
          <w:sz w:val="18"/>
          <w:szCs w:val="18"/>
        </w:rPr>
        <w:t>本公司在发生金融资产转移时，评估其保留金融资产所有权上的风险和报酬的程度，并分别下列情形处理：</w:t>
      </w:r>
    </w:p>
    <w:p w:rsidR="00A067C6" w:rsidRDefault="005C4966">
      <w:pPr>
        <w:pStyle w:val="a6"/>
        <w:spacing w:before="0" w:beforeAutospacing="0" w:after="0" w:afterAutospacing="0"/>
        <w:ind w:firstLine="420"/>
        <w:jc w:val="both"/>
        <w:rPr>
          <w:sz w:val="18"/>
          <w:szCs w:val="18"/>
        </w:rPr>
      </w:pPr>
      <w:r>
        <w:rPr>
          <w:rFonts w:hint="eastAsia"/>
          <w:sz w:val="18"/>
          <w:szCs w:val="18"/>
        </w:rPr>
        <w:t>（</w:t>
      </w:r>
      <w:r>
        <w:rPr>
          <w:rFonts w:hint="eastAsia"/>
          <w:sz w:val="18"/>
          <w:szCs w:val="18"/>
        </w:rPr>
        <w:t>1</w:t>
      </w:r>
      <w:r>
        <w:rPr>
          <w:rFonts w:hint="eastAsia"/>
          <w:sz w:val="18"/>
          <w:szCs w:val="18"/>
        </w:rPr>
        <w:t>）转移了金融资产所有权上几乎所有风险和报酬的，则终止确认该金融资产，并将转移中产生或保留的权利和义务单独确认为资产或负债。</w:t>
      </w:r>
    </w:p>
    <w:p w:rsidR="00A067C6" w:rsidRDefault="005C4966">
      <w:pPr>
        <w:pStyle w:val="a6"/>
        <w:spacing w:before="0" w:beforeAutospacing="0" w:after="0" w:afterAutospacing="0"/>
        <w:ind w:firstLine="420"/>
        <w:jc w:val="both"/>
        <w:rPr>
          <w:sz w:val="18"/>
          <w:szCs w:val="18"/>
        </w:rPr>
      </w:pPr>
      <w:r>
        <w:rPr>
          <w:rFonts w:hint="eastAsia"/>
          <w:sz w:val="18"/>
          <w:szCs w:val="18"/>
        </w:rPr>
        <w:t>（</w:t>
      </w:r>
      <w:r>
        <w:rPr>
          <w:rFonts w:hint="eastAsia"/>
          <w:sz w:val="18"/>
          <w:szCs w:val="18"/>
        </w:rPr>
        <w:t>2</w:t>
      </w:r>
      <w:r>
        <w:rPr>
          <w:rFonts w:hint="eastAsia"/>
          <w:sz w:val="18"/>
          <w:szCs w:val="18"/>
        </w:rPr>
        <w:t>）保留了金融资产所有权上几乎所有风险和报酬的，则继续确认该金融资产。</w:t>
      </w:r>
    </w:p>
    <w:p w:rsidR="00A067C6" w:rsidRDefault="005C4966">
      <w:pPr>
        <w:pStyle w:val="a6"/>
        <w:spacing w:before="0" w:beforeAutospacing="0" w:after="0" w:afterAutospacing="0"/>
        <w:ind w:firstLine="420"/>
        <w:jc w:val="both"/>
        <w:rPr>
          <w:sz w:val="18"/>
          <w:szCs w:val="18"/>
        </w:rPr>
      </w:pPr>
      <w:r>
        <w:rPr>
          <w:rFonts w:hint="eastAsia"/>
          <w:sz w:val="18"/>
          <w:szCs w:val="18"/>
        </w:rPr>
        <w:t>（</w:t>
      </w:r>
      <w:r>
        <w:rPr>
          <w:rFonts w:hint="eastAsia"/>
          <w:sz w:val="18"/>
          <w:szCs w:val="18"/>
        </w:rPr>
        <w:t>3</w:t>
      </w:r>
      <w:r>
        <w:rPr>
          <w:rFonts w:hint="eastAsia"/>
          <w:sz w:val="18"/>
          <w:szCs w:val="18"/>
        </w:rPr>
        <w:t>）既没有转移也没有保留金融资产所有权上几乎所有风险和报酬的（即除本条（</w:t>
      </w:r>
      <w:r>
        <w:rPr>
          <w:rFonts w:hint="eastAsia"/>
          <w:sz w:val="18"/>
          <w:szCs w:val="18"/>
        </w:rPr>
        <w:t>1</w:t>
      </w:r>
      <w:r>
        <w:rPr>
          <w:rFonts w:hint="eastAsia"/>
          <w:sz w:val="18"/>
          <w:szCs w:val="18"/>
        </w:rPr>
        <w:t>）、（</w:t>
      </w:r>
      <w:r>
        <w:rPr>
          <w:rFonts w:hint="eastAsia"/>
          <w:sz w:val="18"/>
          <w:szCs w:val="18"/>
        </w:rPr>
        <w:t>2</w:t>
      </w:r>
      <w:r>
        <w:rPr>
          <w:rFonts w:hint="eastAsia"/>
          <w:sz w:val="18"/>
          <w:szCs w:val="18"/>
        </w:rPr>
        <w:t>）之外的其他情形），则根据其是否保留了对金融资产的控制，分别下列情形处理：</w:t>
      </w:r>
    </w:p>
    <w:p w:rsidR="00A067C6" w:rsidRDefault="005C4966">
      <w:pPr>
        <w:pStyle w:val="a6"/>
        <w:spacing w:before="0" w:beforeAutospacing="0" w:after="0" w:afterAutospacing="0"/>
        <w:ind w:firstLine="420"/>
        <w:jc w:val="both"/>
        <w:rPr>
          <w:sz w:val="18"/>
          <w:szCs w:val="18"/>
        </w:rPr>
      </w:pPr>
      <w:r>
        <w:rPr>
          <w:rFonts w:hint="eastAsia"/>
          <w:sz w:val="18"/>
          <w:szCs w:val="18"/>
        </w:rPr>
        <w:t>   1</w:t>
      </w:r>
      <w:r>
        <w:rPr>
          <w:rFonts w:hint="eastAsia"/>
          <w:sz w:val="18"/>
          <w:szCs w:val="18"/>
        </w:rPr>
        <w:t>）未保留对该金融资产控制的，则终止确认该金融资产，并将转移中产生或保留的权利和义务单独确认为资产或负债。</w:t>
      </w:r>
    </w:p>
    <w:p w:rsidR="00A067C6" w:rsidRDefault="005C4966">
      <w:pPr>
        <w:pStyle w:val="a6"/>
        <w:spacing w:before="0" w:beforeAutospacing="0" w:after="0" w:afterAutospacing="0"/>
        <w:ind w:firstLine="420"/>
        <w:jc w:val="both"/>
        <w:rPr>
          <w:sz w:val="18"/>
          <w:szCs w:val="18"/>
        </w:rPr>
      </w:pPr>
      <w:r>
        <w:rPr>
          <w:rFonts w:hint="eastAsia"/>
          <w:sz w:val="18"/>
          <w:szCs w:val="18"/>
        </w:rPr>
        <w:t>   2</w:t>
      </w:r>
      <w:r>
        <w:rPr>
          <w:rFonts w:hint="eastAsia"/>
          <w:sz w:val="18"/>
          <w:szCs w:val="18"/>
        </w:rPr>
        <w:t>）保留了对该金融资产控制的，则按照其继续涉入被转移金融资产的程度继续确认有关金融资产，并相应确认相关负债。继续涉入被转移金融资产的程度，是指本公司承担的被转移金</w:t>
      </w:r>
      <w:r>
        <w:rPr>
          <w:rFonts w:hint="eastAsia"/>
          <w:sz w:val="18"/>
          <w:szCs w:val="18"/>
        </w:rPr>
        <w:t>融资产价值变动风险或报酬的程度。</w:t>
      </w:r>
    </w:p>
    <w:p w:rsidR="00A067C6" w:rsidRDefault="005C4966">
      <w:pPr>
        <w:pStyle w:val="a6"/>
        <w:spacing w:before="0" w:beforeAutospacing="0" w:after="0" w:afterAutospacing="0"/>
        <w:ind w:firstLine="420"/>
        <w:jc w:val="both"/>
        <w:rPr>
          <w:sz w:val="18"/>
          <w:szCs w:val="18"/>
        </w:rPr>
      </w:pPr>
      <w:r>
        <w:rPr>
          <w:rFonts w:hint="eastAsia"/>
          <w:sz w:val="18"/>
          <w:szCs w:val="18"/>
        </w:rPr>
        <w:t>在判断金融资产转移是否满足上述金融资产终止确认条件时，采用实质重于形式的原则。公司将金融资产转移区分为金融资产整体转移和部分转移。</w:t>
      </w:r>
    </w:p>
    <w:p w:rsidR="00A067C6" w:rsidRDefault="005C4966">
      <w:pPr>
        <w:pStyle w:val="a6"/>
        <w:spacing w:before="0" w:beforeAutospacing="0" w:after="0" w:afterAutospacing="0"/>
        <w:ind w:firstLine="420"/>
        <w:jc w:val="both"/>
        <w:rPr>
          <w:sz w:val="18"/>
          <w:szCs w:val="18"/>
        </w:rPr>
      </w:pPr>
      <w:r>
        <w:rPr>
          <w:rFonts w:hint="eastAsia"/>
          <w:sz w:val="18"/>
          <w:szCs w:val="18"/>
        </w:rPr>
        <w:t>（</w:t>
      </w:r>
      <w:r>
        <w:rPr>
          <w:rFonts w:hint="eastAsia"/>
          <w:sz w:val="18"/>
          <w:szCs w:val="18"/>
        </w:rPr>
        <w:t>1</w:t>
      </w:r>
      <w:r>
        <w:rPr>
          <w:rFonts w:hint="eastAsia"/>
          <w:sz w:val="18"/>
          <w:szCs w:val="18"/>
        </w:rPr>
        <w:t>）金融资产整体转移满足终止确认条件的，将下列两项金额的差额计入当期损益：</w:t>
      </w:r>
    </w:p>
    <w:p w:rsidR="00A067C6" w:rsidRDefault="005C4966">
      <w:pPr>
        <w:pStyle w:val="a6"/>
        <w:spacing w:before="0" w:beforeAutospacing="0" w:after="0" w:afterAutospacing="0"/>
        <w:ind w:firstLine="420"/>
        <w:jc w:val="both"/>
        <w:rPr>
          <w:sz w:val="18"/>
          <w:szCs w:val="18"/>
        </w:rPr>
      </w:pPr>
      <w:r>
        <w:rPr>
          <w:rFonts w:hint="eastAsia"/>
          <w:sz w:val="18"/>
          <w:szCs w:val="18"/>
        </w:rPr>
        <w:t>   1</w:t>
      </w:r>
      <w:r>
        <w:rPr>
          <w:rFonts w:hint="eastAsia"/>
          <w:sz w:val="18"/>
          <w:szCs w:val="18"/>
        </w:rPr>
        <w:t>）被转移金融资产在终止确认日的账面价值。</w:t>
      </w:r>
    </w:p>
    <w:p w:rsidR="00A067C6" w:rsidRDefault="005C4966">
      <w:pPr>
        <w:pStyle w:val="a6"/>
        <w:spacing w:before="0" w:beforeAutospacing="0" w:after="0" w:afterAutospacing="0"/>
        <w:ind w:firstLine="420"/>
        <w:jc w:val="both"/>
        <w:rPr>
          <w:sz w:val="18"/>
          <w:szCs w:val="18"/>
        </w:rPr>
      </w:pPr>
      <w:r>
        <w:rPr>
          <w:rFonts w:hint="eastAsia"/>
          <w:sz w:val="18"/>
          <w:szCs w:val="18"/>
        </w:rPr>
        <w:t>   2</w:t>
      </w:r>
      <w:r>
        <w:rPr>
          <w:rFonts w:hint="eastAsia"/>
          <w:sz w:val="18"/>
          <w:szCs w:val="18"/>
        </w:rPr>
        <w:t>）因转移金融资产而收到的对价，与原直接计入其他综合收益的公允价值变动累计额中对应终止确认部分的金额（涉及转移的金融资产为以公允价值计量且其变动计入其他综合收益的金融资产）之和。</w:t>
      </w:r>
    </w:p>
    <w:p w:rsidR="00A067C6" w:rsidRDefault="005C4966">
      <w:pPr>
        <w:pStyle w:val="a6"/>
        <w:spacing w:before="0" w:beforeAutospacing="0" w:after="0" w:afterAutospacing="0"/>
        <w:ind w:firstLine="420"/>
        <w:jc w:val="both"/>
        <w:rPr>
          <w:sz w:val="18"/>
          <w:szCs w:val="18"/>
        </w:rPr>
      </w:pPr>
      <w:r>
        <w:rPr>
          <w:rFonts w:hint="eastAsia"/>
          <w:sz w:val="18"/>
          <w:szCs w:val="18"/>
        </w:rPr>
        <w:t>（</w:t>
      </w:r>
      <w:r>
        <w:rPr>
          <w:rFonts w:hint="eastAsia"/>
          <w:sz w:val="18"/>
          <w:szCs w:val="18"/>
        </w:rPr>
        <w:t>2</w:t>
      </w:r>
      <w:r>
        <w:rPr>
          <w:rFonts w:hint="eastAsia"/>
          <w:sz w:val="18"/>
          <w:szCs w:val="18"/>
        </w:rPr>
        <w:t>）金融资产部分转移且该被转移</w:t>
      </w:r>
      <w:r>
        <w:rPr>
          <w:rFonts w:hint="eastAsia"/>
          <w:sz w:val="18"/>
          <w:szCs w:val="18"/>
        </w:rPr>
        <w:t>部分整体满足终止确认条件的，将转移前金融资产整体的账面价值，在终止确认部分和继续确认部分（在此种情形下，所保留的服务资产应当视同继续确认金融资产的一部分）之间，按照转移日各自的相对公允价值进行分摊，并将下列两项金额的差额计入当期损益：</w:t>
      </w:r>
    </w:p>
    <w:p w:rsidR="00A067C6" w:rsidRDefault="005C4966">
      <w:pPr>
        <w:pStyle w:val="a6"/>
        <w:spacing w:before="0" w:beforeAutospacing="0" w:after="0" w:afterAutospacing="0"/>
        <w:ind w:firstLine="420"/>
        <w:jc w:val="both"/>
        <w:rPr>
          <w:sz w:val="18"/>
          <w:szCs w:val="18"/>
        </w:rPr>
      </w:pPr>
      <w:r>
        <w:rPr>
          <w:rFonts w:hint="eastAsia"/>
          <w:sz w:val="18"/>
          <w:szCs w:val="18"/>
        </w:rPr>
        <w:t>   1</w:t>
      </w:r>
      <w:r>
        <w:rPr>
          <w:rFonts w:hint="eastAsia"/>
          <w:sz w:val="18"/>
          <w:szCs w:val="18"/>
        </w:rPr>
        <w:t>）终止确认部分在终止确认日的账面价值。</w:t>
      </w:r>
    </w:p>
    <w:p w:rsidR="00A067C6" w:rsidRDefault="005C4966">
      <w:pPr>
        <w:pStyle w:val="a6"/>
        <w:spacing w:before="0" w:beforeAutospacing="0" w:after="0" w:afterAutospacing="0"/>
        <w:ind w:firstLine="420"/>
        <w:jc w:val="both"/>
        <w:rPr>
          <w:sz w:val="18"/>
          <w:szCs w:val="18"/>
        </w:rPr>
      </w:pPr>
      <w:r>
        <w:rPr>
          <w:rFonts w:cs="Times New Roman" w:hint="eastAsia"/>
          <w:sz w:val="18"/>
          <w:szCs w:val="18"/>
        </w:rPr>
        <w:t> </w:t>
      </w:r>
      <w:r>
        <w:rPr>
          <w:rFonts w:hint="eastAsia"/>
          <w:sz w:val="18"/>
          <w:szCs w:val="18"/>
        </w:rPr>
        <w:t>  2</w:t>
      </w:r>
      <w:r>
        <w:rPr>
          <w:rFonts w:hint="eastAsia"/>
          <w:sz w:val="18"/>
          <w:szCs w:val="18"/>
        </w:rPr>
        <w:t>）终止确认部分收到的对价，与原计入其他综合收益的公允价值变动累计额中对应终止确认部分的金额（涉及转移的金融资产为以公允价值计量且其变动计入其他综合收益的金融资产）之和。</w:t>
      </w:r>
    </w:p>
    <w:p w:rsidR="00A067C6" w:rsidRDefault="005C4966">
      <w:pPr>
        <w:pStyle w:val="a6"/>
        <w:spacing w:before="0" w:beforeAutospacing="0" w:after="0" w:afterAutospacing="0"/>
        <w:ind w:firstLine="420"/>
        <w:jc w:val="both"/>
        <w:rPr>
          <w:sz w:val="18"/>
          <w:szCs w:val="18"/>
        </w:rPr>
      </w:pPr>
      <w:r>
        <w:rPr>
          <w:rFonts w:hint="eastAsia"/>
          <w:sz w:val="18"/>
          <w:szCs w:val="18"/>
        </w:rPr>
        <w:t>金融资产转移不满足终止确认条件的，继续确认该金融资</w:t>
      </w:r>
      <w:r>
        <w:rPr>
          <w:rFonts w:hint="eastAsia"/>
          <w:sz w:val="18"/>
          <w:szCs w:val="18"/>
        </w:rPr>
        <w:t>产，所收到的对价确认为一项金融负债。</w:t>
      </w:r>
    </w:p>
    <w:p w:rsidR="00A067C6" w:rsidRDefault="005C4966">
      <w:pPr>
        <w:pStyle w:val="a6"/>
        <w:ind w:right="782"/>
        <w:jc w:val="both"/>
        <w:rPr>
          <w:rFonts w:ascii="Times New Roman" w:hAnsi="Times New Roman" w:cs="Times New Roman"/>
        </w:rPr>
      </w:pPr>
      <w:r>
        <w:rPr>
          <w:rStyle w:val="a7"/>
          <w:rFonts w:ascii="Times New Roman" w:hAnsi="Times New Roman" w:cs="Times New Roman"/>
          <w:sz w:val="21"/>
          <w:szCs w:val="21"/>
        </w:rPr>
        <w:t>    5.</w:t>
      </w:r>
      <w:r>
        <w:rPr>
          <w:rStyle w:val="a7"/>
          <w:rFonts w:cs="Times New Roman" w:hint="eastAsia"/>
          <w:sz w:val="21"/>
          <w:szCs w:val="21"/>
        </w:rPr>
        <w:t>金融资产和金融负债公允价值的确定方法</w:t>
      </w:r>
    </w:p>
    <w:p w:rsidR="00A067C6" w:rsidRDefault="005C4966">
      <w:pPr>
        <w:pStyle w:val="a6"/>
        <w:spacing w:before="0" w:beforeAutospacing="0" w:after="0" w:afterAutospacing="0"/>
        <w:ind w:firstLine="420"/>
        <w:jc w:val="both"/>
        <w:rPr>
          <w:sz w:val="18"/>
          <w:szCs w:val="18"/>
        </w:rPr>
      </w:pPr>
      <w:r>
        <w:rPr>
          <w:rFonts w:hint="eastAsia"/>
          <w:sz w:val="18"/>
          <w:szCs w:val="18"/>
        </w:rPr>
        <w:t>存在活跃市场的金融资产或金融负债，以活跃市场的报价确定其公允价值，除非该项金融资产存在针对资产本身的限售期。对于针对资产本身的限售的金融资产，按照活跃市场的报价扣除市场参与者因承担指定期间内无法在公开市场上出售该金融资产的风险而要求获得的补偿金额后确定。活跃市场的报价包括易于且可定期从交易所、交易商、经纪人、行业集团、定价机构或监管机构等获得相关资产或负债的报价，且能代表在公平交易基础上实际并经常发生的市场交易。</w:t>
      </w:r>
    </w:p>
    <w:p w:rsidR="00A067C6" w:rsidRDefault="005C4966">
      <w:pPr>
        <w:pStyle w:val="a6"/>
        <w:spacing w:before="0" w:beforeAutospacing="0" w:after="0" w:afterAutospacing="0"/>
        <w:ind w:firstLine="420"/>
        <w:jc w:val="both"/>
        <w:rPr>
          <w:sz w:val="18"/>
          <w:szCs w:val="18"/>
        </w:rPr>
      </w:pPr>
      <w:r>
        <w:rPr>
          <w:rFonts w:hint="eastAsia"/>
          <w:sz w:val="18"/>
          <w:szCs w:val="18"/>
        </w:rPr>
        <w:t>初始取</w:t>
      </w:r>
      <w:r>
        <w:rPr>
          <w:rFonts w:hint="eastAsia"/>
          <w:sz w:val="18"/>
          <w:szCs w:val="18"/>
        </w:rPr>
        <w:t>得或衍生的金融资产或承担的金融负债，以市场交易价格作为确定其公允价值的基础。</w:t>
      </w:r>
    </w:p>
    <w:p w:rsidR="00A067C6" w:rsidRDefault="005C4966">
      <w:pPr>
        <w:pStyle w:val="a6"/>
        <w:spacing w:before="0" w:beforeAutospacing="0" w:after="0" w:afterAutospacing="0"/>
        <w:ind w:firstLine="420"/>
        <w:jc w:val="both"/>
        <w:rPr>
          <w:sz w:val="18"/>
          <w:szCs w:val="18"/>
        </w:rPr>
      </w:pPr>
      <w:r>
        <w:rPr>
          <w:rFonts w:hint="eastAsia"/>
          <w:sz w:val="18"/>
          <w:szCs w:val="18"/>
        </w:rPr>
        <w:t>不存在活跃市场的金融资产或金融负债，采用估值技术确定其公允价值。在估值时，本公司采用在当前情况下适用并且有足够可利用数据和其他信息支持的估值技术，选择与市场参与者在相关资产或负债的交易中所考虑的资产或负债特征相一致的输入值，并尽可能优先使用相关可观察输入值。在相关可观察输入值无法取得或取得不切实可行的情况下，使用不可观察输入值。</w:t>
      </w:r>
    </w:p>
    <w:p w:rsidR="00A067C6" w:rsidRDefault="005C4966">
      <w:pPr>
        <w:pStyle w:val="a6"/>
        <w:ind w:right="782"/>
        <w:jc w:val="both"/>
        <w:rPr>
          <w:rFonts w:ascii="Times New Roman" w:hAnsi="Times New Roman" w:cs="Times New Roman"/>
        </w:rPr>
      </w:pPr>
      <w:r>
        <w:rPr>
          <w:rStyle w:val="a7"/>
          <w:rFonts w:ascii="Times New Roman" w:hAnsi="Times New Roman" w:cs="Times New Roman"/>
          <w:sz w:val="21"/>
          <w:szCs w:val="21"/>
        </w:rPr>
        <w:t>    6.</w:t>
      </w:r>
      <w:r>
        <w:rPr>
          <w:rStyle w:val="a7"/>
          <w:rFonts w:cs="Times New Roman" w:hint="eastAsia"/>
          <w:sz w:val="21"/>
          <w:szCs w:val="21"/>
        </w:rPr>
        <w:t>金融工具减值</w:t>
      </w:r>
    </w:p>
    <w:p w:rsidR="00A067C6" w:rsidRDefault="005C4966">
      <w:pPr>
        <w:pStyle w:val="a6"/>
        <w:spacing w:before="0" w:beforeAutospacing="0" w:after="0" w:afterAutospacing="0"/>
        <w:ind w:firstLine="420"/>
        <w:jc w:val="both"/>
        <w:rPr>
          <w:sz w:val="18"/>
          <w:szCs w:val="18"/>
        </w:rPr>
      </w:pPr>
      <w:r>
        <w:rPr>
          <w:rFonts w:hint="eastAsia"/>
          <w:sz w:val="18"/>
          <w:szCs w:val="18"/>
        </w:rPr>
        <w:t>本公司对以摊余成本计量的金融资产以预期信用损失为基础进行减值会计处理并确认损</w:t>
      </w:r>
      <w:r>
        <w:rPr>
          <w:rFonts w:hint="eastAsia"/>
          <w:sz w:val="18"/>
          <w:szCs w:val="18"/>
        </w:rPr>
        <w:t>失准备。</w:t>
      </w:r>
    </w:p>
    <w:p w:rsidR="00A067C6" w:rsidRDefault="005C4966">
      <w:pPr>
        <w:pStyle w:val="a6"/>
        <w:spacing w:before="0" w:beforeAutospacing="0" w:after="0" w:afterAutospacing="0"/>
        <w:ind w:firstLine="420"/>
        <w:jc w:val="both"/>
        <w:rPr>
          <w:sz w:val="18"/>
          <w:szCs w:val="18"/>
        </w:rPr>
      </w:pPr>
      <w:r>
        <w:rPr>
          <w:rFonts w:hint="eastAsia"/>
          <w:sz w:val="18"/>
          <w:szCs w:val="18"/>
        </w:rPr>
        <w:t>预期信用损失，是指以发生违约的风险为权重的金融工具信用损失的加权平均值。信用损失，是指本公司按照原实际利率折现的、根据合同应收的所有合同现金流量与预期收取的所有现金流量之间的差额，即全部现金短缺的现值。其中，对于本公司购买或源生的已发生信用减值的金融资产，应按照该金融资产经信用调整的实际利率折现。</w:t>
      </w:r>
    </w:p>
    <w:p w:rsidR="00A067C6" w:rsidRDefault="005C4966">
      <w:pPr>
        <w:pStyle w:val="a6"/>
        <w:spacing w:before="0" w:beforeAutospacing="0" w:after="0" w:afterAutospacing="0"/>
        <w:ind w:firstLine="420"/>
        <w:jc w:val="both"/>
        <w:rPr>
          <w:sz w:val="18"/>
          <w:szCs w:val="18"/>
        </w:rPr>
      </w:pPr>
      <w:r>
        <w:rPr>
          <w:rFonts w:hint="eastAsia"/>
          <w:sz w:val="18"/>
          <w:szCs w:val="18"/>
        </w:rPr>
        <w:t>对由收入准则规范的交易形成的应收款项、合同资产以及租赁应收款，本公司运用简化计量方法，按照相当于整个存续期内预期信用损失的金额计量损失准备。</w:t>
      </w:r>
    </w:p>
    <w:p w:rsidR="00A067C6" w:rsidRDefault="005C4966">
      <w:pPr>
        <w:pStyle w:val="a6"/>
        <w:spacing w:before="0" w:beforeAutospacing="0" w:after="0" w:afterAutospacing="0"/>
        <w:ind w:firstLine="420"/>
        <w:jc w:val="both"/>
        <w:rPr>
          <w:sz w:val="18"/>
          <w:szCs w:val="18"/>
        </w:rPr>
      </w:pPr>
      <w:r>
        <w:rPr>
          <w:rFonts w:hint="eastAsia"/>
          <w:sz w:val="18"/>
          <w:szCs w:val="18"/>
        </w:rPr>
        <w:t>对于购买或源生的已发生信用减值的金融资产，在资产负债表日仅将</w:t>
      </w:r>
      <w:r>
        <w:rPr>
          <w:rFonts w:hint="eastAsia"/>
          <w:sz w:val="18"/>
          <w:szCs w:val="18"/>
        </w:rPr>
        <w:t>自初始确认后整个存续期内预期信用损失的累计变动确认为损失准备。在每个资产负债表日，将整个存续期内预期信用损失的变动金额作为减值损失或利得计入当期损益。即使该资产负债表日确定的整个存续期内预期信用损失小于初始确认时估计现金流量所反映的预期信用损失的金额，也将预期信用损失的有利变动确认为减值利得。</w:t>
      </w:r>
    </w:p>
    <w:p w:rsidR="00A067C6" w:rsidRDefault="005C4966">
      <w:pPr>
        <w:pStyle w:val="a6"/>
        <w:spacing w:before="0" w:beforeAutospacing="0" w:after="0" w:afterAutospacing="0"/>
        <w:ind w:firstLine="420"/>
        <w:jc w:val="both"/>
        <w:rPr>
          <w:sz w:val="18"/>
          <w:szCs w:val="18"/>
        </w:rPr>
      </w:pPr>
      <w:r>
        <w:rPr>
          <w:rFonts w:hint="eastAsia"/>
          <w:sz w:val="18"/>
          <w:szCs w:val="18"/>
        </w:rPr>
        <w:t>除上述采用简化计量方法和购买或源生的已发生信用减值以外的其他金融资产，本公司在每个资产负债表日评估相关金融工具的信用风险自初始确认后是否已显著增加，并按照下列情形分别计量其损失准备、确认预期信用损失及其变动：</w:t>
      </w:r>
    </w:p>
    <w:p w:rsidR="00A067C6" w:rsidRDefault="005C4966">
      <w:pPr>
        <w:pStyle w:val="a6"/>
        <w:spacing w:before="0" w:beforeAutospacing="0" w:after="0" w:afterAutospacing="0"/>
        <w:ind w:firstLine="420"/>
        <w:jc w:val="both"/>
        <w:rPr>
          <w:sz w:val="18"/>
          <w:szCs w:val="18"/>
        </w:rPr>
      </w:pPr>
      <w:r>
        <w:rPr>
          <w:rFonts w:hint="eastAsia"/>
          <w:sz w:val="18"/>
          <w:szCs w:val="18"/>
        </w:rPr>
        <w:t>（</w:t>
      </w:r>
      <w:r>
        <w:rPr>
          <w:rFonts w:hint="eastAsia"/>
          <w:sz w:val="18"/>
          <w:szCs w:val="18"/>
        </w:rPr>
        <w:t>1</w:t>
      </w:r>
      <w:r>
        <w:rPr>
          <w:rFonts w:hint="eastAsia"/>
          <w:sz w:val="18"/>
          <w:szCs w:val="18"/>
        </w:rPr>
        <w:t>）如果该金融工具的信用风险自初始确认后并未显著增加，处于第一阶段，则按照相当于该金融工具未来</w:t>
      </w:r>
      <w:r>
        <w:rPr>
          <w:rFonts w:hint="eastAsia"/>
          <w:sz w:val="18"/>
          <w:szCs w:val="18"/>
        </w:rPr>
        <w:t>12</w:t>
      </w:r>
      <w:r>
        <w:rPr>
          <w:rFonts w:hint="eastAsia"/>
          <w:sz w:val="18"/>
          <w:szCs w:val="18"/>
        </w:rPr>
        <w:t>个月内预期信用损失的金额计量其损失准备，并按照账面余额和实际利率计算利息收入。</w:t>
      </w:r>
    </w:p>
    <w:p w:rsidR="00A067C6" w:rsidRDefault="005C4966">
      <w:pPr>
        <w:pStyle w:val="a6"/>
        <w:spacing w:before="0" w:beforeAutospacing="0" w:after="0" w:afterAutospacing="0"/>
        <w:ind w:firstLine="420"/>
        <w:jc w:val="both"/>
        <w:rPr>
          <w:sz w:val="18"/>
          <w:szCs w:val="18"/>
        </w:rPr>
      </w:pPr>
      <w:r>
        <w:rPr>
          <w:rFonts w:hint="eastAsia"/>
          <w:sz w:val="18"/>
          <w:szCs w:val="18"/>
        </w:rPr>
        <w:t>（</w:t>
      </w:r>
      <w:r>
        <w:rPr>
          <w:rFonts w:hint="eastAsia"/>
          <w:sz w:val="18"/>
          <w:szCs w:val="18"/>
        </w:rPr>
        <w:t>2</w:t>
      </w:r>
      <w:r>
        <w:rPr>
          <w:rFonts w:hint="eastAsia"/>
          <w:sz w:val="18"/>
          <w:szCs w:val="18"/>
        </w:rPr>
        <w:t>）如果该金融工具的信用风险自初始确认后已显著增加但尚未发生信用减值的，处于第二阶段，则按照相当于该金融工具整个存续期内预期信用损失的金额计量其损失准备，并按照账面余额和实际利率计算利息收入。</w:t>
      </w:r>
    </w:p>
    <w:p w:rsidR="00A067C6" w:rsidRDefault="005C4966">
      <w:pPr>
        <w:pStyle w:val="a6"/>
        <w:spacing w:before="0" w:beforeAutospacing="0" w:after="0" w:afterAutospacing="0"/>
        <w:ind w:firstLine="420"/>
        <w:jc w:val="both"/>
        <w:rPr>
          <w:sz w:val="18"/>
          <w:szCs w:val="18"/>
        </w:rPr>
      </w:pPr>
      <w:r>
        <w:rPr>
          <w:rFonts w:hint="eastAsia"/>
          <w:sz w:val="18"/>
          <w:szCs w:val="18"/>
        </w:rPr>
        <w:t>（</w:t>
      </w:r>
      <w:r>
        <w:rPr>
          <w:rFonts w:hint="eastAsia"/>
          <w:sz w:val="18"/>
          <w:szCs w:val="18"/>
        </w:rPr>
        <w:t>3</w:t>
      </w:r>
      <w:r>
        <w:rPr>
          <w:rFonts w:hint="eastAsia"/>
          <w:sz w:val="18"/>
          <w:szCs w:val="18"/>
        </w:rPr>
        <w:t>）如果该金融工具自初始确认后已经发生信用减值的，处于第三阶段，本公司按照相当于该金融工具整个存续期内预期信用损失的金额计量其损失准备</w:t>
      </w:r>
      <w:r>
        <w:rPr>
          <w:rFonts w:hint="eastAsia"/>
          <w:sz w:val="18"/>
          <w:szCs w:val="18"/>
        </w:rPr>
        <w:t>，并按照摊余成本和实际利率计算利息收入。</w:t>
      </w:r>
    </w:p>
    <w:p w:rsidR="00A067C6" w:rsidRDefault="005C4966">
      <w:pPr>
        <w:pStyle w:val="a6"/>
        <w:spacing w:before="0" w:beforeAutospacing="0" w:after="0" w:afterAutospacing="0"/>
        <w:ind w:firstLine="420"/>
        <w:jc w:val="both"/>
        <w:rPr>
          <w:sz w:val="18"/>
          <w:szCs w:val="18"/>
        </w:rPr>
      </w:pPr>
      <w:r>
        <w:rPr>
          <w:rFonts w:hint="eastAsia"/>
          <w:sz w:val="18"/>
          <w:szCs w:val="18"/>
        </w:rPr>
        <w:t>金融工具信用损失准备的增加或转回金额，作为减值损失或利得计入当期损益。除分类为以公允价值计量且其变动计入其他综合收益的金融资产外，信用损失准备抵减金融资产的账面余额。对于分类为以公允价值计量且其变动计入其他综合收益的金融资产，本公司在其他综合收益中确认其信用损失准备，不减少该金融资产在资产负债表中列示的账面价值。</w:t>
      </w:r>
    </w:p>
    <w:p w:rsidR="00A067C6" w:rsidRDefault="005C4966">
      <w:pPr>
        <w:pStyle w:val="a6"/>
        <w:spacing w:before="0" w:beforeAutospacing="0" w:after="0" w:afterAutospacing="0"/>
        <w:ind w:firstLine="420"/>
        <w:jc w:val="both"/>
        <w:rPr>
          <w:sz w:val="18"/>
          <w:szCs w:val="18"/>
        </w:rPr>
      </w:pPr>
      <w:r>
        <w:rPr>
          <w:rFonts w:hint="eastAsia"/>
          <w:sz w:val="18"/>
          <w:szCs w:val="18"/>
        </w:rPr>
        <w:t>本公司在前一会计期间已经按照相当于金融工具整个存续期内预期信用损失的金额计量了损失准备，但在当期资产负债表日，该金融工具已不再属于自初始确认后信用风险显著</w:t>
      </w:r>
      <w:r>
        <w:rPr>
          <w:rFonts w:hint="eastAsia"/>
          <w:sz w:val="18"/>
          <w:szCs w:val="18"/>
        </w:rPr>
        <w:t>增加的情形的，本公司在当期资产负债表日按照相当于未来</w:t>
      </w:r>
      <w:r>
        <w:rPr>
          <w:rFonts w:hint="eastAsia"/>
          <w:sz w:val="18"/>
          <w:szCs w:val="18"/>
        </w:rPr>
        <w:t>12</w:t>
      </w:r>
      <w:r>
        <w:rPr>
          <w:rFonts w:hint="eastAsia"/>
          <w:sz w:val="18"/>
          <w:szCs w:val="18"/>
        </w:rPr>
        <w:t>个月内预期信用损失的金额计量该金融工具的损失准备，由此形成的损失准备的转回金额作为减值利得计入当期损益。</w:t>
      </w:r>
    </w:p>
    <w:p w:rsidR="00A067C6" w:rsidRDefault="005C4966">
      <w:pPr>
        <w:pStyle w:val="a6"/>
        <w:spacing w:before="0" w:beforeAutospacing="0" w:after="0" w:afterAutospacing="0"/>
        <w:ind w:firstLine="420"/>
        <w:jc w:val="both"/>
        <w:rPr>
          <w:sz w:val="18"/>
          <w:szCs w:val="18"/>
        </w:rPr>
      </w:pPr>
      <w:r>
        <w:rPr>
          <w:rFonts w:hint="eastAsia"/>
          <w:sz w:val="18"/>
          <w:szCs w:val="18"/>
        </w:rPr>
        <w:t>（</w:t>
      </w:r>
      <w:r>
        <w:rPr>
          <w:rFonts w:hint="eastAsia"/>
          <w:sz w:val="18"/>
          <w:szCs w:val="18"/>
        </w:rPr>
        <w:t>1</w:t>
      </w:r>
      <w:r>
        <w:rPr>
          <w:rFonts w:hint="eastAsia"/>
          <w:sz w:val="18"/>
          <w:szCs w:val="18"/>
        </w:rPr>
        <w:t>）信用风险显著增加</w:t>
      </w:r>
    </w:p>
    <w:p w:rsidR="00A067C6" w:rsidRDefault="005C4966">
      <w:pPr>
        <w:pStyle w:val="a6"/>
        <w:spacing w:before="0" w:beforeAutospacing="0" w:after="0" w:afterAutospacing="0"/>
        <w:ind w:firstLine="420"/>
        <w:jc w:val="both"/>
        <w:rPr>
          <w:sz w:val="18"/>
          <w:szCs w:val="18"/>
        </w:rPr>
      </w:pPr>
      <w:r>
        <w:rPr>
          <w:rFonts w:hint="eastAsia"/>
          <w:sz w:val="18"/>
          <w:szCs w:val="18"/>
        </w:rPr>
        <w:t>本公司利用可获得的合理且有依据的前瞻性信息，通过比较金融工具在资产负债表日发生违约的风险与在初始确认日发生违约的风险，以确定金融工具的信用风险自初始确认后是否已显著增加。对于财务担保合同，本公司在应用金融工具减值规定时，将本公司成为做出不可撤销承诺的一方之日作为初始确认日。</w:t>
      </w:r>
    </w:p>
    <w:p w:rsidR="00A067C6" w:rsidRDefault="005C4966">
      <w:pPr>
        <w:pStyle w:val="a6"/>
        <w:spacing w:before="0" w:beforeAutospacing="0" w:after="0" w:afterAutospacing="0"/>
        <w:ind w:firstLine="420"/>
        <w:jc w:val="both"/>
        <w:rPr>
          <w:sz w:val="18"/>
          <w:szCs w:val="18"/>
        </w:rPr>
      </w:pPr>
      <w:r>
        <w:rPr>
          <w:rFonts w:hint="eastAsia"/>
          <w:sz w:val="18"/>
          <w:szCs w:val="18"/>
        </w:rPr>
        <w:t>本公司在评估信用风险是否显著增加时会考虑如下因素：</w:t>
      </w:r>
    </w:p>
    <w:p w:rsidR="00A067C6" w:rsidRDefault="005C4966">
      <w:pPr>
        <w:pStyle w:val="a6"/>
        <w:spacing w:before="0" w:beforeAutospacing="0" w:after="0" w:afterAutospacing="0"/>
        <w:ind w:firstLine="420"/>
        <w:jc w:val="both"/>
        <w:rPr>
          <w:sz w:val="18"/>
          <w:szCs w:val="18"/>
        </w:rPr>
      </w:pPr>
      <w:r>
        <w:rPr>
          <w:rFonts w:hint="eastAsia"/>
          <w:sz w:val="18"/>
          <w:szCs w:val="18"/>
        </w:rPr>
        <w:t>   1</w:t>
      </w:r>
      <w:r>
        <w:rPr>
          <w:rFonts w:hint="eastAsia"/>
          <w:sz w:val="18"/>
          <w:szCs w:val="18"/>
        </w:rPr>
        <w:t>）债务人经营成果实际或预期是否发生显著变化；</w:t>
      </w:r>
    </w:p>
    <w:p w:rsidR="00A067C6" w:rsidRDefault="005C4966">
      <w:pPr>
        <w:pStyle w:val="a6"/>
        <w:spacing w:before="0" w:beforeAutospacing="0" w:after="0" w:afterAutospacing="0"/>
        <w:ind w:firstLine="420"/>
        <w:jc w:val="both"/>
        <w:rPr>
          <w:sz w:val="18"/>
          <w:szCs w:val="18"/>
        </w:rPr>
      </w:pPr>
      <w:r>
        <w:rPr>
          <w:rFonts w:hint="eastAsia"/>
          <w:sz w:val="18"/>
          <w:szCs w:val="18"/>
        </w:rPr>
        <w:t>  2</w:t>
      </w:r>
      <w:r>
        <w:rPr>
          <w:rFonts w:hint="eastAsia"/>
          <w:sz w:val="18"/>
          <w:szCs w:val="18"/>
        </w:rPr>
        <w:t>）债务人所处的监管、经济或技术环境是否发生显著不利变化；</w:t>
      </w:r>
    </w:p>
    <w:p w:rsidR="00A067C6" w:rsidRDefault="005C4966">
      <w:pPr>
        <w:pStyle w:val="a6"/>
        <w:spacing w:before="0" w:beforeAutospacing="0" w:after="0" w:afterAutospacing="0"/>
        <w:ind w:firstLine="420"/>
        <w:jc w:val="both"/>
        <w:rPr>
          <w:sz w:val="18"/>
          <w:szCs w:val="18"/>
        </w:rPr>
      </w:pPr>
      <w:r>
        <w:rPr>
          <w:rFonts w:hint="eastAsia"/>
          <w:sz w:val="18"/>
          <w:szCs w:val="18"/>
        </w:rPr>
        <w:t>  3</w:t>
      </w:r>
      <w:r>
        <w:rPr>
          <w:rFonts w:hint="eastAsia"/>
          <w:sz w:val="18"/>
          <w:szCs w:val="18"/>
        </w:rPr>
        <w:t>）作为债务抵押的担保物价值或第三方提供的担保或信用增级质量是否发生显著变化，这些变化预期将降低债务人按合同规定期限还款的经济动机或者影响违约概率；</w:t>
      </w:r>
    </w:p>
    <w:p w:rsidR="00A067C6" w:rsidRDefault="005C4966">
      <w:pPr>
        <w:pStyle w:val="a6"/>
        <w:spacing w:before="0" w:beforeAutospacing="0" w:after="0" w:afterAutospacing="0"/>
        <w:ind w:firstLine="420"/>
        <w:jc w:val="both"/>
        <w:rPr>
          <w:sz w:val="18"/>
          <w:szCs w:val="18"/>
        </w:rPr>
      </w:pPr>
      <w:r>
        <w:rPr>
          <w:rFonts w:hint="eastAsia"/>
          <w:sz w:val="18"/>
          <w:szCs w:val="18"/>
        </w:rPr>
        <w:t>  4</w:t>
      </w:r>
      <w:r>
        <w:rPr>
          <w:rFonts w:hint="eastAsia"/>
          <w:sz w:val="18"/>
          <w:szCs w:val="18"/>
        </w:rPr>
        <w:t>）债务人预期表现和还款行为是否发生显著变化；</w:t>
      </w:r>
    </w:p>
    <w:p w:rsidR="00A067C6" w:rsidRDefault="005C4966">
      <w:pPr>
        <w:pStyle w:val="a6"/>
        <w:spacing w:before="0" w:beforeAutospacing="0" w:after="0" w:afterAutospacing="0"/>
        <w:ind w:firstLine="420"/>
        <w:jc w:val="both"/>
        <w:rPr>
          <w:sz w:val="18"/>
          <w:szCs w:val="18"/>
        </w:rPr>
      </w:pPr>
      <w:r>
        <w:rPr>
          <w:rFonts w:hint="eastAsia"/>
          <w:sz w:val="18"/>
          <w:szCs w:val="18"/>
        </w:rPr>
        <w:t>  5</w:t>
      </w:r>
      <w:r>
        <w:rPr>
          <w:rFonts w:hint="eastAsia"/>
          <w:sz w:val="18"/>
          <w:szCs w:val="18"/>
        </w:rPr>
        <w:t>）本公司对金融工具信用管理方法是否发生变化等。</w:t>
      </w:r>
    </w:p>
    <w:p w:rsidR="00A067C6" w:rsidRDefault="005C4966">
      <w:pPr>
        <w:pStyle w:val="a6"/>
        <w:spacing w:before="0" w:beforeAutospacing="0" w:after="0" w:afterAutospacing="0"/>
        <w:ind w:firstLine="420"/>
        <w:jc w:val="both"/>
        <w:rPr>
          <w:sz w:val="18"/>
          <w:szCs w:val="18"/>
        </w:rPr>
      </w:pPr>
      <w:r>
        <w:rPr>
          <w:rFonts w:hint="eastAsia"/>
          <w:sz w:val="18"/>
          <w:szCs w:val="18"/>
        </w:rPr>
        <w:t>于资产负债表日，若本公司判断金融工具只具有较低的信用风险，则本公司假定该金融工具的信用风险自初始确认后并未显著增加。如果金融工具的违约风险较低，借款人在短期内履行其合同现金流量义务的能力很强，并且即使较长时期内经济形势和经营环境存在不利变化，但未必一定降低借款人履行其合同现金流量义务的能力，则该金融工具被视为具有较低的信用风险。</w:t>
      </w:r>
    </w:p>
    <w:p w:rsidR="00A067C6" w:rsidRDefault="005C4966">
      <w:pPr>
        <w:pStyle w:val="a6"/>
        <w:spacing w:before="0" w:beforeAutospacing="0" w:after="0" w:afterAutospacing="0"/>
        <w:ind w:firstLine="420"/>
        <w:jc w:val="both"/>
        <w:rPr>
          <w:sz w:val="18"/>
          <w:szCs w:val="18"/>
        </w:rPr>
      </w:pPr>
      <w:r>
        <w:rPr>
          <w:rFonts w:hint="eastAsia"/>
          <w:sz w:val="18"/>
          <w:szCs w:val="18"/>
        </w:rPr>
        <w:t>（</w:t>
      </w:r>
      <w:r>
        <w:rPr>
          <w:rFonts w:hint="eastAsia"/>
          <w:sz w:val="18"/>
          <w:szCs w:val="18"/>
        </w:rPr>
        <w:t>2</w:t>
      </w:r>
      <w:r>
        <w:rPr>
          <w:rFonts w:hint="eastAsia"/>
          <w:sz w:val="18"/>
          <w:szCs w:val="18"/>
        </w:rPr>
        <w:t>）已发生信用减值的金融资产</w:t>
      </w:r>
    </w:p>
    <w:p w:rsidR="00A067C6" w:rsidRDefault="005C4966">
      <w:pPr>
        <w:pStyle w:val="a6"/>
        <w:spacing w:before="0" w:beforeAutospacing="0" w:after="0" w:afterAutospacing="0"/>
        <w:ind w:firstLine="420"/>
        <w:jc w:val="both"/>
        <w:rPr>
          <w:sz w:val="18"/>
          <w:szCs w:val="18"/>
        </w:rPr>
      </w:pPr>
      <w:r>
        <w:rPr>
          <w:rFonts w:hint="eastAsia"/>
          <w:sz w:val="18"/>
          <w:szCs w:val="18"/>
        </w:rPr>
        <w:t>当对金融资产预期未来现金流量具有不利影响的一项或多项事件发生时，该金融资产成为已发生信用减值的金融资产。金融资产已发生信用减值的证据包括下列可观察信</w:t>
      </w:r>
      <w:r>
        <w:rPr>
          <w:rFonts w:hint="eastAsia"/>
          <w:sz w:val="18"/>
          <w:szCs w:val="18"/>
        </w:rPr>
        <w:t>息：</w:t>
      </w:r>
    </w:p>
    <w:p w:rsidR="00A067C6" w:rsidRDefault="005C4966">
      <w:pPr>
        <w:pStyle w:val="a6"/>
        <w:spacing w:before="0" w:beforeAutospacing="0" w:after="0" w:afterAutospacing="0"/>
        <w:ind w:firstLine="420"/>
        <w:jc w:val="both"/>
        <w:rPr>
          <w:sz w:val="18"/>
          <w:szCs w:val="18"/>
        </w:rPr>
      </w:pPr>
      <w:r>
        <w:rPr>
          <w:rFonts w:hint="eastAsia"/>
          <w:sz w:val="18"/>
          <w:szCs w:val="18"/>
        </w:rPr>
        <w:t>    1</w:t>
      </w:r>
      <w:r>
        <w:rPr>
          <w:rFonts w:hint="eastAsia"/>
          <w:sz w:val="18"/>
          <w:szCs w:val="18"/>
        </w:rPr>
        <w:t>）发行方或债务人发生重大财务困难；</w:t>
      </w:r>
    </w:p>
    <w:p w:rsidR="00A067C6" w:rsidRDefault="005C4966">
      <w:pPr>
        <w:pStyle w:val="a6"/>
        <w:spacing w:before="0" w:beforeAutospacing="0" w:after="0" w:afterAutospacing="0"/>
        <w:ind w:firstLine="420"/>
        <w:jc w:val="both"/>
        <w:rPr>
          <w:sz w:val="18"/>
          <w:szCs w:val="18"/>
        </w:rPr>
      </w:pPr>
      <w:r>
        <w:rPr>
          <w:rFonts w:hint="eastAsia"/>
          <w:sz w:val="18"/>
          <w:szCs w:val="18"/>
        </w:rPr>
        <w:t>    2</w:t>
      </w:r>
      <w:r>
        <w:rPr>
          <w:rFonts w:hint="eastAsia"/>
          <w:sz w:val="18"/>
          <w:szCs w:val="18"/>
        </w:rPr>
        <w:t>）债务人违反合同，如偿付利息或本金违约或逾期等；</w:t>
      </w:r>
    </w:p>
    <w:p w:rsidR="00A067C6" w:rsidRDefault="005C4966">
      <w:pPr>
        <w:pStyle w:val="a6"/>
        <w:spacing w:before="0" w:beforeAutospacing="0" w:after="0" w:afterAutospacing="0"/>
        <w:ind w:firstLine="420"/>
        <w:jc w:val="both"/>
        <w:rPr>
          <w:sz w:val="18"/>
          <w:szCs w:val="18"/>
        </w:rPr>
      </w:pPr>
      <w:r>
        <w:rPr>
          <w:rFonts w:hint="eastAsia"/>
          <w:sz w:val="18"/>
          <w:szCs w:val="18"/>
        </w:rPr>
        <w:t>    3</w:t>
      </w:r>
      <w:r>
        <w:rPr>
          <w:rFonts w:hint="eastAsia"/>
          <w:sz w:val="18"/>
          <w:szCs w:val="18"/>
        </w:rPr>
        <w:t>）债权人出于与债务人财务困难有关的经济或合同考虑，给予债务人在任何其他情况下都不会做出的让步；</w:t>
      </w:r>
    </w:p>
    <w:p w:rsidR="00A067C6" w:rsidRDefault="005C4966">
      <w:pPr>
        <w:pStyle w:val="a6"/>
        <w:spacing w:before="0" w:beforeAutospacing="0" w:after="0" w:afterAutospacing="0"/>
        <w:ind w:firstLine="420"/>
        <w:jc w:val="both"/>
        <w:rPr>
          <w:sz w:val="18"/>
          <w:szCs w:val="18"/>
        </w:rPr>
      </w:pPr>
      <w:r>
        <w:rPr>
          <w:rFonts w:hint="eastAsia"/>
          <w:sz w:val="18"/>
          <w:szCs w:val="18"/>
        </w:rPr>
        <w:t>    4</w:t>
      </w:r>
      <w:r>
        <w:rPr>
          <w:rFonts w:hint="eastAsia"/>
          <w:sz w:val="18"/>
          <w:szCs w:val="18"/>
        </w:rPr>
        <w:t>）债务人很可能破产或进行其他财务重组；</w:t>
      </w:r>
    </w:p>
    <w:p w:rsidR="00A067C6" w:rsidRDefault="005C4966">
      <w:pPr>
        <w:pStyle w:val="a6"/>
        <w:spacing w:before="0" w:beforeAutospacing="0" w:after="0" w:afterAutospacing="0"/>
        <w:ind w:firstLine="420"/>
        <w:jc w:val="both"/>
        <w:rPr>
          <w:sz w:val="18"/>
          <w:szCs w:val="18"/>
        </w:rPr>
      </w:pPr>
      <w:r>
        <w:rPr>
          <w:rFonts w:hint="eastAsia"/>
          <w:sz w:val="18"/>
          <w:szCs w:val="18"/>
        </w:rPr>
        <w:t>    5</w:t>
      </w:r>
      <w:r>
        <w:rPr>
          <w:rFonts w:hint="eastAsia"/>
          <w:sz w:val="18"/>
          <w:szCs w:val="18"/>
        </w:rPr>
        <w:t>）发行方或债务人财务困难导致该金融资产的活跃市场消失；</w:t>
      </w:r>
    </w:p>
    <w:p w:rsidR="00A067C6" w:rsidRDefault="005C4966">
      <w:pPr>
        <w:pStyle w:val="a6"/>
        <w:spacing w:before="0" w:beforeAutospacing="0" w:after="0" w:afterAutospacing="0"/>
        <w:ind w:firstLine="420"/>
        <w:jc w:val="both"/>
        <w:rPr>
          <w:sz w:val="18"/>
          <w:szCs w:val="18"/>
        </w:rPr>
      </w:pPr>
      <w:r>
        <w:rPr>
          <w:rFonts w:hint="eastAsia"/>
          <w:sz w:val="18"/>
          <w:szCs w:val="18"/>
        </w:rPr>
        <w:t>    6</w:t>
      </w:r>
      <w:r>
        <w:rPr>
          <w:rFonts w:hint="eastAsia"/>
          <w:sz w:val="18"/>
          <w:szCs w:val="18"/>
        </w:rPr>
        <w:t>）以大幅折扣购买或源生一项金融资产，该折扣反映了发生信用损失的事实。</w:t>
      </w:r>
    </w:p>
    <w:p w:rsidR="00A067C6" w:rsidRDefault="005C4966">
      <w:pPr>
        <w:pStyle w:val="a6"/>
        <w:spacing w:before="0" w:beforeAutospacing="0" w:after="0" w:afterAutospacing="0"/>
        <w:ind w:firstLine="420"/>
        <w:jc w:val="both"/>
        <w:rPr>
          <w:sz w:val="18"/>
          <w:szCs w:val="18"/>
        </w:rPr>
      </w:pPr>
      <w:r>
        <w:rPr>
          <w:rFonts w:hint="eastAsia"/>
          <w:sz w:val="18"/>
          <w:szCs w:val="18"/>
        </w:rPr>
        <w:t>金融资产发生信用减值，有可能是多个事件的共同作用所致，未必是可单独识别的事件所致。</w:t>
      </w:r>
    </w:p>
    <w:p w:rsidR="00A067C6" w:rsidRDefault="005C4966">
      <w:pPr>
        <w:pStyle w:val="a6"/>
        <w:spacing w:before="0" w:beforeAutospacing="0" w:after="0" w:afterAutospacing="0"/>
        <w:ind w:firstLine="420"/>
        <w:jc w:val="both"/>
        <w:rPr>
          <w:sz w:val="18"/>
          <w:szCs w:val="18"/>
        </w:rPr>
      </w:pPr>
      <w:r>
        <w:rPr>
          <w:rFonts w:hint="eastAsia"/>
          <w:sz w:val="18"/>
          <w:szCs w:val="18"/>
        </w:rPr>
        <w:t>（</w:t>
      </w:r>
      <w:r>
        <w:rPr>
          <w:rFonts w:hint="eastAsia"/>
          <w:sz w:val="18"/>
          <w:szCs w:val="18"/>
        </w:rPr>
        <w:t>3</w:t>
      </w:r>
      <w:r>
        <w:rPr>
          <w:rFonts w:hint="eastAsia"/>
          <w:sz w:val="18"/>
          <w:szCs w:val="18"/>
        </w:rPr>
        <w:t>）预期信用</w:t>
      </w:r>
      <w:r>
        <w:rPr>
          <w:rFonts w:hint="eastAsia"/>
          <w:sz w:val="18"/>
          <w:szCs w:val="18"/>
        </w:rPr>
        <w:t>损失的确定</w:t>
      </w:r>
    </w:p>
    <w:p w:rsidR="00A067C6" w:rsidRDefault="005C4966">
      <w:pPr>
        <w:pStyle w:val="a6"/>
        <w:spacing w:before="0" w:beforeAutospacing="0" w:after="0" w:afterAutospacing="0"/>
        <w:ind w:firstLine="420"/>
        <w:jc w:val="both"/>
        <w:rPr>
          <w:sz w:val="18"/>
          <w:szCs w:val="18"/>
        </w:rPr>
      </w:pPr>
      <w:r>
        <w:rPr>
          <w:rFonts w:hint="eastAsia"/>
          <w:sz w:val="18"/>
          <w:szCs w:val="18"/>
        </w:rPr>
        <w:t>本公司基于单项和组合评估金融工具的预期信用损失，在评估预期信用损失时，考虑有关过去事项、当前状况以及未来经济状况预测的合理且有依据的信息。</w:t>
      </w:r>
    </w:p>
    <w:p w:rsidR="00A067C6" w:rsidRDefault="005C4966">
      <w:pPr>
        <w:pStyle w:val="a6"/>
        <w:spacing w:before="0" w:beforeAutospacing="0" w:after="0" w:afterAutospacing="0"/>
        <w:ind w:firstLine="420"/>
        <w:jc w:val="both"/>
        <w:rPr>
          <w:sz w:val="18"/>
          <w:szCs w:val="18"/>
        </w:rPr>
      </w:pPr>
      <w:r>
        <w:rPr>
          <w:rFonts w:hint="eastAsia"/>
          <w:sz w:val="18"/>
          <w:szCs w:val="18"/>
        </w:rPr>
        <w:t>本公司以共同信用风险特征为依据，将金融工具分为不同组合。本公司采用的共同信用风险特征包括：金融工具类型、信用风险评级、账龄组合、合同结算周期、债务人所处行业等。相关金融工具的单项评估标准和组合信用风险特征详见相关金融工具的会计政策。</w:t>
      </w:r>
    </w:p>
    <w:p w:rsidR="00A067C6" w:rsidRDefault="005C4966">
      <w:pPr>
        <w:pStyle w:val="a6"/>
        <w:spacing w:before="0" w:beforeAutospacing="0" w:after="0" w:afterAutospacing="0"/>
        <w:ind w:firstLine="420"/>
        <w:jc w:val="both"/>
        <w:rPr>
          <w:sz w:val="18"/>
          <w:szCs w:val="18"/>
        </w:rPr>
      </w:pPr>
      <w:r>
        <w:rPr>
          <w:rFonts w:hint="eastAsia"/>
          <w:sz w:val="18"/>
          <w:szCs w:val="18"/>
        </w:rPr>
        <w:t>本公司按照下列方法确定相关金融工具的预期信用损失：</w:t>
      </w:r>
    </w:p>
    <w:p w:rsidR="00A067C6" w:rsidRDefault="005C4966">
      <w:pPr>
        <w:pStyle w:val="a6"/>
        <w:spacing w:before="0" w:beforeAutospacing="0" w:after="0" w:afterAutospacing="0"/>
        <w:ind w:firstLine="420"/>
        <w:jc w:val="both"/>
        <w:rPr>
          <w:sz w:val="18"/>
          <w:szCs w:val="18"/>
        </w:rPr>
      </w:pPr>
      <w:r>
        <w:rPr>
          <w:rFonts w:hint="eastAsia"/>
          <w:sz w:val="18"/>
          <w:szCs w:val="18"/>
        </w:rPr>
        <w:t>1</w:t>
      </w:r>
      <w:r>
        <w:rPr>
          <w:rFonts w:hint="eastAsia"/>
          <w:sz w:val="18"/>
          <w:szCs w:val="18"/>
        </w:rPr>
        <w:t>）对于金融资产，信用损失为本公司应收取的合同现金流量与预期收取的现金流量之间差额的现值。</w:t>
      </w:r>
    </w:p>
    <w:p w:rsidR="00A067C6" w:rsidRDefault="005C4966">
      <w:pPr>
        <w:pStyle w:val="a6"/>
        <w:spacing w:before="0" w:beforeAutospacing="0" w:after="0" w:afterAutospacing="0"/>
        <w:ind w:firstLine="420"/>
        <w:jc w:val="both"/>
        <w:rPr>
          <w:sz w:val="18"/>
          <w:szCs w:val="18"/>
        </w:rPr>
      </w:pPr>
      <w:r>
        <w:rPr>
          <w:rFonts w:hint="eastAsia"/>
          <w:sz w:val="18"/>
          <w:szCs w:val="18"/>
        </w:rPr>
        <w:t>2</w:t>
      </w:r>
      <w:r>
        <w:rPr>
          <w:rFonts w:hint="eastAsia"/>
          <w:sz w:val="18"/>
          <w:szCs w:val="18"/>
        </w:rPr>
        <w:t>）对于租赁应收款项，信用损失为本公司应收取的合同现金流量与预期收取的现金流量之间差额的现值。</w:t>
      </w:r>
    </w:p>
    <w:p w:rsidR="00A067C6" w:rsidRDefault="005C4966">
      <w:pPr>
        <w:pStyle w:val="a6"/>
        <w:spacing w:before="0" w:beforeAutospacing="0" w:after="0" w:afterAutospacing="0"/>
        <w:ind w:firstLine="420"/>
        <w:jc w:val="both"/>
        <w:rPr>
          <w:sz w:val="18"/>
          <w:szCs w:val="18"/>
        </w:rPr>
      </w:pPr>
      <w:r>
        <w:rPr>
          <w:rFonts w:hint="eastAsia"/>
          <w:sz w:val="18"/>
          <w:szCs w:val="18"/>
        </w:rPr>
        <w:t>3</w:t>
      </w:r>
      <w:r>
        <w:rPr>
          <w:rFonts w:hint="eastAsia"/>
          <w:sz w:val="18"/>
          <w:szCs w:val="18"/>
        </w:rPr>
        <w:t>）对于财务担保合同，信用损失为本公司就该合同持有人发生的信用损失向其做出赔付的预计付款额，减去本公司预期向该合同持有人、债务人或任何其他方收取的金额之间差额的现值。</w:t>
      </w:r>
    </w:p>
    <w:p w:rsidR="00A067C6" w:rsidRDefault="005C4966">
      <w:pPr>
        <w:pStyle w:val="a6"/>
        <w:spacing w:before="0" w:beforeAutospacing="0" w:after="0" w:afterAutospacing="0"/>
        <w:ind w:firstLine="420"/>
        <w:jc w:val="both"/>
        <w:rPr>
          <w:sz w:val="18"/>
          <w:szCs w:val="18"/>
        </w:rPr>
      </w:pPr>
      <w:r>
        <w:rPr>
          <w:rFonts w:hint="eastAsia"/>
          <w:sz w:val="18"/>
          <w:szCs w:val="18"/>
        </w:rPr>
        <w:t>4</w:t>
      </w:r>
      <w:r>
        <w:rPr>
          <w:rFonts w:hint="eastAsia"/>
          <w:sz w:val="18"/>
          <w:szCs w:val="18"/>
        </w:rPr>
        <w:t>）对于资产负债表日已发生信用减值但并非购买或源生已发生信用减值的金融资产，信用损失为该金融资产账面余额与按原实际利率折现的估计未来现金流量的现值之间的差额</w:t>
      </w:r>
      <w:r>
        <w:rPr>
          <w:rFonts w:hint="eastAsia"/>
          <w:sz w:val="18"/>
          <w:szCs w:val="18"/>
        </w:rPr>
        <w:t>。</w:t>
      </w:r>
    </w:p>
    <w:p w:rsidR="00A067C6" w:rsidRDefault="005C4966">
      <w:pPr>
        <w:pStyle w:val="a6"/>
        <w:spacing w:before="0" w:beforeAutospacing="0" w:after="0" w:afterAutospacing="0"/>
        <w:ind w:firstLine="420"/>
        <w:jc w:val="both"/>
        <w:rPr>
          <w:sz w:val="18"/>
          <w:szCs w:val="18"/>
        </w:rPr>
      </w:pPr>
      <w:r>
        <w:rPr>
          <w:rFonts w:hint="eastAsia"/>
          <w:sz w:val="18"/>
          <w:szCs w:val="18"/>
        </w:rPr>
        <w:t>本公司计量金融工具预期信用损失的方法反映的因素包括：通过评价一系列可能的结果而确定的无偏概率加权平均金额；货币时间价值；在资产负债表日无须付出不必要的额外成本或努力即可获得的有关过去事项、当前状况以及未来经济状况预测的合理且有依据的信息。</w:t>
      </w:r>
    </w:p>
    <w:p w:rsidR="00A067C6" w:rsidRDefault="005C4966">
      <w:pPr>
        <w:pStyle w:val="a6"/>
        <w:spacing w:before="0" w:beforeAutospacing="0" w:after="0" w:afterAutospacing="0"/>
        <w:ind w:firstLine="420"/>
        <w:jc w:val="both"/>
        <w:rPr>
          <w:sz w:val="18"/>
          <w:szCs w:val="18"/>
        </w:rPr>
      </w:pPr>
      <w:r>
        <w:rPr>
          <w:rFonts w:hint="eastAsia"/>
          <w:sz w:val="18"/>
          <w:szCs w:val="18"/>
        </w:rPr>
        <w:t xml:space="preserve">  </w:t>
      </w:r>
      <w:r>
        <w:rPr>
          <w:rFonts w:hint="eastAsia"/>
          <w:sz w:val="18"/>
          <w:szCs w:val="18"/>
        </w:rPr>
        <w:t>（</w:t>
      </w:r>
      <w:r>
        <w:rPr>
          <w:rFonts w:hint="eastAsia"/>
          <w:sz w:val="18"/>
          <w:szCs w:val="18"/>
        </w:rPr>
        <w:t>4</w:t>
      </w:r>
      <w:r>
        <w:rPr>
          <w:rFonts w:hint="eastAsia"/>
          <w:sz w:val="18"/>
          <w:szCs w:val="18"/>
        </w:rPr>
        <w:t>）减记金融资产</w:t>
      </w:r>
    </w:p>
    <w:p w:rsidR="00A067C6" w:rsidRDefault="005C4966">
      <w:pPr>
        <w:pStyle w:val="a6"/>
        <w:spacing w:before="0" w:beforeAutospacing="0" w:after="0" w:afterAutospacing="0"/>
        <w:ind w:firstLine="420"/>
        <w:jc w:val="both"/>
        <w:rPr>
          <w:sz w:val="18"/>
          <w:szCs w:val="18"/>
        </w:rPr>
      </w:pPr>
      <w:r>
        <w:rPr>
          <w:rFonts w:hint="eastAsia"/>
          <w:sz w:val="18"/>
          <w:szCs w:val="18"/>
        </w:rPr>
        <w:t>当本公司不再合理预期金融资产合同现金流量能够全部或部分收回的，直接减记该金融资产的账面余额。这种减记构成相关金融资产的终止确认。</w:t>
      </w:r>
    </w:p>
    <w:p w:rsidR="00A067C6" w:rsidRDefault="005C4966">
      <w:pPr>
        <w:pStyle w:val="a6"/>
        <w:jc w:val="both"/>
        <w:rPr>
          <w:rFonts w:ascii="Times New Roman" w:hAnsi="Times New Roman" w:cs="Times New Roman"/>
        </w:rPr>
      </w:pPr>
      <w:r>
        <w:rPr>
          <w:rStyle w:val="a7"/>
          <w:rFonts w:ascii="Times New Roman" w:hAnsi="Times New Roman" w:cs="Times New Roman"/>
          <w:sz w:val="21"/>
          <w:szCs w:val="21"/>
        </w:rPr>
        <w:t>   7.</w:t>
      </w:r>
      <w:r>
        <w:rPr>
          <w:rStyle w:val="a7"/>
          <w:rFonts w:cs="Times New Roman" w:hint="eastAsia"/>
          <w:sz w:val="21"/>
          <w:szCs w:val="21"/>
        </w:rPr>
        <w:t>金融资产及金融负债的抵销</w:t>
      </w:r>
    </w:p>
    <w:p w:rsidR="00A067C6" w:rsidRDefault="005C4966">
      <w:pPr>
        <w:pStyle w:val="a6"/>
        <w:spacing w:before="0" w:beforeAutospacing="0" w:after="0" w:afterAutospacing="0"/>
        <w:ind w:firstLine="420"/>
        <w:jc w:val="both"/>
        <w:rPr>
          <w:sz w:val="18"/>
          <w:szCs w:val="18"/>
        </w:rPr>
      </w:pPr>
      <w:r>
        <w:rPr>
          <w:rFonts w:hint="eastAsia"/>
          <w:sz w:val="18"/>
          <w:szCs w:val="18"/>
        </w:rPr>
        <w:t>金融资产和金融负债在资产负债表内分别列示，没有相互抵销。但是，同时满足下列条件</w:t>
      </w:r>
      <w:r>
        <w:rPr>
          <w:rFonts w:hint="eastAsia"/>
          <w:sz w:val="18"/>
          <w:szCs w:val="18"/>
        </w:rPr>
        <w:t>的，以相互抵销后的净额在资产负债表内列示：</w:t>
      </w:r>
    </w:p>
    <w:p w:rsidR="00A067C6" w:rsidRDefault="005C4966">
      <w:pPr>
        <w:pStyle w:val="a6"/>
        <w:spacing w:before="0" w:beforeAutospacing="0" w:after="0" w:afterAutospacing="0"/>
        <w:ind w:firstLine="420"/>
        <w:jc w:val="both"/>
        <w:rPr>
          <w:sz w:val="18"/>
          <w:szCs w:val="18"/>
        </w:rPr>
      </w:pPr>
      <w:r>
        <w:rPr>
          <w:rFonts w:hint="eastAsia"/>
          <w:sz w:val="18"/>
          <w:szCs w:val="18"/>
        </w:rPr>
        <w:t>（</w:t>
      </w:r>
      <w:r>
        <w:rPr>
          <w:rFonts w:hint="eastAsia"/>
          <w:sz w:val="18"/>
          <w:szCs w:val="18"/>
        </w:rPr>
        <w:t>1</w:t>
      </w:r>
      <w:r>
        <w:rPr>
          <w:rFonts w:hint="eastAsia"/>
          <w:sz w:val="18"/>
          <w:szCs w:val="18"/>
        </w:rPr>
        <w:t>）本公司具有抵销已确认金额的法定权利，且该种法定权利是当前可执行的；</w:t>
      </w:r>
    </w:p>
    <w:p w:rsidR="00A067C6" w:rsidRDefault="005C4966">
      <w:pPr>
        <w:pStyle w:val="a6"/>
        <w:spacing w:before="0" w:beforeAutospacing="0" w:after="0" w:afterAutospacing="0"/>
        <w:ind w:firstLine="420"/>
        <w:jc w:val="both"/>
        <w:rPr>
          <w:sz w:val="18"/>
          <w:szCs w:val="18"/>
        </w:rPr>
      </w:pPr>
      <w:r>
        <w:rPr>
          <w:rFonts w:hint="eastAsia"/>
          <w:sz w:val="18"/>
          <w:szCs w:val="18"/>
        </w:rPr>
        <w:t>（</w:t>
      </w:r>
      <w:r>
        <w:rPr>
          <w:rFonts w:hint="eastAsia"/>
          <w:sz w:val="18"/>
          <w:szCs w:val="18"/>
        </w:rPr>
        <w:t>2</w:t>
      </w:r>
      <w:r>
        <w:rPr>
          <w:rFonts w:hint="eastAsia"/>
          <w:sz w:val="18"/>
          <w:szCs w:val="18"/>
        </w:rPr>
        <w:t>）本公司计划以净额结算，或同时变现该金融资产和清偿该金融负债。</w:t>
      </w:r>
      <w:r>
        <w:rPr>
          <w:sz w:val="18"/>
          <w:szCs w:val="18"/>
        </w:rPr>
        <w:t xml:space="preserve"> </w:t>
      </w:r>
    </w:p>
    <w:p w:rsidR="00A067C6" w:rsidRDefault="005C4966">
      <w:pPr>
        <w:pStyle w:val="3"/>
        <w:spacing w:line="280" w:lineRule="exact"/>
        <w:jc w:val="left"/>
        <w:rPr>
          <w:rFonts w:ascii="宋体" w:hAnsi="宋体" w:cs="宋体"/>
          <w:b/>
          <w:bCs/>
        </w:rPr>
      </w:pPr>
      <w:bookmarkStart w:id="131" w:name="_Toc989019"/>
      <w:r>
        <w:rPr>
          <w:rFonts w:ascii="宋体" w:hAnsi="宋体" w:cs="宋体"/>
          <w:b/>
          <w:bCs/>
        </w:rPr>
        <w:t>11</w:t>
      </w:r>
      <w:r>
        <w:rPr>
          <w:rFonts w:ascii="宋体" w:hAnsi="宋体" w:cs="宋体"/>
          <w:b/>
          <w:bCs/>
        </w:rPr>
        <w:t>、应收票据</w:t>
      </w:r>
      <w:bookmarkEnd w:id="131"/>
    </w:p>
    <w:p w:rsidR="00A067C6" w:rsidRDefault="005C4966">
      <w:pPr>
        <w:pStyle w:val="a6"/>
        <w:spacing w:before="0" w:beforeAutospacing="0" w:after="0" w:afterAutospacing="0"/>
        <w:ind w:firstLine="420"/>
        <w:jc w:val="both"/>
        <w:rPr>
          <w:sz w:val="18"/>
          <w:szCs w:val="18"/>
        </w:rPr>
      </w:pPr>
      <w:r>
        <w:rPr>
          <w:rFonts w:hint="eastAsia"/>
          <w:sz w:val="18"/>
          <w:szCs w:val="18"/>
        </w:rPr>
        <w:t>本公司对应收票据的预期信用损失的确定方法及会计处理方法详见本附注（十）</w:t>
      </w:r>
      <w:r>
        <w:rPr>
          <w:rFonts w:hint="eastAsia"/>
          <w:sz w:val="18"/>
          <w:szCs w:val="18"/>
        </w:rPr>
        <w:t>6.</w:t>
      </w:r>
      <w:r>
        <w:rPr>
          <w:rFonts w:hint="eastAsia"/>
          <w:sz w:val="18"/>
          <w:szCs w:val="18"/>
        </w:rPr>
        <w:t>金融工具减值。</w:t>
      </w:r>
    </w:p>
    <w:p w:rsidR="00A067C6" w:rsidRDefault="005C4966">
      <w:pPr>
        <w:pStyle w:val="a6"/>
        <w:spacing w:before="0" w:beforeAutospacing="0" w:after="0" w:afterAutospacing="0"/>
        <w:ind w:firstLine="420"/>
        <w:jc w:val="both"/>
        <w:rPr>
          <w:sz w:val="18"/>
          <w:szCs w:val="18"/>
        </w:rPr>
      </w:pPr>
      <w:r>
        <w:rPr>
          <w:rFonts w:hint="eastAsia"/>
          <w:sz w:val="18"/>
          <w:szCs w:val="18"/>
        </w:rPr>
        <w:t>本公司对单项金额重大且在初始确认后已经发生信用减值的应收票据单独确定其信用损失。</w:t>
      </w:r>
    </w:p>
    <w:p w:rsidR="00A067C6" w:rsidRDefault="005C4966">
      <w:pPr>
        <w:pStyle w:val="a6"/>
        <w:spacing w:before="0" w:beforeAutospacing="0" w:after="0" w:afterAutospacing="0"/>
        <w:ind w:firstLine="420"/>
        <w:jc w:val="both"/>
        <w:rPr>
          <w:sz w:val="18"/>
          <w:szCs w:val="18"/>
        </w:rPr>
      </w:pPr>
      <w:r>
        <w:rPr>
          <w:rFonts w:hint="eastAsia"/>
          <w:sz w:val="18"/>
          <w:szCs w:val="18"/>
        </w:rPr>
        <w:t>当在单项工具层面无法以合理成本评估预期信用损失的充分证据时，本公司参考历史信用损失经验，结合当前状况以及对未来经济状况的判断，依据信用风</w:t>
      </w:r>
      <w:r>
        <w:rPr>
          <w:rFonts w:hint="eastAsia"/>
          <w:sz w:val="18"/>
          <w:szCs w:val="18"/>
        </w:rPr>
        <w:t>险特征将应收票据划分为若干组合，在组合基础上计算预期信用损失。确定组合的依据如下：</w:t>
      </w:r>
    </w:p>
    <w:tbl>
      <w:tblPr>
        <w:tblW w:w="9606" w:type="dxa"/>
        <w:tblCellMar>
          <w:left w:w="0" w:type="dxa"/>
          <w:right w:w="0" w:type="dxa"/>
        </w:tblCellMar>
        <w:tblLook w:val="04A0" w:firstRow="1" w:lastRow="0" w:firstColumn="1" w:lastColumn="0" w:noHBand="0" w:noVBand="1"/>
      </w:tblPr>
      <w:tblGrid>
        <w:gridCol w:w="1318"/>
        <w:gridCol w:w="5311"/>
        <w:gridCol w:w="2977"/>
      </w:tblGrid>
      <w:tr w:rsidR="00A067C6">
        <w:trPr>
          <w:trHeight w:val="60"/>
        </w:trPr>
        <w:tc>
          <w:tcPr>
            <w:tcW w:w="1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line="60" w:lineRule="atLeast"/>
              <w:jc w:val="center"/>
            </w:pPr>
            <w:r>
              <w:rPr>
                <w:rFonts w:hint="eastAsia"/>
                <w:sz w:val="18"/>
                <w:szCs w:val="18"/>
              </w:rPr>
              <w:t>组合名称</w:t>
            </w:r>
          </w:p>
        </w:tc>
        <w:tc>
          <w:tcPr>
            <w:tcW w:w="53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line="60" w:lineRule="atLeast"/>
              <w:jc w:val="center"/>
            </w:pPr>
            <w:r>
              <w:rPr>
                <w:rFonts w:hint="eastAsia"/>
                <w:sz w:val="18"/>
                <w:szCs w:val="18"/>
              </w:rPr>
              <w:t>确定组合的依据</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line="60" w:lineRule="atLeast"/>
              <w:jc w:val="center"/>
            </w:pPr>
            <w:r>
              <w:rPr>
                <w:rFonts w:hint="eastAsia"/>
                <w:sz w:val="18"/>
                <w:szCs w:val="18"/>
              </w:rPr>
              <w:t>计提方法</w:t>
            </w:r>
          </w:p>
        </w:tc>
      </w:tr>
      <w:tr w:rsidR="00A067C6">
        <w:trPr>
          <w:trHeight w:val="141"/>
        </w:trPr>
        <w:tc>
          <w:tcPr>
            <w:tcW w:w="1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line="141" w:lineRule="atLeast"/>
            </w:pPr>
            <w:r>
              <w:rPr>
                <w:rFonts w:hint="eastAsia"/>
                <w:sz w:val="18"/>
                <w:szCs w:val="18"/>
              </w:rPr>
              <w:t>银行承兑汇票组合</w:t>
            </w:r>
          </w:p>
        </w:tc>
        <w:tc>
          <w:tcPr>
            <w:tcW w:w="531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line="141" w:lineRule="atLeast"/>
            </w:pPr>
            <w:r>
              <w:rPr>
                <w:rFonts w:hint="eastAsia"/>
                <w:sz w:val="18"/>
                <w:szCs w:val="18"/>
              </w:rPr>
              <w:t>出票人具有较高的信用评级，历史上未发生票据违约，信用损失风险极低，在短期内履行其支付合同现金流量义务的能力很强</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line="141" w:lineRule="atLeast"/>
            </w:pPr>
            <w:r>
              <w:rPr>
                <w:rFonts w:hint="eastAsia"/>
                <w:sz w:val="18"/>
                <w:szCs w:val="18"/>
              </w:rPr>
              <w:t>参考历史信用损失经验不计提坏账准备</w:t>
            </w:r>
          </w:p>
        </w:tc>
      </w:tr>
      <w:tr w:rsidR="00A067C6">
        <w:trPr>
          <w:trHeight w:val="60"/>
        </w:trPr>
        <w:tc>
          <w:tcPr>
            <w:tcW w:w="1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line="60" w:lineRule="atLeast"/>
            </w:pPr>
            <w:r>
              <w:rPr>
                <w:rFonts w:hint="eastAsia"/>
                <w:sz w:val="18"/>
                <w:szCs w:val="18"/>
              </w:rPr>
              <w:t>商业承兑汇票组合</w:t>
            </w:r>
          </w:p>
        </w:tc>
        <w:tc>
          <w:tcPr>
            <w:tcW w:w="531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line="60" w:lineRule="atLeast"/>
            </w:pPr>
            <w:r>
              <w:rPr>
                <w:rFonts w:hint="eastAsia"/>
                <w:sz w:val="18"/>
                <w:szCs w:val="18"/>
              </w:rPr>
              <w:t>在以前年度实际损失率、对未来回收应收票据风险的判断及信用风险特征分析</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line="60" w:lineRule="atLeast"/>
            </w:pPr>
            <w:r>
              <w:rPr>
                <w:rFonts w:hint="eastAsia"/>
                <w:sz w:val="18"/>
                <w:szCs w:val="18"/>
              </w:rPr>
              <w:t>按照预期损失率计提减值准，与应收账款的组合划分相同</w:t>
            </w:r>
          </w:p>
        </w:tc>
      </w:tr>
    </w:tbl>
    <w:p w:rsidR="00A067C6" w:rsidRDefault="005C4966">
      <w:pPr>
        <w:pStyle w:val="3"/>
        <w:spacing w:line="280" w:lineRule="exact"/>
        <w:jc w:val="left"/>
        <w:rPr>
          <w:rFonts w:ascii="宋体" w:hAnsi="宋体" w:cs="宋体"/>
          <w:b/>
          <w:bCs/>
        </w:rPr>
      </w:pPr>
      <w:bookmarkStart w:id="132" w:name="_Toc989020"/>
      <w:r>
        <w:rPr>
          <w:rFonts w:ascii="宋体" w:hAnsi="宋体" w:cs="宋体"/>
          <w:b/>
          <w:bCs/>
        </w:rPr>
        <w:t>12</w:t>
      </w:r>
      <w:r>
        <w:rPr>
          <w:rFonts w:ascii="宋体" w:hAnsi="宋体" w:cs="宋体"/>
          <w:b/>
          <w:bCs/>
        </w:rPr>
        <w:t>、应收账款</w:t>
      </w:r>
      <w:bookmarkEnd w:id="132"/>
    </w:p>
    <w:p w:rsidR="00A067C6" w:rsidRDefault="005C4966">
      <w:pPr>
        <w:pStyle w:val="a6"/>
        <w:spacing w:before="0" w:beforeAutospacing="0" w:after="0" w:afterAutospacing="0"/>
        <w:ind w:firstLine="420"/>
        <w:jc w:val="both"/>
      </w:pPr>
      <w:r>
        <w:rPr>
          <w:rFonts w:hint="eastAsia"/>
          <w:sz w:val="18"/>
          <w:szCs w:val="18"/>
        </w:rPr>
        <w:t>本公司对应收账款的预期信用损失的确定方法及会计处理方法详见本附注（十）</w:t>
      </w:r>
      <w:r>
        <w:rPr>
          <w:rFonts w:hint="eastAsia"/>
          <w:sz w:val="18"/>
          <w:szCs w:val="18"/>
        </w:rPr>
        <w:t>6.</w:t>
      </w:r>
      <w:r>
        <w:rPr>
          <w:rFonts w:hint="eastAsia"/>
          <w:sz w:val="18"/>
          <w:szCs w:val="18"/>
        </w:rPr>
        <w:t>金融工具减值。</w:t>
      </w:r>
    </w:p>
    <w:p w:rsidR="00A067C6" w:rsidRDefault="005C4966">
      <w:pPr>
        <w:pStyle w:val="a6"/>
        <w:spacing w:before="0" w:beforeAutospacing="0" w:after="0" w:afterAutospacing="0"/>
        <w:ind w:firstLine="420"/>
        <w:jc w:val="both"/>
      </w:pPr>
      <w:r>
        <w:rPr>
          <w:rFonts w:hint="eastAsia"/>
          <w:sz w:val="18"/>
          <w:szCs w:val="18"/>
        </w:rPr>
        <w:t>本公司对单项金额重大且在初始确认后已经发生信用减值的应收账款单独确定其信用损失。</w:t>
      </w:r>
    </w:p>
    <w:p w:rsidR="00A067C6" w:rsidRDefault="005C4966">
      <w:pPr>
        <w:pStyle w:val="a6"/>
        <w:spacing w:before="0" w:beforeAutospacing="0" w:after="0" w:afterAutospacing="0"/>
        <w:ind w:firstLine="420"/>
        <w:jc w:val="both"/>
      </w:pPr>
      <w:r>
        <w:rPr>
          <w:rFonts w:hint="eastAsia"/>
          <w:sz w:val="18"/>
          <w:szCs w:val="18"/>
        </w:rPr>
        <w:t>当在单项工具层面无法以合理成本评估预期信用损失的充分证据时，本公司参考历史信用损失经验，结合当前状况以及对未来经济状况的判断，依据信用风险特征将应收账款划分为若干组合，在组合基础上计算预期信用损失。确定组合的依据如下：</w:t>
      </w:r>
    </w:p>
    <w:tbl>
      <w:tblPr>
        <w:tblW w:w="9606" w:type="dxa"/>
        <w:tblCellMar>
          <w:left w:w="0" w:type="dxa"/>
          <w:right w:w="0" w:type="dxa"/>
        </w:tblCellMar>
        <w:tblLook w:val="04A0" w:firstRow="1" w:lastRow="0" w:firstColumn="1" w:lastColumn="0" w:noHBand="0" w:noVBand="1"/>
      </w:tblPr>
      <w:tblGrid>
        <w:gridCol w:w="985"/>
        <w:gridCol w:w="3964"/>
        <w:gridCol w:w="4657"/>
      </w:tblGrid>
      <w:tr w:rsidR="00A067C6">
        <w:trPr>
          <w:trHeight w:val="510"/>
        </w:trPr>
        <w:tc>
          <w:tcPr>
            <w:tcW w:w="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jc w:val="center"/>
            </w:pPr>
            <w:r>
              <w:rPr>
                <w:rFonts w:hint="eastAsia"/>
                <w:sz w:val="18"/>
                <w:szCs w:val="18"/>
              </w:rPr>
              <w:t>组合名称</w:t>
            </w:r>
          </w:p>
        </w:tc>
        <w:tc>
          <w:tcPr>
            <w:tcW w:w="3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jc w:val="center"/>
            </w:pPr>
            <w:r>
              <w:rPr>
                <w:rFonts w:hint="eastAsia"/>
                <w:sz w:val="18"/>
                <w:szCs w:val="18"/>
              </w:rPr>
              <w:t>确定组合的依据</w:t>
            </w:r>
          </w:p>
        </w:tc>
        <w:tc>
          <w:tcPr>
            <w:tcW w:w="46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jc w:val="center"/>
            </w:pPr>
            <w:r>
              <w:rPr>
                <w:rFonts w:hint="eastAsia"/>
                <w:sz w:val="18"/>
                <w:szCs w:val="18"/>
              </w:rPr>
              <w:t>计提方法</w:t>
            </w:r>
          </w:p>
        </w:tc>
      </w:tr>
      <w:tr w:rsidR="00A067C6">
        <w:trPr>
          <w:trHeight w:val="606"/>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pPr>
            <w:r>
              <w:rPr>
                <w:rFonts w:hint="eastAsia"/>
                <w:sz w:val="18"/>
                <w:szCs w:val="18"/>
              </w:rPr>
              <w:t>风险组合</w:t>
            </w:r>
          </w:p>
        </w:tc>
        <w:tc>
          <w:tcPr>
            <w:tcW w:w="3964" w:type="dxa"/>
            <w:tcBorders>
              <w:top w:val="nil"/>
              <w:left w:val="nil"/>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pPr>
            <w:r>
              <w:rPr>
                <w:rFonts w:hint="eastAsia"/>
                <w:sz w:val="18"/>
                <w:szCs w:val="18"/>
              </w:rPr>
              <w:t>本组合以应收账款的账龄作为信用风险特征</w:t>
            </w:r>
          </w:p>
        </w:tc>
        <w:tc>
          <w:tcPr>
            <w:tcW w:w="4657" w:type="dxa"/>
            <w:tcBorders>
              <w:top w:val="nil"/>
              <w:left w:val="nil"/>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pPr>
            <w:r>
              <w:rPr>
                <w:rFonts w:hint="eastAsia"/>
                <w:sz w:val="18"/>
                <w:szCs w:val="18"/>
              </w:rPr>
              <w:t>参考历史信用损失经验，结合当前状况以及对未来经济状况的预期计量坏账准备</w:t>
            </w:r>
          </w:p>
        </w:tc>
      </w:tr>
      <w:tr w:rsidR="00A067C6">
        <w:trPr>
          <w:trHeight w:val="798"/>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pPr>
            <w:r>
              <w:rPr>
                <w:rFonts w:hint="eastAsia"/>
                <w:sz w:val="18"/>
                <w:szCs w:val="18"/>
              </w:rPr>
              <w:t>性质组合</w:t>
            </w:r>
          </w:p>
        </w:tc>
        <w:tc>
          <w:tcPr>
            <w:tcW w:w="3964" w:type="dxa"/>
            <w:tcBorders>
              <w:top w:val="nil"/>
              <w:left w:val="nil"/>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pPr>
            <w:r>
              <w:rPr>
                <w:rFonts w:hint="eastAsia"/>
                <w:sz w:val="18"/>
                <w:szCs w:val="18"/>
              </w:rPr>
              <w:t>根据业务性质，认定无信用风险，主要包括合并范围内关联方的款项、信用证结算的销售货款</w:t>
            </w:r>
          </w:p>
        </w:tc>
        <w:tc>
          <w:tcPr>
            <w:tcW w:w="4657" w:type="dxa"/>
            <w:tcBorders>
              <w:top w:val="nil"/>
              <w:left w:val="nil"/>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pPr>
            <w:r>
              <w:rPr>
                <w:rFonts w:hint="eastAsia"/>
                <w:sz w:val="18"/>
                <w:szCs w:val="18"/>
              </w:rPr>
              <w:t>参考历史信用损失经验，结合当前状况以及对未来经济状况的预期计量坏账准备</w:t>
            </w:r>
          </w:p>
        </w:tc>
      </w:tr>
    </w:tbl>
    <w:p w:rsidR="00A067C6" w:rsidRDefault="005C4966">
      <w:pPr>
        <w:pStyle w:val="3"/>
        <w:spacing w:line="280" w:lineRule="exact"/>
        <w:jc w:val="left"/>
        <w:rPr>
          <w:rFonts w:ascii="宋体" w:hAnsi="宋体" w:cs="宋体"/>
          <w:b/>
          <w:bCs/>
        </w:rPr>
      </w:pPr>
      <w:bookmarkStart w:id="133" w:name="_Toc989021"/>
      <w:r>
        <w:rPr>
          <w:rFonts w:ascii="宋体" w:hAnsi="宋体" w:cs="宋体"/>
          <w:b/>
          <w:bCs/>
        </w:rPr>
        <w:t>13</w:t>
      </w:r>
      <w:r>
        <w:rPr>
          <w:rFonts w:ascii="宋体" w:hAnsi="宋体" w:cs="宋体"/>
          <w:b/>
          <w:bCs/>
        </w:rPr>
        <w:t>、应收款项融资</w:t>
      </w:r>
      <w:bookmarkEnd w:id="133"/>
    </w:p>
    <w:p w:rsidR="00A067C6" w:rsidRDefault="005C4966">
      <w:pPr>
        <w:pStyle w:val="a6"/>
        <w:spacing w:before="0" w:beforeAutospacing="0" w:after="0" w:afterAutospacing="0"/>
        <w:ind w:firstLine="420"/>
        <w:jc w:val="both"/>
        <w:rPr>
          <w:sz w:val="18"/>
          <w:szCs w:val="18"/>
        </w:rPr>
      </w:pPr>
      <w:r>
        <w:rPr>
          <w:rFonts w:hint="eastAsia"/>
          <w:sz w:val="18"/>
          <w:szCs w:val="18"/>
        </w:rPr>
        <w:t>本公司对应收款项融资的预期信用损失的确定方法及会计处理方法详见本附注四／（十）</w:t>
      </w:r>
      <w:r>
        <w:rPr>
          <w:sz w:val="18"/>
          <w:szCs w:val="18"/>
        </w:rPr>
        <w:t>6.</w:t>
      </w:r>
      <w:r>
        <w:rPr>
          <w:rFonts w:hint="eastAsia"/>
          <w:sz w:val="18"/>
          <w:szCs w:val="18"/>
        </w:rPr>
        <w:t>金融工具减值。</w:t>
      </w:r>
    </w:p>
    <w:p w:rsidR="00A067C6" w:rsidRDefault="005C4966">
      <w:pPr>
        <w:pStyle w:val="3"/>
        <w:spacing w:line="280" w:lineRule="exact"/>
        <w:jc w:val="left"/>
        <w:rPr>
          <w:rFonts w:ascii="宋体" w:hAnsi="宋体" w:cs="宋体"/>
          <w:b/>
          <w:bCs/>
        </w:rPr>
      </w:pPr>
      <w:bookmarkStart w:id="134" w:name="_Toc989022"/>
      <w:r>
        <w:rPr>
          <w:rFonts w:ascii="宋体" w:hAnsi="宋体" w:cs="宋体"/>
          <w:b/>
          <w:bCs/>
        </w:rPr>
        <w:t>14</w:t>
      </w:r>
      <w:r>
        <w:rPr>
          <w:rFonts w:ascii="宋体" w:hAnsi="宋体" w:cs="宋体"/>
          <w:b/>
          <w:bCs/>
        </w:rPr>
        <w:t>、其他应收款</w:t>
      </w:r>
      <w:bookmarkEnd w:id="134"/>
    </w:p>
    <w:p w:rsidR="00A067C6" w:rsidRDefault="005C4966">
      <w:pPr>
        <w:pStyle w:val="a6"/>
        <w:spacing w:before="0" w:beforeAutospacing="0" w:after="0" w:afterAutospacing="0"/>
        <w:ind w:firstLine="420"/>
        <w:jc w:val="both"/>
        <w:rPr>
          <w:sz w:val="18"/>
          <w:szCs w:val="18"/>
        </w:rPr>
      </w:pPr>
      <w:r>
        <w:rPr>
          <w:sz w:val="18"/>
          <w:szCs w:val="18"/>
        </w:rPr>
        <w:t>其他应收款的预期信用损失的确定方法及会计处理方法</w:t>
      </w:r>
    </w:p>
    <w:p w:rsidR="00A067C6" w:rsidRDefault="005C4966">
      <w:pPr>
        <w:pStyle w:val="a6"/>
        <w:spacing w:before="0" w:beforeAutospacing="0" w:after="0" w:afterAutospacing="0"/>
        <w:ind w:firstLine="420"/>
        <w:jc w:val="both"/>
        <w:rPr>
          <w:sz w:val="18"/>
          <w:szCs w:val="18"/>
        </w:rPr>
      </w:pPr>
      <w:r>
        <w:rPr>
          <w:rFonts w:hint="eastAsia"/>
          <w:sz w:val="18"/>
          <w:szCs w:val="18"/>
        </w:rPr>
        <w:t>本公司对其他应收款的预期信用损失的确定方法及会计处理方法详见本附注（十）</w:t>
      </w:r>
      <w:r>
        <w:rPr>
          <w:sz w:val="18"/>
          <w:szCs w:val="18"/>
        </w:rPr>
        <w:t>6.</w:t>
      </w:r>
      <w:r>
        <w:rPr>
          <w:rFonts w:hint="eastAsia"/>
          <w:sz w:val="18"/>
          <w:szCs w:val="18"/>
        </w:rPr>
        <w:t>金融工具减值。</w:t>
      </w:r>
    </w:p>
    <w:p w:rsidR="00A067C6" w:rsidRDefault="005C4966">
      <w:pPr>
        <w:pStyle w:val="a6"/>
        <w:spacing w:before="0" w:beforeAutospacing="0" w:after="0" w:afterAutospacing="0"/>
        <w:ind w:firstLine="420"/>
        <w:jc w:val="both"/>
        <w:rPr>
          <w:sz w:val="18"/>
          <w:szCs w:val="18"/>
        </w:rPr>
      </w:pPr>
      <w:r>
        <w:rPr>
          <w:rFonts w:hint="eastAsia"/>
          <w:sz w:val="18"/>
          <w:szCs w:val="18"/>
        </w:rPr>
        <w:t>本公司对单项金额重大且在初始确认后已经发生信用减值的其他应收款单独确定其信用损失。</w:t>
      </w:r>
    </w:p>
    <w:p w:rsidR="00A067C6" w:rsidRDefault="005C4966">
      <w:pPr>
        <w:pStyle w:val="a6"/>
        <w:spacing w:before="0" w:beforeAutospacing="0" w:after="0" w:afterAutospacing="0"/>
        <w:ind w:firstLine="420"/>
        <w:jc w:val="both"/>
        <w:rPr>
          <w:sz w:val="18"/>
          <w:szCs w:val="18"/>
        </w:rPr>
      </w:pPr>
      <w:r>
        <w:rPr>
          <w:rFonts w:hint="eastAsia"/>
          <w:sz w:val="18"/>
          <w:szCs w:val="18"/>
        </w:rPr>
        <w:t>当在单项工具层面无法以合理成本评估预期信用损失的充分证据时，本公司参考历史信用损失经验，结合当前状况以及对未来经济状况的判断，依据信用风险特征将其他应收款划分为若干组合，在组合基础上计算预期信用损失。确定组合的依据如下：</w:t>
      </w:r>
    </w:p>
    <w:tbl>
      <w:tblPr>
        <w:tblW w:w="9606" w:type="dxa"/>
        <w:tblCellMar>
          <w:left w:w="0" w:type="dxa"/>
          <w:right w:w="0" w:type="dxa"/>
        </w:tblCellMar>
        <w:tblLook w:val="04A0" w:firstRow="1" w:lastRow="0" w:firstColumn="1" w:lastColumn="0" w:noHBand="0" w:noVBand="1"/>
      </w:tblPr>
      <w:tblGrid>
        <w:gridCol w:w="1105"/>
        <w:gridCol w:w="3933"/>
        <w:gridCol w:w="4568"/>
      </w:tblGrid>
      <w:tr w:rsidR="00A067C6">
        <w:trPr>
          <w:trHeight w:val="397"/>
        </w:trPr>
        <w:tc>
          <w:tcPr>
            <w:tcW w:w="1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jc w:val="center"/>
            </w:pPr>
            <w:r>
              <w:rPr>
                <w:rFonts w:hint="eastAsia"/>
                <w:sz w:val="18"/>
                <w:szCs w:val="18"/>
              </w:rPr>
              <w:t>组合名称</w:t>
            </w:r>
          </w:p>
        </w:tc>
        <w:tc>
          <w:tcPr>
            <w:tcW w:w="39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jc w:val="center"/>
            </w:pPr>
            <w:r>
              <w:rPr>
                <w:rFonts w:hint="eastAsia"/>
                <w:sz w:val="18"/>
                <w:szCs w:val="18"/>
              </w:rPr>
              <w:t>确定组合的依据</w:t>
            </w:r>
          </w:p>
        </w:tc>
        <w:tc>
          <w:tcPr>
            <w:tcW w:w="45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jc w:val="center"/>
            </w:pPr>
            <w:r>
              <w:rPr>
                <w:rFonts w:hint="eastAsia"/>
                <w:sz w:val="18"/>
                <w:szCs w:val="18"/>
              </w:rPr>
              <w:t>计提方法</w:t>
            </w:r>
          </w:p>
        </w:tc>
      </w:tr>
      <w:tr w:rsidR="00A067C6">
        <w:trPr>
          <w:trHeight w:val="397"/>
        </w:trPr>
        <w:tc>
          <w:tcPr>
            <w:tcW w:w="11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pPr>
            <w:r>
              <w:rPr>
                <w:rFonts w:hint="eastAsia"/>
                <w:sz w:val="18"/>
                <w:szCs w:val="18"/>
              </w:rPr>
              <w:t>风险组合</w:t>
            </w:r>
          </w:p>
        </w:tc>
        <w:tc>
          <w:tcPr>
            <w:tcW w:w="3933" w:type="dxa"/>
            <w:tcBorders>
              <w:top w:val="nil"/>
              <w:left w:val="nil"/>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pPr>
            <w:r>
              <w:rPr>
                <w:rFonts w:hint="eastAsia"/>
                <w:sz w:val="18"/>
                <w:szCs w:val="18"/>
              </w:rPr>
              <w:t>本组合以其他应收款的账龄作为信用风险特征</w:t>
            </w:r>
          </w:p>
        </w:tc>
        <w:tc>
          <w:tcPr>
            <w:tcW w:w="4568" w:type="dxa"/>
            <w:tcBorders>
              <w:top w:val="nil"/>
              <w:left w:val="nil"/>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pPr>
            <w:r>
              <w:rPr>
                <w:rFonts w:hint="eastAsia"/>
                <w:sz w:val="18"/>
                <w:szCs w:val="18"/>
              </w:rPr>
              <w:t>参考历史信用损失经验，结合当前状况以及对未来经济状况的预期计量坏账准备</w:t>
            </w:r>
          </w:p>
        </w:tc>
      </w:tr>
      <w:tr w:rsidR="00A067C6">
        <w:trPr>
          <w:trHeight w:val="397"/>
        </w:trPr>
        <w:tc>
          <w:tcPr>
            <w:tcW w:w="11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pPr>
            <w:r>
              <w:rPr>
                <w:rFonts w:hint="eastAsia"/>
                <w:sz w:val="18"/>
                <w:szCs w:val="18"/>
              </w:rPr>
              <w:t>应收财政款组合</w:t>
            </w:r>
          </w:p>
        </w:tc>
        <w:tc>
          <w:tcPr>
            <w:tcW w:w="3933" w:type="dxa"/>
            <w:tcBorders>
              <w:top w:val="nil"/>
              <w:left w:val="nil"/>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pPr>
            <w:r>
              <w:rPr>
                <w:rFonts w:hint="eastAsia"/>
                <w:sz w:val="18"/>
                <w:szCs w:val="18"/>
              </w:rPr>
              <w:t>根据业务性质，主要包括出口退税款、政府补助</w:t>
            </w:r>
          </w:p>
        </w:tc>
        <w:tc>
          <w:tcPr>
            <w:tcW w:w="4568" w:type="dxa"/>
            <w:tcBorders>
              <w:top w:val="nil"/>
              <w:left w:val="nil"/>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pPr>
            <w:r>
              <w:rPr>
                <w:rFonts w:hint="eastAsia"/>
                <w:sz w:val="18"/>
                <w:szCs w:val="18"/>
              </w:rPr>
              <w:t>参考历史信用损失经验，结合当前状况以及对未来经济状况的预期计量坏账准备</w:t>
            </w:r>
          </w:p>
        </w:tc>
      </w:tr>
      <w:tr w:rsidR="00A067C6">
        <w:trPr>
          <w:trHeight w:val="397"/>
        </w:trPr>
        <w:tc>
          <w:tcPr>
            <w:tcW w:w="11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pPr>
            <w:r>
              <w:rPr>
                <w:rFonts w:hint="eastAsia"/>
                <w:sz w:val="18"/>
                <w:szCs w:val="18"/>
              </w:rPr>
              <w:t>合并范围内关联方组合</w:t>
            </w:r>
          </w:p>
        </w:tc>
        <w:tc>
          <w:tcPr>
            <w:tcW w:w="3933" w:type="dxa"/>
            <w:tcBorders>
              <w:top w:val="nil"/>
              <w:left w:val="nil"/>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pPr>
            <w:r>
              <w:rPr>
                <w:rFonts w:hint="eastAsia"/>
                <w:sz w:val="18"/>
                <w:szCs w:val="18"/>
              </w:rPr>
              <w:t>合并范围内关联方</w:t>
            </w:r>
          </w:p>
        </w:tc>
        <w:tc>
          <w:tcPr>
            <w:tcW w:w="4568" w:type="dxa"/>
            <w:tcBorders>
              <w:top w:val="nil"/>
              <w:left w:val="nil"/>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pPr>
            <w:r>
              <w:rPr>
                <w:rFonts w:hint="eastAsia"/>
                <w:sz w:val="18"/>
                <w:szCs w:val="18"/>
              </w:rPr>
              <w:t>参考历史信用损失经验，不计提坏准备</w:t>
            </w:r>
          </w:p>
        </w:tc>
      </w:tr>
    </w:tbl>
    <w:p w:rsidR="00A067C6" w:rsidRDefault="00A067C6">
      <w:pPr>
        <w:rPr>
          <w:sz w:val="24"/>
          <w:szCs w:val="24"/>
        </w:rPr>
      </w:pPr>
    </w:p>
    <w:p w:rsidR="00A067C6" w:rsidRDefault="005C4966">
      <w:pPr>
        <w:pStyle w:val="3"/>
        <w:spacing w:line="280" w:lineRule="exact"/>
        <w:jc w:val="left"/>
        <w:rPr>
          <w:rFonts w:ascii="宋体" w:hAnsi="宋体" w:cs="宋体"/>
          <w:b/>
          <w:bCs/>
        </w:rPr>
      </w:pPr>
      <w:bookmarkStart w:id="135" w:name="_Toc989023"/>
      <w:r>
        <w:rPr>
          <w:rFonts w:ascii="宋体" w:hAnsi="宋体" w:cs="宋体"/>
          <w:b/>
          <w:bCs/>
        </w:rPr>
        <w:t>15</w:t>
      </w:r>
      <w:r>
        <w:rPr>
          <w:rFonts w:ascii="宋体" w:hAnsi="宋体" w:cs="宋体"/>
          <w:b/>
          <w:bCs/>
        </w:rPr>
        <w:t>、存货</w:t>
      </w:r>
      <w:bookmarkEnd w:id="135"/>
    </w:p>
    <w:p w:rsidR="00A067C6" w:rsidRDefault="005C4966">
      <w:pPr>
        <w:widowControl/>
        <w:numPr>
          <w:ilvl w:val="2"/>
          <w:numId w:val="2"/>
        </w:numPr>
        <w:tabs>
          <w:tab w:val="clear" w:pos="2160"/>
          <w:tab w:val="left" w:pos="851"/>
        </w:tabs>
        <w:ind w:left="0" w:firstLine="425"/>
        <w:rPr>
          <w:sz w:val="18"/>
          <w:szCs w:val="18"/>
        </w:rPr>
      </w:pPr>
      <w:r>
        <w:rPr>
          <w:rFonts w:hint="eastAsia"/>
          <w:sz w:val="18"/>
          <w:szCs w:val="18"/>
        </w:rPr>
        <w:t>存货的分类</w:t>
      </w:r>
    </w:p>
    <w:p w:rsidR="00A067C6" w:rsidRDefault="005C4966">
      <w:pPr>
        <w:pStyle w:val="a6"/>
        <w:spacing w:before="0" w:beforeAutospacing="0" w:after="0" w:afterAutospacing="0"/>
        <w:ind w:firstLine="420"/>
        <w:jc w:val="both"/>
        <w:rPr>
          <w:sz w:val="18"/>
          <w:szCs w:val="18"/>
        </w:rPr>
      </w:pPr>
      <w:r>
        <w:rPr>
          <w:rFonts w:hint="eastAsia"/>
          <w:sz w:val="18"/>
          <w:szCs w:val="18"/>
        </w:rPr>
        <w:t>存货是指本公司在日常活动中持有以备出售的产成品或商品、处在生产过程中的在产品、在生产过程或提供劳务过程中耗用的材料和物料等。主要包括原材料、周转材料、委托加工材料、在产品、自制半成品、产成品（库存商品）、发出商品等。</w:t>
      </w:r>
    </w:p>
    <w:p w:rsidR="00A067C6" w:rsidRDefault="005C4966">
      <w:pPr>
        <w:widowControl/>
        <w:numPr>
          <w:ilvl w:val="2"/>
          <w:numId w:val="2"/>
        </w:numPr>
        <w:tabs>
          <w:tab w:val="clear" w:pos="2160"/>
          <w:tab w:val="left" w:pos="851"/>
        </w:tabs>
        <w:ind w:left="0" w:firstLine="425"/>
        <w:rPr>
          <w:sz w:val="18"/>
          <w:szCs w:val="18"/>
        </w:rPr>
      </w:pPr>
      <w:r>
        <w:rPr>
          <w:rFonts w:hint="eastAsia"/>
          <w:sz w:val="18"/>
          <w:szCs w:val="18"/>
        </w:rPr>
        <w:t>存货的计价方法</w:t>
      </w:r>
    </w:p>
    <w:p w:rsidR="00A067C6" w:rsidRDefault="005C4966">
      <w:pPr>
        <w:pStyle w:val="a6"/>
        <w:spacing w:before="0" w:beforeAutospacing="0" w:after="0" w:afterAutospacing="0"/>
        <w:ind w:firstLine="420"/>
        <w:jc w:val="both"/>
        <w:rPr>
          <w:sz w:val="18"/>
          <w:szCs w:val="18"/>
        </w:rPr>
      </w:pPr>
      <w:r>
        <w:rPr>
          <w:rFonts w:hint="eastAsia"/>
          <w:sz w:val="18"/>
          <w:szCs w:val="18"/>
        </w:rPr>
        <w:t>存货在取得时，按成本进行初始计量。原材料中的机物料采用计划成本进行核算，发出材料按月结转应负担的材料成本差异，将计划成本调整为实际成本。其他原材料、委托加工物资及库存商品采用实际成本进行核算，发出计价采用移动加权平均法，周转材料按照使用次数分次记入成本费用，金额较小的，在领用时一次计入成本费用。产品成本计算采用平行结转分步法，生产成本在完工产品和在产品之间的分配采用在产品成本按其所耗用的原材料费用计算，所耗用的工、费成本全部计入完工产品成本。</w:t>
      </w:r>
    </w:p>
    <w:p w:rsidR="00A067C6" w:rsidRDefault="005C4966">
      <w:pPr>
        <w:widowControl/>
        <w:numPr>
          <w:ilvl w:val="2"/>
          <w:numId w:val="2"/>
        </w:numPr>
        <w:tabs>
          <w:tab w:val="clear" w:pos="2160"/>
          <w:tab w:val="left" w:pos="851"/>
        </w:tabs>
        <w:ind w:left="0" w:firstLine="425"/>
        <w:rPr>
          <w:sz w:val="18"/>
          <w:szCs w:val="18"/>
        </w:rPr>
      </w:pPr>
      <w:r>
        <w:rPr>
          <w:rFonts w:hint="eastAsia"/>
          <w:sz w:val="18"/>
          <w:szCs w:val="18"/>
        </w:rPr>
        <w:t>存货可变现净值的确定依据及存货跌价准备的计提方法</w:t>
      </w:r>
    </w:p>
    <w:p w:rsidR="00A067C6" w:rsidRDefault="005C4966">
      <w:pPr>
        <w:pStyle w:val="a6"/>
        <w:spacing w:before="0" w:beforeAutospacing="0" w:after="0" w:afterAutospacing="0"/>
        <w:ind w:firstLine="420"/>
        <w:jc w:val="both"/>
        <w:rPr>
          <w:sz w:val="18"/>
          <w:szCs w:val="18"/>
        </w:rPr>
      </w:pPr>
      <w:r>
        <w:rPr>
          <w:rFonts w:hint="eastAsia"/>
          <w:sz w:val="18"/>
          <w:szCs w:val="18"/>
        </w:rPr>
        <w:t>期末对存货进行全面清查后，按存货的成本与可变现净值孰低提取或调整存货跌价准备。产成品、库存商品和用于出售的材料等直接用于出售的商品存货，在正常生产经营过程中，以该存货的估计售价减去估计的销售费用和相关税费后的金额，确定其可变现净值；需要经过加工的材料存货，在正常生产经营过程中，以所生产的产成品的估计售价减去至完工时估计将要发生的成本、估计的销售费用和相关税费后的金额，确定其可变现净值；为执行销售合同或者劳务合同而持有的存货，其可变现净值以合同价格为基础计算，若持有存货的数量多于销售合同订购数量的，超出部分的</w:t>
      </w:r>
      <w:r>
        <w:rPr>
          <w:rFonts w:hint="eastAsia"/>
          <w:sz w:val="18"/>
          <w:szCs w:val="18"/>
        </w:rPr>
        <w:t>存货的可变现净值以一般销售价格为基础计算。</w:t>
      </w:r>
    </w:p>
    <w:p w:rsidR="00A067C6" w:rsidRDefault="005C4966">
      <w:pPr>
        <w:pStyle w:val="a6"/>
        <w:spacing w:before="0" w:beforeAutospacing="0" w:after="0" w:afterAutospacing="0"/>
        <w:ind w:firstLine="420"/>
        <w:jc w:val="both"/>
        <w:rPr>
          <w:sz w:val="18"/>
          <w:szCs w:val="18"/>
        </w:rPr>
      </w:pPr>
      <w:r>
        <w:rPr>
          <w:rFonts w:hint="eastAsia"/>
          <w:sz w:val="18"/>
          <w:szCs w:val="18"/>
        </w:rPr>
        <w:t>期末按照单个存货项目计提存货跌价准备；但对于数量繁多、单价较低的存货，按照存货类别计提存货跌价准备；与在同一地区生产和销售的产品系列相关、具有相同或类似最终用途或目的，且难以与其他项目分开计量的存货，则合并计提存货跌价准备。</w:t>
      </w:r>
    </w:p>
    <w:p w:rsidR="00A067C6" w:rsidRDefault="005C4966">
      <w:pPr>
        <w:pStyle w:val="a6"/>
        <w:spacing w:before="0" w:beforeAutospacing="0" w:after="0" w:afterAutospacing="0"/>
        <w:ind w:firstLine="420"/>
        <w:jc w:val="both"/>
        <w:rPr>
          <w:sz w:val="18"/>
          <w:szCs w:val="18"/>
        </w:rPr>
      </w:pPr>
      <w:r>
        <w:rPr>
          <w:rFonts w:hint="eastAsia"/>
          <w:sz w:val="18"/>
          <w:szCs w:val="18"/>
        </w:rPr>
        <w:t>以前减记存货价值的影响因素已经消失的，减记的金额予以恢复，并在原已计提的存货跌价准备金额内转回，转回的金额计入当期损益。</w:t>
      </w:r>
    </w:p>
    <w:p w:rsidR="00A067C6" w:rsidRDefault="005C4966">
      <w:pPr>
        <w:widowControl/>
        <w:numPr>
          <w:ilvl w:val="2"/>
          <w:numId w:val="2"/>
        </w:numPr>
        <w:tabs>
          <w:tab w:val="clear" w:pos="2160"/>
          <w:tab w:val="left" w:pos="851"/>
        </w:tabs>
        <w:ind w:left="0" w:firstLine="425"/>
        <w:rPr>
          <w:sz w:val="18"/>
          <w:szCs w:val="18"/>
        </w:rPr>
      </w:pPr>
      <w:r>
        <w:rPr>
          <w:rFonts w:hint="eastAsia"/>
          <w:sz w:val="18"/>
          <w:szCs w:val="18"/>
        </w:rPr>
        <w:t>存货的盘存制度</w:t>
      </w:r>
    </w:p>
    <w:p w:rsidR="00A067C6" w:rsidRDefault="005C4966">
      <w:pPr>
        <w:pStyle w:val="a6"/>
        <w:spacing w:before="0" w:beforeAutospacing="0" w:after="0" w:afterAutospacing="0"/>
        <w:ind w:firstLine="420"/>
        <w:jc w:val="both"/>
        <w:rPr>
          <w:sz w:val="18"/>
          <w:szCs w:val="18"/>
        </w:rPr>
      </w:pPr>
      <w:r>
        <w:rPr>
          <w:rFonts w:hint="eastAsia"/>
          <w:sz w:val="18"/>
          <w:szCs w:val="18"/>
        </w:rPr>
        <w:t>存货盘存制度为永续盘存制。</w:t>
      </w:r>
    </w:p>
    <w:p w:rsidR="00A067C6" w:rsidRDefault="005C4966">
      <w:pPr>
        <w:widowControl/>
        <w:numPr>
          <w:ilvl w:val="2"/>
          <w:numId w:val="3"/>
        </w:numPr>
        <w:tabs>
          <w:tab w:val="clear" w:pos="2160"/>
          <w:tab w:val="left" w:pos="0"/>
        </w:tabs>
        <w:ind w:left="0" w:firstLine="425"/>
        <w:rPr>
          <w:sz w:val="18"/>
          <w:szCs w:val="18"/>
        </w:rPr>
      </w:pPr>
      <w:r>
        <w:rPr>
          <w:rFonts w:hint="eastAsia"/>
          <w:sz w:val="18"/>
          <w:szCs w:val="18"/>
        </w:rPr>
        <w:t>低值易耗品和包装物的摊销方法</w:t>
      </w:r>
    </w:p>
    <w:p w:rsidR="00A067C6" w:rsidRDefault="005C4966">
      <w:pPr>
        <w:widowControl/>
        <w:numPr>
          <w:ilvl w:val="0"/>
          <w:numId w:val="4"/>
        </w:numPr>
        <w:rPr>
          <w:rFonts w:ascii="Calibri" w:hAnsi="Calibri"/>
          <w:szCs w:val="21"/>
        </w:rPr>
      </w:pPr>
      <w:r>
        <w:rPr>
          <w:rFonts w:hint="eastAsia"/>
          <w:sz w:val="18"/>
          <w:szCs w:val="18"/>
        </w:rPr>
        <w:t>低值易耗品采用一次转销法进行摊销；</w:t>
      </w:r>
    </w:p>
    <w:p w:rsidR="00A067C6" w:rsidRDefault="005C4966">
      <w:pPr>
        <w:widowControl/>
        <w:numPr>
          <w:ilvl w:val="0"/>
          <w:numId w:val="4"/>
        </w:numPr>
        <w:rPr>
          <w:rFonts w:ascii="Calibri" w:hAnsi="Calibri"/>
          <w:szCs w:val="21"/>
        </w:rPr>
      </w:pPr>
      <w:r>
        <w:rPr>
          <w:rFonts w:hint="eastAsia"/>
          <w:sz w:val="18"/>
          <w:szCs w:val="18"/>
        </w:rPr>
        <w:t>包装物采用</w:t>
      </w:r>
      <w:r>
        <w:rPr>
          <w:rFonts w:hint="eastAsia"/>
          <w:sz w:val="18"/>
          <w:szCs w:val="18"/>
        </w:rPr>
        <w:t>一次转销法进行摊销。</w:t>
      </w:r>
    </w:p>
    <w:p w:rsidR="00A067C6" w:rsidRDefault="005C4966">
      <w:pPr>
        <w:widowControl/>
        <w:numPr>
          <w:ilvl w:val="0"/>
          <w:numId w:val="4"/>
        </w:numPr>
        <w:rPr>
          <w:rFonts w:ascii="Calibri" w:hAnsi="Calibri"/>
          <w:szCs w:val="21"/>
        </w:rPr>
      </w:pPr>
      <w:r>
        <w:rPr>
          <w:rFonts w:hint="eastAsia"/>
          <w:sz w:val="18"/>
          <w:szCs w:val="18"/>
        </w:rPr>
        <w:t>其他周转材料采用一次转销法进行摊销。</w:t>
      </w:r>
    </w:p>
    <w:p w:rsidR="00A067C6" w:rsidRDefault="005C4966">
      <w:pPr>
        <w:widowControl/>
        <w:numPr>
          <w:ilvl w:val="0"/>
          <w:numId w:val="4"/>
        </w:numPr>
        <w:rPr>
          <w:rFonts w:ascii="Calibri" w:hAnsi="Calibri"/>
          <w:szCs w:val="21"/>
        </w:rPr>
      </w:pPr>
      <w:r>
        <w:rPr>
          <w:rFonts w:hint="eastAsia"/>
          <w:sz w:val="18"/>
          <w:szCs w:val="18"/>
        </w:rPr>
        <w:t>合同资产</w:t>
      </w:r>
    </w:p>
    <w:p w:rsidR="00A067C6" w:rsidRDefault="005C4966">
      <w:pPr>
        <w:pStyle w:val="a6"/>
        <w:spacing w:before="0" w:beforeAutospacing="0" w:after="0" w:afterAutospacing="0"/>
        <w:ind w:firstLine="420"/>
        <w:jc w:val="both"/>
      </w:pPr>
      <w:r>
        <w:rPr>
          <w:rFonts w:hint="eastAsia"/>
          <w:sz w:val="18"/>
          <w:szCs w:val="18"/>
        </w:rPr>
        <w:t>本公司已向客户转让商品而有权收取对价的权利，且该权利取决于时间流逝之外的其他因素的，确认为合同资产。本公司拥有的无条件</w:t>
      </w:r>
      <w:r>
        <w:rPr>
          <w:rFonts w:hint="eastAsia"/>
          <w:sz w:val="18"/>
          <w:szCs w:val="18"/>
        </w:rPr>
        <w:t>(</w:t>
      </w:r>
      <w:r>
        <w:rPr>
          <w:rFonts w:hint="eastAsia"/>
          <w:sz w:val="18"/>
          <w:szCs w:val="18"/>
        </w:rPr>
        <w:t>即，仅取决于时间流逝</w:t>
      </w:r>
      <w:r>
        <w:rPr>
          <w:rFonts w:hint="eastAsia"/>
          <w:sz w:val="18"/>
          <w:szCs w:val="18"/>
        </w:rPr>
        <w:t>)</w:t>
      </w:r>
      <w:r>
        <w:rPr>
          <w:rFonts w:hint="eastAsia"/>
          <w:sz w:val="18"/>
          <w:szCs w:val="18"/>
        </w:rPr>
        <w:t>向客户收取对价的权利作为应收款项单独列示。</w:t>
      </w:r>
    </w:p>
    <w:p w:rsidR="00A067C6" w:rsidRDefault="005C4966">
      <w:pPr>
        <w:pStyle w:val="a6"/>
        <w:spacing w:before="0" w:beforeAutospacing="0" w:after="0" w:afterAutospacing="0"/>
        <w:ind w:firstLine="420"/>
        <w:jc w:val="both"/>
      </w:pPr>
      <w:r>
        <w:rPr>
          <w:rFonts w:hint="eastAsia"/>
          <w:sz w:val="18"/>
          <w:szCs w:val="18"/>
        </w:rPr>
        <w:t>本公司对合同资产的预期信用损失的确定方法及会计处理方法详见本附注（十）</w:t>
      </w:r>
      <w:r>
        <w:rPr>
          <w:rFonts w:hint="eastAsia"/>
          <w:sz w:val="18"/>
          <w:szCs w:val="18"/>
        </w:rPr>
        <w:t>6.</w:t>
      </w:r>
      <w:r>
        <w:rPr>
          <w:rFonts w:hint="eastAsia"/>
          <w:sz w:val="18"/>
          <w:szCs w:val="18"/>
        </w:rPr>
        <w:t>金融工具减值。</w:t>
      </w:r>
      <w:r>
        <w:rPr>
          <w:rFonts w:hint="eastAsia"/>
          <w:sz w:val="18"/>
          <w:szCs w:val="18"/>
        </w:rPr>
        <w:t xml:space="preserve"> </w:t>
      </w:r>
    </w:p>
    <w:p w:rsidR="00A067C6" w:rsidRDefault="005C4966">
      <w:pPr>
        <w:pStyle w:val="3"/>
        <w:spacing w:line="280" w:lineRule="exact"/>
        <w:jc w:val="left"/>
        <w:rPr>
          <w:rFonts w:ascii="宋体" w:hAnsi="宋体" w:cs="宋体"/>
          <w:b/>
          <w:bCs/>
        </w:rPr>
      </w:pPr>
      <w:bookmarkStart w:id="136" w:name="_Toc989024"/>
      <w:r>
        <w:rPr>
          <w:rFonts w:ascii="宋体" w:hAnsi="宋体" w:cs="宋体"/>
          <w:b/>
          <w:bCs/>
        </w:rPr>
        <w:t>16</w:t>
      </w:r>
      <w:r>
        <w:rPr>
          <w:rFonts w:ascii="宋体" w:hAnsi="宋体" w:cs="宋体"/>
          <w:b/>
          <w:bCs/>
        </w:rPr>
        <w:t>、合同资产</w:t>
      </w:r>
      <w:bookmarkEnd w:id="136"/>
    </w:p>
    <w:p w:rsidR="00A067C6" w:rsidRDefault="005C4966">
      <w:pPr>
        <w:pStyle w:val="a6"/>
        <w:spacing w:before="0" w:beforeAutospacing="0" w:after="0" w:afterAutospacing="0"/>
        <w:ind w:firstLine="420"/>
        <w:jc w:val="both"/>
      </w:pPr>
      <w:r>
        <w:rPr>
          <w:rFonts w:hint="eastAsia"/>
          <w:sz w:val="18"/>
          <w:szCs w:val="18"/>
        </w:rPr>
        <w:t>本公司已向客户转让商品而有权收取对价的权利，且该权利取决于时间流逝之外的其他因素的，确认为合同资产。本公司拥有的无条件</w:t>
      </w:r>
      <w:r>
        <w:rPr>
          <w:rFonts w:hint="eastAsia"/>
          <w:sz w:val="18"/>
          <w:szCs w:val="18"/>
        </w:rPr>
        <w:t>(</w:t>
      </w:r>
      <w:r>
        <w:rPr>
          <w:rFonts w:hint="eastAsia"/>
          <w:sz w:val="18"/>
          <w:szCs w:val="18"/>
        </w:rPr>
        <w:t>即，仅取决于时间流逝</w:t>
      </w:r>
      <w:r>
        <w:rPr>
          <w:rFonts w:hint="eastAsia"/>
          <w:sz w:val="18"/>
          <w:szCs w:val="18"/>
        </w:rPr>
        <w:t>)</w:t>
      </w:r>
      <w:r>
        <w:rPr>
          <w:rFonts w:hint="eastAsia"/>
          <w:sz w:val="18"/>
          <w:szCs w:val="18"/>
        </w:rPr>
        <w:t>向客户</w:t>
      </w:r>
      <w:r>
        <w:rPr>
          <w:rFonts w:hint="eastAsia"/>
          <w:sz w:val="18"/>
          <w:szCs w:val="18"/>
        </w:rPr>
        <w:t>收取对价的权利作为应收款项单独列示。</w:t>
      </w:r>
    </w:p>
    <w:p w:rsidR="00A067C6" w:rsidRDefault="005C4966">
      <w:pPr>
        <w:pStyle w:val="a6"/>
        <w:spacing w:before="0" w:beforeAutospacing="0" w:after="0" w:afterAutospacing="0"/>
        <w:ind w:firstLine="420"/>
        <w:jc w:val="both"/>
      </w:pPr>
      <w:r>
        <w:rPr>
          <w:rFonts w:hint="eastAsia"/>
          <w:sz w:val="18"/>
          <w:szCs w:val="18"/>
        </w:rPr>
        <w:t>本公司对合同资产的预期信用损失的确定方法及会计处理方法详见本附注附注（十）</w:t>
      </w:r>
      <w:r>
        <w:rPr>
          <w:rFonts w:hint="eastAsia"/>
          <w:sz w:val="18"/>
          <w:szCs w:val="18"/>
        </w:rPr>
        <w:t>6.</w:t>
      </w:r>
      <w:r>
        <w:rPr>
          <w:rFonts w:hint="eastAsia"/>
          <w:sz w:val="18"/>
          <w:szCs w:val="18"/>
        </w:rPr>
        <w:t>金融工具减值。</w:t>
      </w:r>
    </w:p>
    <w:p w:rsidR="00A067C6" w:rsidRDefault="005C4966">
      <w:pPr>
        <w:pStyle w:val="3"/>
        <w:spacing w:line="280" w:lineRule="exact"/>
        <w:jc w:val="left"/>
        <w:rPr>
          <w:rFonts w:ascii="宋体" w:hAnsi="宋体" w:cs="宋体"/>
          <w:b/>
          <w:bCs/>
        </w:rPr>
      </w:pPr>
      <w:bookmarkStart w:id="137" w:name="_Toc989025"/>
      <w:r>
        <w:rPr>
          <w:rFonts w:ascii="宋体" w:hAnsi="宋体" w:cs="宋体"/>
          <w:b/>
          <w:bCs/>
        </w:rPr>
        <w:t>17</w:t>
      </w:r>
      <w:r>
        <w:rPr>
          <w:rFonts w:ascii="宋体" w:hAnsi="宋体" w:cs="宋体"/>
          <w:b/>
          <w:bCs/>
        </w:rPr>
        <w:t>、合同成本</w:t>
      </w:r>
      <w:bookmarkEnd w:id="137"/>
    </w:p>
    <w:p w:rsidR="00A067C6" w:rsidRDefault="005C4966">
      <w:pPr>
        <w:widowControl/>
        <w:numPr>
          <w:ilvl w:val="3"/>
          <w:numId w:val="5"/>
        </w:numPr>
        <w:tabs>
          <w:tab w:val="clear" w:pos="2880"/>
          <w:tab w:val="left" w:pos="0"/>
        </w:tabs>
        <w:ind w:left="0" w:firstLine="425"/>
        <w:rPr>
          <w:b/>
          <w:sz w:val="18"/>
          <w:szCs w:val="18"/>
        </w:rPr>
      </w:pPr>
      <w:r>
        <w:rPr>
          <w:rStyle w:val="a7"/>
          <w:rFonts w:hint="eastAsia"/>
          <w:b w:val="0"/>
          <w:sz w:val="18"/>
          <w:szCs w:val="18"/>
        </w:rPr>
        <w:t>合同履约成本</w:t>
      </w:r>
    </w:p>
    <w:p w:rsidR="00A067C6" w:rsidRDefault="005C4966">
      <w:pPr>
        <w:pStyle w:val="a6"/>
        <w:spacing w:before="0" w:beforeAutospacing="0" w:after="0" w:afterAutospacing="0"/>
        <w:ind w:firstLine="420"/>
        <w:jc w:val="both"/>
      </w:pPr>
      <w:r>
        <w:rPr>
          <w:rFonts w:hint="eastAsia"/>
          <w:sz w:val="18"/>
          <w:szCs w:val="18"/>
        </w:rPr>
        <w:t>本公司对于为履行合同发生的成本，不属于除收入准则外的其他企业会计准则范围且同时满足下列条件的作为合同履约成本确认为一项资产：</w:t>
      </w:r>
    </w:p>
    <w:p w:rsidR="00A067C6" w:rsidRDefault="005C4966">
      <w:pPr>
        <w:pStyle w:val="a6"/>
        <w:spacing w:before="0" w:beforeAutospacing="0" w:after="0" w:afterAutospacing="0"/>
        <w:ind w:firstLine="420"/>
        <w:jc w:val="both"/>
      </w:pPr>
      <w:r>
        <w:rPr>
          <w:rFonts w:hint="eastAsia"/>
          <w:sz w:val="18"/>
          <w:szCs w:val="18"/>
        </w:rPr>
        <w:t>（</w:t>
      </w:r>
      <w:r>
        <w:rPr>
          <w:rFonts w:hint="eastAsia"/>
          <w:sz w:val="18"/>
          <w:szCs w:val="18"/>
        </w:rPr>
        <w:t>1</w:t>
      </w:r>
      <w:r>
        <w:rPr>
          <w:rFonts w:hint="eastAsia"/>
          <w:sz w:val="18"/>
          <w:szCs w:val="18"/>
        </w:rPr>
        <w:t>）该成本与一份当前或预期取得的合同直接相关，包括直接人工、直接材料、制造费用（或类似费用）、明确由客户承担的成本以及仅因该合同而发生的其他成本；</w:t>
      </w:r>
    </w:p>
    <w:p w:rsidR="00A067C6" w:rsidRDefault="005C4966">
      <w:pPr>
        <w:pStyle w:val="a6"/>
        <w:spacing w:before="0" w:beforeAutospacing="0" w:after="0" w:afterAutospacing="0"/>
        <w:ind w:firstLine="420"/>
        <w:jc w:val="both"/>
      </w:pPr>
      <w:r>
        <w:rPr>
          <w:rFonts w:hint="eastAsia"/>
          <w:sz w:val="18"/>
          <w:szCs w:val="18"/>
        </w:rPr>
        <w:t>（</w:t>
      </w:r>
      <w:r>
        <w:rPr>
          <w:rFonts w:hint="eastAsia"/>
          <w:sz w:val="18"/>
          <w:szCs w:val="18"/>
        </w:rPr>
        <w:t>2</w:t>
      </w:r>
      <w:r>
        <w:rPr>
          <w:rFonts w:hint="eastAsia"/>
          <w:sz w:val="18"/>
          <w:szCs w:val="18"/>
        </w:rPr>
        <w:t>）该成本增加了企业未来用于履行履约义务的资源。</w:t>
      </w:r>
    </w:p>
    <w:p w:rsidR="00A067C6" w:rsidRDefault="005C4966">
      <w:pPr>
        <w:pStyle w:val="a6"/>
        <w:spacing w:before="0" w:beforeAutospacing="0" w:after="0" w:afterAutospacing="0"/>
        <w:ind w:firstLine="420"/>
        <w:jc w:val="both"/>
      </w:pPr>
      <w:r>
        <w:rPr>
          <w:rFonts w:hint="eastAsia"/>
          <w:sz w:val="18"/>
          <w:szCs w:val="18"/>
        </w:rPr>
        <w:t>（</w:t>
      </w:r>
      <w:r>
        <w:rPr>
          <w:rFonts w:hint="eastAsia"/>
          <w:sz w:val="18"/>
          <w:szCs w:val="18"/>
        </w:rPr>
        <w:t>3</w:t>
      </w:r>
      <w:r>
        <w:rPr>
          <w:rFonts w:hint="eastAsia"/>
          <w:sz w:val="18"/>
          <w:szCs w:val="18"/>
        </w:rPr>
        <w:t>）该成本预期能够收回。</w:t>
      </w:r>
    </w:p>
    <w:p w:rsidR="00A067C6" w:rsidRDefault="005C4966">
      <w:pPr>
        <w:pStyle w:val="a6"/>
        <w:spacing w:before="0" w:beforeAutospacing="0" w:after="0" w:afterAutospacing="0"/>
        <w:ind w:firstLine="420"/>
        <w:jc w:val="both"/>
      </w:pPr>
      <w:r>
        <w:rPr>
          <w:rFonts w:hint="eastAsia"/>
          <w:sz w:val="18"/>
          <w:szCs w:val="18"/>
        </w:rPr>
        <w:t>该资产根据其初始确认时摊销期限是否超过一个正常营业周期在存货或其他非流动资产中列报。</w:t>
      </w:r>
    </w:p>
    <w:p w:rsidR="00A067C6" w:rsidRDefault="005C4966">
      <w:pPr>
        <w:widowControl/>
        <w:numPr>
          <w:ilvl w:val="3"/>
          <w:numId w:val="6"/>
        </w:numPr>
        <w:tabs>
          <w:tab w:val="clear" w:pos="2880"/>
          <w:tab w:val="left" w:pos="0"/>
        </w:tabs>
        <w:ind w:left="0" w:firstLine="425"/>
        <w:rPr>
          <w:b/>
          <w:sz w:val="18"/>
          <w:szCs w:val="18"/>
        </w:rPr>
      </w:pPr>
      <w:r>
        <w:rPr>
          <w:rStyle w:val="a7"/>
          <w:rFonts w:hint="eastAsia"/>
          <w:b w:val="0"/>
          <w:sz w:val="18"/>
          <w:szCs w:val="18"/>
        </w:rPr>
        <w:t>合同取得成本</w:t>
      </w:r>
    </w:p>
    <w:p w:rsidR="00A067C6" w:rsidRDefault="005C4966">
      <w:pPr>
        <w:pStyle w:val="a6"/>
        <w:spacing w:before="0" w:beforeAutospacing="0" w:after="0" w:afterAutospacing="0"/>
        <w:ind w:firstLine="420"/>
        <w:jc w:val="both"/>
      </w:pPr>
      <w:r>
        <w:rPr>
          <w:rFonts w:hint="eastAsia"/>
          <w:sz w:val="18"/>
          <w:szCs w:val="18"/>
        </w:rPr>
        <w:t>本公司为取得合同发生的增量成本预期能够收回的，作为合同取得成本确认为一项资产。增量成本是指本公司不取得合同就不会发生的成本，如销售佣金等。对于摊销期限不超过一年的，在发生时计入当期损益。</w:t>
      </w:r>
    </w:p>
    <w:p w:rsidR="00A067C6" w:rsidRDefault="005C4966">
      <w:pPr>
        <w:widowControl/>
        <w:numPr>
          <w:ilvl w:val="3"/>
          <w:numId w:val="7"/>
        </w:numPr>
        <w:tabs>
          <w:tab w:val="clear" w:pos="2880"/>
          <w:tab w:val="left" w:pos="0"/>
        </w:tabs>
        <w:ind w:left="0" w:firstLine="425"/>
        <w:rPr>
          <w:b/>
          <w:sz w:val="18"/>
          <w:szCs w:val="18"/>
        </w:rPr>
      </w:pPr>
      <w:r>
        <w:rPr>
          <w:rStyle w:val="a7"/>
          <w:rFonts w:hint="eastAsia"/>
          <w:b w:val="0"/>
          <w:sz w:val="18"/>
          <w:szCs w:val="18"/>
        </w:rPr>
        <w:t>合同成本摊销</w:t>
      </w:r>
    </w:p>
    <w:p w:rsidR="00A067C6" w:rsidRDefault="005C4966">
      <w:pPr>
        <w:pStyle w:val="a6"/>
        <w:spacing w:before="0" w:beforeAutospacing="0" w:after="0" w:afterAutospacing="0"/>
        <w:ind w:firstLine="420"/>
        <w:jc w:val="both"/>
      </w:pPr>
      <w:r>
        <w:rPr>
          <w:rFonts w:hint="eastAsia"/>
          <w:sz w:val="18"/>
          <w:szCs w:val="18"/>
        </w:rPr>
        <w:t>上述与合同成本有关的资产，采用与该资产相关的商品或服务收入确认相同的基础，在履约义务履行的时点或按照履约义务的履约进度进行摊销，计入当期损益。</w:t>
      </w:r>
    </w:p>
    <w:p w:rsidR="00A067C6" w:rsidRDefault="005C4966">
      <w:pPr>
        <w:widowControl/>
        <w:numPr>
          <w:ilvl w:val="3"/>
          <w:numId w:val="8"/>
        </w:numPr>
        <w:tabs>
          <w:tab w:val="clear" w:pos="2880"/>
          <w:tab w:val="left" w:pos="0"/>
        </w:tabs>
        <w:ind w:left="0" w:firstLine="425"/>
        <w:rPr>
          <w:b/>
          <w:sz w:val="18"/>
          <w:szCs w:val="18"/>
        </w:rPr>
      </w:pPr>
      <w:r>
        <w:rPr>
          <w:rStyle w:val="a7"/>
          <w:rFonts w:hint="eastAsia"/>
          <w:b w:val="0"/>
          <w:sz w:val="18"/>
          <w:szCs w:val="18"/>
        </w:rPr>
        <w:t>合同成本减值</w:t>
      </w:r>
    </w:p>
    <w:p w:rsidR="00A067C6" w:rsidRDefault="005C4966">
      <w:pPr>
        <w:pStyle w:val="a6"/>
        <w:spacing w:before="0" w:beforeAutospacing="0" w:after="0" w:afterAutospacing="0"/>
        <w:ind w:firstLine="420"/>
        <w:jc w:val="both"/>
      </w:pPr>
      <w:r>
        <w:rPr>
          <w:rFonts w:hint="eastAsia"/>
          <w:sz w:val="18"/>
          <w:szCs w:val="18"/>
        </w:rPr>
        <w:t>上述与合同成本有关的资产</w:t>
      </w:r>
      <w:r>
        <w:rPr>
          <w:rFonts w:hint="eastAsia"/>
          <w:sz w:val="18"/>
          <w:szCs w:val="18"/>
        </w:rPr>
        <w:t>，账面价值高于本公司因转让与该资产相关的商品预期能够取得剩余对价与为转让该相关商品估计将要发生的成本的差额的，超出部分应当计提减值准备，并确认为资产减值损失。</w:t>
      </w:r>
    </w:p>
    <w:p w:rsidR="00A067C6" w:rsidRDefault="005C4966">
      <w:pPr>
        <w:pStyle w:val="a6"/>
        <w:spacing w:before="0" w:beforeAutospacing="0" w:after="0" w:afterAutospacing="0"/>
        <w:ind w:firstLine="420"/>
        <w:jc w:val="both"/>
      </w:pPr>
      <w:r>
        <w:rPr>
          <w:rFonts w:hint="eastAsia"/>
          <w:sz w:val="18"/>
          <w:szCs w:val="18"/>
        </w:rPr>
        <w:t>计提减值准备后，如果以前期间减值的因素发生变化，使得上述两项差额高于该资产账面价值的，转回原已计提的资产减值准备，并计入当期损益，但转回后的资产账面价值不超过假定不计提减值准备情况下该资产在转回日的账面价值。</w:t>
      </w:r>
    </w:p>
    <w:p w:rsidR="00A067C6" w:rsidRDefault="005C4966">
      <w:pPr>
        <w:pStyle w:val="3"/>
        <w:spacing w:line="280" w:lineRule="exact"/>
        <w:jc w:val="left"/>
        <w:rPr>
          <w:rFonts w:ascii="宋体" w:hAnsi="宋体" w:cs="宋体"/>
          <w:b/>
          <w:bCs/>
        </w:rPr>
      </w:pPr>
      <w:bookmarkStart w:id="138" w:name="_Toc989026"/>
      <w:r>
        <w:rPr>
          <w:rFonts w:ascii="宋体" w:hAnsi="宋体" w:cs="宋体"/>
          <w:b/>
          <w:bCs/>
        </w:rPr>
        <w:t>18</w:t>
      </w:r>
      <w:r>
        <w:rPr>
          <w:rFonts w:ascii="宋体" w:hAnsi="宋体" w:cs="宋体"/>
          <w:b/>
          <w:bCs/>
        </w:rPr>
        <w:t>、持有待售资产</w:t>
      </w:r>
      <w:bookmarkEnd w:id="138"/>
    </w:p>
    <w:p w:rsidR="00A067C6" w:rsidRDefault="005C4966">
      <w:pPr>
        <w:widowControl/>
        <w:numPr>
          <w:ilvl w:val="0"/>
          <w:numId w:val="9"/>
        </w:numPr>
        <w:ind w:left="714" w:hanging="357"/>
        <w:rPr>
          <w:sz w:val="18"/>
          <w:szCs w:val="18"/>
        </w:rPr>
      </w:pPr>
      <w:r>
        <w:rPr>
          <w:rFonts w:hint="eastAsia"/>
          <w:sz w:val="18"/>
          <w:szCs w:val="18"/>
        </w:rPr>
        <w:t>划分为持有待售确认标准</w:t>
      </w:r>
    </w:p>
    <w:p w:rsidR="00A067C6" w:rsidRDefault="005C4966">
      <w:pPr>
        <w:pStyle w:val="a6"/>
        <w:spacing w:before="0" w:beforeAutospacing="0" w:after="0" w:afterAutospacing="0"/>
        <w:ind w:firstLine="420"/>
        <w:jc w:val="both"/>
      </w:pPr>
      <w:r>
        <w:rPr>
          <w:rFonts w:hint="eastAsia"/>
          <w:sz w:val="18"/>
          <w:szCs w:val="18"/>
        </w:rPr>
        <w:t>本公司将同时满足下列条件的非流动资产或处置组确认为持有待售组成部分：</w:t>
      </w:r>
    </w:p>
    <w:p w:rsidR="00A067C6" w:rsidRDefault="005C4966">
      <w:pPr>
        <w:pStyle w:val="a6"/>
        <w:spacing w:before="0" w:beforeAutospacing="0" w:after="0" w:afterAutospacing="0"/>
        <w:ind w:firstLine="420"/>
        <w:jc w:val="both"/>
      </w:pPr>
      <w:r>
        <w:rPr>
          <w:rFonts w:hint="eastAsia"/>
          <w:sz w:val="18"/>
          <w:szCs w:val="18"/>
        </w:rPr>
        <w:t>（</w:t>
      </w:r>
      <w:r>
        <w:rPr>
          <w:rFonts w:hint="eastAsia"/>
          <w:sz w:val="18"/>
          <w:szCs w:val="18"/>
        </w:rPr>
        <w:t>1</w:t>
      </w:r>
      <w:r>
        <w:rPr>
          <w:rFonts w:hint="eastAsia"/>
          <w:sz w:val="18"/>
          <w:szCs w:val="18"/>
        </w:rPr>
        <w:t>）根据类似交易中出售此类资产或处置组的惯例，在当前状况下即可立即出售；</w:t>
      </w:r>
    </w:p>
    <w:p w:rsidR="00A067C6" w:rsidRDefault="005C4966">
      <w:pPr>
        <w:pStyle w:val="a6"/>
        <w:spacing w:before="0" w:beforeAutospacing="0" w:after="0" w:afterAutospacing="0"/>
        <w:ind w:firstLine="420"/>
        <w:jc w:val="both"/>
      </w:pPr>
      <w:r>
        <w:rPr>
          <w:rFonts w:hint="eastAsia"/>
          <w:sz w:val="18"/>
          <w:szCs w:val="18"/>
        </w:rPr>
        <w:t>（</w:t>
      </w:r>
      <w:r>
        <w:rPr>
          <w:rFonts w:hint="eastAsia"/>
          <w:sz w:val="18"/>
          <w:szCs w:val="18"/>
        </w:rPr>
        <w:t>2</w:t>
      </w:r>
      <w:r>
        <w:rPr>
          <w:rFonts w:hint="eastAsia"/>
          <w:sz w:val="18"/>
          <w:szCs w:val="18"/>
        </w:rPr>
        <w:t>）出售极可能发生，即本公司已经就一项出售计划作出决议，并已获得监管部门批准，且获得确定的购买承诺，预计出售将在一年内完成。</w:t>
      </w:r>
    </w:p>
    <w:p w:rsidR="00A067C6" w:rsidRDefault="005C4966">
      <w:pPr>
        <w:pStyle w:val="a6"/>
        <w:spacing w:before="0" w:beforeAutospacing="0" w:after="0" w:afterAutospacing="0"/>
        <w:ind w:firstLine="420"/>
        <w:jc w:val="both"/>
      </w:pPr>
      <w:r>
        <w:rPr>
          <w:rFonts w:hint="eastAsia"/>
          <w:sz w:val="18"/>
          <w:szCs w:val="18"/>
        </w:rPr>
        <w:t>确定的购买承诺，是指本公司与其他方签订的具有法律约束力的购买协议，该协议包含交易价格、时间和足够严厉的违约惩罚等重要条款，使协议出现重大调整或者撤销的可能性极小。</w:t>
      </w:r>
    </w:p>
    <w:p w:rsidR="00A067C6" w:rsidRDefault="005C4966">
      <w:pPr>
        <w:widowControl/>
        <w:numPr>
          <w:ilvl w:val="0"/>
          <w:numId w:val="10"/>
        </w:numPr>
        <w:ind w:left="714" w:hanging="357"/>
        <w:rPr>
          <w:sz w:val="18"/>
          <w:szCs w:val="18"/>
        </w:rPr>
      </w:pPr>
      <w:r>
        <w:rPr>
          <w:rFonts w:ascii="Times New Roman" w:hAnsi="Times New Roman" w:cs="Times New Roman"/>
          <w:sz w:val="14"/>
          <w:szCs w:val="14"/>
        </w:rPr>
        <w:t> </w:t>
      </w:r>
      <w:r>
        <w:rPr>
          <w:rFonts w:hint="eastAsia"/>
          <w:sz w:val="18"/>
          <w:szCs w:val="18"/>
        </w:rPr>
        <w:t>持有待售核算方法</w:t>
      </w:r>
    </w:p>
    <w:p w:rsidR="00A067C6" w:rsidRDefault="005C4966">
      <w:pPr>
        <w:pStyle w:val="a6"/>
        <w:spacing w:before="0" w:beforeAutospacing="0" w:after="0" w:afterAutospacing="0"/>
        <w:ind w:firstLine="420"/>
        <w:jc w:val="both"/>
      </w:pPr>
      <w:r>
        <w:rPr>
          <w:rFonts w:hint="eastAsia"/>
          <w:sz w:val="18"/>
          <w:szCs w:val="18"/>
        </w:rPr>
        <w:t>本公司对于持有待售的非流动资产或处置组不计提折旧或摊销，其账面价值高于公允价值减去出售费用后的净额的，应当将账面价值减记至公允价值减去出售费用后的净额，减记的金额确认为资产减值损失，计入当期损益，同时计提持有待售资产减值准备。</w:t>
      </w:r>
    </w:p>
    <w:p w:rsidR="00A067C6" w:rsidRDefault="005C4966">
      <w:pPr>
        <w:pStyle w:val="a6"/>
        <w:spacing w:before="0" w:beforeAutospacing="0" w:after="0" w:afterAutospacing="0"/>
        <w:ind w:firstLine="420"/>
        <w:jc w:val="both"/>
      </w:pPr>
      <w:r>
        <w:rPr>
          <w:rFonts w:hint="eastAsia"/>
          <w:sz w:val="18"/>
          <w:szCs w:val="18"/>
        </w:rPr>
        <w:t>对于取得日划分为持有待售类别的非流动资产或处置组，在初始计量时比较假定其不划分为持有待售类别情况下的初始计量金额和公允价值减去出售费用后的净额，以两者孰低计量。</w:t>
      </w:r>
    </w:p>
    <w:p w:rsidR="00A067C6" w:rsidRDefault="005C4966">
      <w:pPr>
        <w:pStyle w:val="a6"/>
        <w:spacing w:before="0" w:beforeAutospacing="0" w:after="0" w:afterAutospacing="0"/>
        <w:ind w:firstLine="420"/>
        <w:jc w:val="both"/>
      </w:pPr>
      <w:r>
        <w:rPr>
          <w:rFonts w:hint="eastAsia"/>
          <w:sz w:val="18"/>
          <w:szCs w:val="18"/>
        </w:rPr>
        <w:t>上述原则适用于所有非流动资产，但不包括采用公允价值模式进行后续计量的投资性房地产、采用公允价值减去出售费用后的净额计量的生</w:t>
      </w:r>
      <w:r>
        <w:rPr>
          <w:rFonts w:hint="eastAsia"/>
          <w:sz w:val="18"/>
          <w:szCs w:val="18"/>
        </w:rPr>
        <w:t>物资产、职工薪酬形成的资产、递延所得税资产、由金融工具相关会计准则规范的金融资产、由保险合同相关会计准则规范的保险合同所产生的权利。</w:t>
      </w:r>
    </w:p>
    <w:p w:rsidR="00A067C6" w:rsidRDefault="005C4966">
      <w:pPr>
        <w:pStyle w:val="3"/>
        <w:spacing w:line="280" w:lineRule="exact"/>
        <w:jc w:val="left"/>
        <w:rPr>
          <w:rFonts w:ascii="宋体" w:hAnsi="宋体" w:cs="宋体"/>
          <w:b/>
          <w:bCs/>
        </w:rPr>
      </w:pPr>
      <w:bookmarkStart w:id="139" w:name="_Toc989027"/>
      <w:r>
        <w:rPr>
          <w:rFonts w:ascii="宋体" w:hAnsi="宋体" w:cs="宋体"/>
          <w:b/>
          <w:bCs/>
        </w:rPr>
        <w:t>19</w:t>
      </w:r>
      <w:r>
        <w:rPr>
          <w:rFonts w:ascii="宋体" w:hAnsi="宋体" w:cs="宋体"/>
          <w:b/>
          <w:bCs/>
        </w:rPr>
        <w:t>、债权投资</w:t>
      </w:r>
      <w:bookmarkEnd w:id="139"/>
    </w:p>
    <w:p w:rsidR="00A067C6" w:rsidRDefault="005C4966">
      <w:pPr>
        <w:pStyle w:val="a6"/>
        <w:spacing w:before="0" w:beforeAutospacing="0" w:after="0" w:afterAutospacing="0"/>
        <w:rPr>
          <w:rFonts w:ascii="Calibri" w:hAnsi="Calibri"/>
          <w:sz w:val="21"/>
          <w:szCs w:val="21"/>
        </w:rPr>
      </w:pPr>
      <w:r>
        <w:rPr>
          <w:rFonts w:hint="eastAsia"/>
          <w:sz w:val="18"/>
          <w:szCs w:val="18"/>
        </w:rPr>
        <w:t>无。</w:t>
      </w:r>
    </w:p>
    <w:p w:rsidR="00A067C6" w:rsidRDefault="005C4966">
      <w:pPr>
        <w:pStyle w:val="3"/>
        <w:spacing w:line="280" w:lineRule="exact"/>
        <w:jc w:val="left"/>
        <w:rPr>
          <w:rFonts w:ascii="宋体" w:hAnsi="宋体" w:cs="宋体"/>
          <w:b/>
          <w:bCs/>
        </w:rPr>
      </w:pPr>
      <w:bookmarkStart w:id="140" w:name="_Toc989028"/>
      <w:r>
        <w:rPr>
          <w:rFonts w:ascii="宋体" w:hAnsi="宋体" w:cs="宋体"/>
          <w:b/>
          <w:bCs/>
        </w:rPr>
        <w:t>20</w:t>
      </w:r>
      <w:r>
        <w:rPr>
          <w:rFonts w:ascii="宋体" w:hAnsi="宋体" w:cs="宋体"/>
          <w:b/>
          <w:bCs/>
        </w:rPr>
        <w:t>、其他债权投资</w:t>
      </w:r>
      <w:bookmarkEnd w:id="140"/>
    </w:p>
    <w:p w:rsidR="00A067C6" w:rsidRDefault="005C4966">
      <w:pPr>
        <w:pStyle w:val="a6"/>
        <w:spacing w:before="0" w:beforeAutospacing="0" w:after="0" w:afterAutospacing="0" w:line="360" w:lineRule="auto"/>
        <w:ind w:firstLine="420"/>
        <w:jc w:val="both"/>
      </w:pPr>
      <w:r>
        <w:rPr>
          <w:rFonts w:hint="eastAsia"/>
          <w:sz w:val="18"/>
          <w:szCs w:val="18"/>
        </w:rPr>
        <w:t>本公司对其他债权投资的预期信用损失的确定方法及会计处理方法详见本附注（十）</w:t>
      </w:r>
      <w:r>
        <w:rPr>
          <w:rFonts w:hint="eastAsia"/>
          <w:sz w:val="18"/>
          <w:szCs w:val="18"/>
        </w:rPr>
        <w:t>6.</w:t>
      </w:r>
      <w:r>
        <w:rPr>
          <w:rFonts w:hint="eastAsia"/>
          <w:sz w:val="18"/>
          <w:szCs w:val="18"/>
        </w:rPr>
        <w:t>金融工具减值。</w:t>
      </w:r>
    </w:p>
    <w:p w:rsidR="00A067C6" w:rsidRDefault="005C4966">
      <w:pPr>
        <w:pStyle w:val="3"/>
        <w:spacing w:line="280" w:lineRule="exact"/>
        <w:jc w:val="left"/>
        <w:rPr>
          <w:rFonts w:ascii="宋体" w:hAnsi="宋体" w:cs="宋体"/>
          <w:b/>
          <w:bCs/>
        </w:rPr>
      </w:pPr>
      <w:bookmarkStart w:id="141" w:name="_Toc989029"/>
      <w:r>
        <w:rPr>
          <w:rFonts w:ascii="宋体" w:hAnsi="宋体" w:cs="宋体"/>
          <w:b/>
          <w:bCs/>
        </w:rPr>
        <w:t>21</w:t>
      </w:r>
      <w:r>
        <w:rPr>
          <w:rFonts w:ascii="宋体" w:hAnsi="宋体" w:cs="宋体"/>
          <w:b/>
          <w:bCs/>
        </w:rPr>
        <w:t>、长期应收款</w:t>
      </w:r>
      <w:bookmarkEnd w:id="141"/>
    </w:p>
    <w:p w:rsidR="00A067C6" w:rsidRDefault="005C4966">
      <w:pPr>
        <w:pStyle w:val="a6"/>
        <w:spacing w:before="0" w:beforeAutospacing="0" w:after="0" w:afterAutospacing="0" w:line="360" w:lineRule="auto"/>
        <w:ind w:firstLine="420"/>
        <w:jc w:val="both"/>
      </w:pPr>
      <w:r>
        <w:rPr>
          <w:rFonts w:hint="eastAsia"/>
          <w:sz w:val="18"/>
          <w:szCs w:val="18"/>
        </w:rPr>
        <w:t>本公司对长期应收款的预期信用损失的确定方法及会计处理方法详见本附注（十）</w:t>
      </w:r>
      <w:r>
        <w:rPr>
          <w:rFonts w:hint="eastAsia"/>
          <w:sz w:val="18"/>
          <w:szCs w:val="18"/>
        </w:rPr>
        <w:t>6.</w:t>
      </w:r>
      <w:r>
        <w:rPr>
          <w:rFonts w:hint="eastAsia"/>
          <w:sz w:val="18"/>
          <w:szCs w:val="18"/>
        </w:rPr>
        <w:t>金融工具减值。</w:t>
      </w:r>
    </w:p>
    <w:p w:rsidR="00A067C6" w:rsidRDefault="005C4966">
      <w:pPr>
        <w:pStyle w:val="a6"/>
        <w:spacing w:before="0" w:beforeAutospacing="0" w:after="0" w:afterAutospacing="0" w:line="360" w:lineRule="auto"/>
        <w:ind w:firstLine="420"/>
        <w:jc w:val="both"/>
      </w:pPr>
      <w:r>
        <w:rPr>
          <w:rFonts w:hint="eastAsia"/>
          <w:sz w:val="18"/>
          <w:szCs w:val="18"/>
        </w:rPr>
        <w:t>本公司对单项金额重大且在初始确认后已经发生信用减值的长期应收款单独确定其信用损失。</w:t>
      </w:r>
    </w:p>
    <w:p w:rsidR="00A067C6" w:rsidRDefault="005C4966">
      <w:pPr>
        <w:pStyle w:val="a6"/>
        <w:spacing w:before="0" w:beforeAutospacing="0" w:after="240" w:afterAutospacing="0" w:line="360" w:lineRule="auto"/>
        <w:ind w:firstLine="360"/>
        <w:jc w:val="both"/>
      </w:pPr>
      <w:r>
        <w:rPr>
          <w:rFonts w:hint="eastAsia"/>
          <w:sz w:val="18"/>
          <w:szCs w:val="18"/>
        </w:rPr>
        <w:t>当在单项工具层面无法以合理成本评估预期信用损失的</w:t>
      </w:r>
      <w:r>
        <w:rPr>
          <w:rFonts w:hint="eastAsia"/>
          <w:sz w:val="18"/>
          <w:szCs w:val="18"/>
        </w:rPr>
        <w:t>充分证据时，本公司参考历史信用损失经验，结合当前状况以及对未来经济状况的判断，依据信用风险特征将长期应收款划分为若干组合，在组合基础上计算预期信用损失。确定组合的依据如下：</w:t>
      </w:r>
      <w:r>
        <w:rPr>
          <w:rFonts w:hint="eastAsia"/>
          <w:sz w:val="18"/>
          <w:szCs w:val="18"/>
        </w:rPr>
        <w:t xml:space="preserve"> </w:t>
      </w:r>
    </w:p>
    <w:tbl>
      <w:tblPr>
        <w:tblW w:w="9606" w:type="dxa"/>
        <w:tblCellMar>
          <w:left w:w="0" w:type="dxa"/>
          <w:right w:w="0" w:type="dxa"/>
        </w:tblCellMar>
        <w:tblLook w:val="04A0" w:firstRow="1" w:lastRow="0" w:firstColumn="1" w:lastColumn="0" w:noHBand="0" w:noVBand="1"/>
      </w:tblPr>
      <w:tblGrid>
        <w:gridCol w:w="1105"/>
        <w:gridCol w:w="3933"/>
        <w:gridCol w:w="4568"/>
      </w:tblGrid>
      <w:tr w:rsidR="00A067C6">
        <w:trPr>
          <w:trHeight w:val="397"/>
        </w:trPr>
        <w:tc>
          <w:tcPr>
            <w:tcW w:w="1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jc w:val="center"/>
            </w:pPr>
            <w:r>
              <w:rPr>
                <w:rFonts w:hint="eastAsia"/>
                <w:sz w:val="18"/>
                <w:szCs w:val="18"/>
              </w:rPr>
              <w:t>组合名称</w:t>
            </w:r>
          </w:p>
        </w:tc>
        <w:tc>
          <w:tcPr>
            <w:tcW w:w="39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jc w:val="center"/>
            </w:pPr>
            <w:r>
              <w:rPr>
                <w:rFonts w:hint="eastAsia"/>
                <w:sz w:val="18"/>
                <w:szCs w:val="18"/>
              </w:rPr>
              <w:t>确定组合的依据</w:t>
            </w:r>
          </w:p>
        </w:tc>
        <w:tc>
          <w:tcPr>
            <w:tcW w:w="45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jc w:val="center"/>
            </w:pPr>
            <w:r>
              <w:rPr>
                <w:rFonts w:hint="eastAsia"/>
                <w:sz w:val="18"/>
                <w:szCs w:val="18"/>
              </w:rPr>
              <w:t>计提方法</w:t>
            </w:r>
          </w:p>
        </w:tc>
      </w:tr>
      <w:tr w:rsidR="00A067C6">
        <w:trPr>
          <w:trHeight w:val="397"/>
        </w:trPr>
        <w:tc>
          <w:tcPr>
            <w:tcW w:w="11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pPr>
            <w:r>
              <w:rPr>
                <w:rFonts w:hint="eastAsia"/>
                <w:sz w:val="18"/>
                <w:szCs w:val="18"/>
              </w:rPr>
              <w:t>风险组合</w:t>
            </w:r>
          </w:p>
        </w:tc>
        <w:tc>
          <w:tcPr>
            <w:tcW w:w="3933" w:type="dxa"/>
            <w:tcBorders>
              <w:top w:val="nil"/>
              <w:left w:val="nil"/>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pPr>
            <w:r>
              <w:rPr>
                <w:rFonts w:hint="eastAsia"/>
                <w:sz w:val="18"/>
                <w:szCs w:val="18"/>
              </w:rPr>
              <w:t>本组合以长期应收款的账龄作为信用风险特征</w:t>
            </w:r>
          </w:p>
        </w:tc>
        <w:tc>
          <w:tcPr>
            <w:tcW w:w="4568" w:type="dxa"/>
            <w:tcBorders>
              <w:top w:val="nil"/>
              <w:left w:val="nil"/>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pPr>
            <w:r>
              <w:rPr>
                <w:rFonts w:hint="eastAsia"/>
                <w:sz w:val="18"/>
                <w:szCs w:val="18"/>
              </w:rPr>
              <w:t>参考历史信用损失经验，结合当前状况以及对未来经济状况的预期计量坏账准备</w:t>
            </w:r>
          </w:p>
        </w:tc>
      </w:tr>
      <w:tr w:rsidR="00A067C6">
        <w:trPr>
          <w:trHeight w:val="397"/>
        </w:trPr>
        <w:tc>
          <w:tcPr>
            <w:tcW w:w="11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pPr>
            <w:r>
              <w:rPr>
                <w:rFonts w:hint="eastAsia"/>
                <w:sz w:val="18"/>
                <w:szCs w:val="18"/>
              </w:rPr>
              <w:t>性质组合</w:t>
            </w:r>
          </w:p>
        </w:tc>
        <w:tc>
          <w:tcPr>
            <w:tcW w:w="3933" w:type="dxa"/>
            <w:tcBorders>
              <w:top w:val="nil"/>
              <w:left w:val="nil"/>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pPr>
            <w:r>
              <w:rPr>
                <w:rFonts w:hint="eastAsia"/>
                <w:sz w:val="18"/>
                <w:szCs w:val="18"/>
              </w:rPr>
              <w:t>根据业务性质，主要包括合并范围内关联方的款项、出口退税款</w:t>
            </w:r>
          </w:p>
        </w:tc>
        <w:tc>
          <w:tcPr>
            <w:tcW w:w="4568" w:type="dxa"/>
            <w:tcBorders>
              <w:top w:val="nil"/>
              <w:left w:val="nil"/>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pPr>
            <w:r>
              <w:rPr>
                <w:rFonts w:hint="eastAsia"/>
                <w:sz w:val="18"/>
                <w:szCs w:val="18"/>
              </w:rPr>
              <w:t>参考历史信用损失经验，结合当前状况以及对未来经济状况的预期计量坏账准备</w:t>
            </w:r>
          </w:p>
        </w:tc>
      </w:tr>
    </w:tbl>
    <w:p w:rsidR="00A067C6" w:rsidRDefault="005C4966">
      <w:pPr>
        <w:pStyle w:val="3"/>
        <w:spacing w:line="280" w:lineRule="exact"/>
        <w:jc w:val="left"/>
        <w:rPr>
          <w:rFonts w:ascii="宋体" w:hAnsi="宋体" w:cs="宋体"/>
          <w:b/>
          <w:bCs/>
        </w:rPr>
      </w:pPr>
      <w:bookmarkStart w:id="142" w:name="_Toc989030"/>
      <w:r>
        <w:rPr>
          <w:rFonts w:ascii="宋体" w:hAnsi="宋体" w:cs="宋体"/>
          <w:b/>
          <w:bCs/>
        </w:rPr>
        <w:t>22</w:t>
      </w:r>
      <w:r>
        <w:rPr>
          <w:rFonts w:ascii="宋体" w:hAnsi="宋体" w:cs="宋体"/>
          <w:b/>
          <w:bCs/>
        </w:rPr>
        <w:t>、长期股权投资</w:t>
      </w:r>
      <w:bookmarkEnd w:id="142"/>
    </w:p>
    <w:p w:rsidR="00A067C6" w:rsidRDefault="005C4966">
      <w:pPr>
        <w:widowControl/>
        <w:numPr>
          <w:ilvl w:val="1"/>
          <w:numId w:val="11"/>
        </w:numPr>
        <w:tabs>
          <w:tab w:val="clear" w:pos="1440"/>
          <w:tab w:val="left" w:pos="426"/>
        </w:tabs>
        <w:ind w:left="0" w:firstLine="425"/>
        <w:rPr>
          <w:sz w:val="18"/>
          <w:szCs w:val="18"/>
        </w:rPr>
      </w:pPr>
      <w:r>
        <w:rPr>
          <w:rFonts w:hint="eastAsia"/>
          <w:sz w:val="18"/>
          <w:szCs w:val="18"/>
        </w:rPr>
        <w:t>初始投资成本的确定</w:t>
      </w:r>
    </w:p>
    <w:p w:rsidR="00A067C6" w:rsidRDefault="005C4966">
      <w:pPr>
        <w:pStyle w:val="a6"/>
        <w:tabs>
          <w:tab w:val="left" w:pos="1134"/>
        </w:tabs>
        <w:spacing w:before="0" w:beforeAutospacing="0" w:after="0" w:afterAutospacing="0"/>
        <w:ind w:firstLine="426"/>
        <w:jc w:val="both"/>
      </w:pPr>
      <w:r>
        <w:rPr>
          <w:rFonts w:hint="eastAsia"/>
          <w:sz w:val="18"/>
          <w:szCs w:val="18"/>
        </w:rPr>
        <w:t>（</w:t>
      </w:r>
      <w:r>
        <w:rPr>
          <w:rFonts w:ascii="Times New Roman" w:hAnsi="Times New Roman" w:cs="Times New Roman"/>
          <w:sz w:val="18"/>
          <w:szCs w:val="18"/>
        </w:rPr>
        <w:t>1</w:t>
      </w:r>
      <w:r>
        <w:rPr>
          <w:rFonts w:hint="eastAsia"/>
          <w:sz w:val="18"/>
          <w:szCs w:val="18"/>
        </w:rPr>
        <w:t>）企业合并形成的长期股权投资，具体会计政策详见本附注（五）同一控制下和非同一控制下企业合并的会计处理方法。</w:t>
      </w:r>
    </w:p>
    <w:p w:rsidR="00A067C6" w:rsidRDefault="005C4966">
      <w:pPr>
        <w:pStyle w:val="a6"/>
        <w:tabs>
          <w:tab w:val="left" w:pos="1134"/>
        </w:tabs>
        <w:spacing w:before="0" w:beforeAutospacing="0" w:after="0" w:afterAutospacing="0"/>
        <w:ind w:firstLine="426"/>
        <w:jc w:val="both"/>
      </w:pPr>
      <w:r>
        <w:rPr>
          <w:rFonts w:hint="eastAsia"/>
          <w:sz w:val="18"/>
          <w:szCs w:val="18"/>
        </w:rPr>
        <w:t>（</w:t>
      </w:r>
      <w:r>
        <w:rPr>
          <w:rFonts w:hint="eastAsia"/>
          <w:sz w:val="18"/>
          <w:szCs w:val="18"/>
        </w:rPr>
        <w:t>2</w:t>
      </w:r>
      <w:r>
        <w:rPr>
          <w:rFonts w:hint="eastAsia"/>
          <w:sz w:val="18"/>
          <w:szCs w:val="18"/>
        </w:rPr>
        <w:t>）其他方式取得的长期股权投资</w:t>
      </w:r>
    </w:p>
    <w:p w:rsidR="00A067C6" w:rsidRDefault="005C4966">
      <w:pPr>
        <w:pStyle w:val="a6"/>
        <w:tabs>
          <w:tab w:val="left" w:pos="1134"/>
        </w:tabs>
        <w:spacing w:before="0" w:beforeAutospacing="0" w:after="0" w:afterAutospacing="0"/>
        <w:ind w:firstLine="426"/>
        <w:jc w:val="both"/>
      </w:pPr>
      <w:r>
        <w:rPr>
          <w:rFonts w:hint="eastAsia"/>
          <w:sz w:val="18"/>
          <w:szCs w:val="18"/>
        </w:rPr>
        <w:t>以支付现金方式取得的长期股权投资，按照实际支付的购买价款作为初始投资成本。初始投资成本包括与取得长期股权投资直接相关的费用、税金及其他必要支出。</w:t>
      </w:r>
    </w:p>
    <w:p w:rsidR="00A067C6" w:rsidRDefault="005C4966">
      <w:pPr>
        <w:pStyle w:val="a6"/>
        <w:tabs>
          <w:tab w:val="left" w:pos="1134"/>
        </w:tabs>
        <w:spacing w:before="0" w:beforeAutospacing="0" w:after="0" w:afterAutospacing="0"/>
        <w:ind w:firstLine="426"/>
        <w:jc w:val="both"/>
      </w:pPr>
      <w:r>
        <w:rPr>
          <w:rFonts w:hint="eastAsia"/>
          <w:sz w:val="18"/>
          <w:szCs w:val="18"/>
        </w:rPr>
        <w:t>以发行权益性证券取得的长期股权投资，按照发行权益性证券的公允价值作为初始投资成本；发行或取得自身权益工具时发生的交易费用，可直接归属于权益性交易的从权益中扣减。</w:t>
      </w:r>
    </w:p>
    <w:p w:rsidR="00A067C6" w:rsidRDefault="005C4966">
      <w:pPr>
        <w:pStyle w:val="a6"/>
        <w:tabs>
          <w:tab w:val="left" w:pos="1134"/>
        </w:tabs>
        <w:spacing w:before="0" w:beforeAutospacing="0" w:after="0" w:afterAutospacing="0"/>
        <w:ind w:firstLine="426"/>
        <w:jc w:val="both"/>
      </w:pPr>
      <w:r>
        <w:rPr>
          <w:rFonts w:hint="eastAsia"/>
          <w:sz w:val="18"/>
          <w:szCs w:val="18"/>
        </w:rPr>
        <w:t>在非货币性资产交换具备商业实质和换入资产或换出资产的公允价值能够可靠计量的前提下，非货币性资产交换换入的长期股权投资以换出资产的公允价值为基础确定其初始投资成本，除非有确凿证据表明换入资产的公允价值更加可靠；不满足上述前提的非货币性资产交换，以换出资产的账面价值和应支付的相关税费作为换入长期股权投资的初始投资成本。</w:t>
      </w:r>
    </w:p>
    <w:p w:rsidR="00A067C6" w:rsidRDefault="005C4966">
      <w:pPr>
        <w:pStyle w:val="a6"/>
        <w:tabs>
          <w:tab w:val="left" w:pos="1134"/>
        </w:tabs>
        <w:spacing w:before="0" w:beforeAutospacing="0" w:after="0" w:afterAutospacing="0"/>
        <w:ind w:firstLine="426"/>
        <w:jc w:val="both"/>
      </w:pPr>
      <w:r>
        <w:rPr>
          <w:rFonts w:hint="eastAsia"/>
          <w:sz w:val="18"/>
          <w:szCs w:val="18"/>
        </w:rPr>
        <w:t>通过债务重组取得的长期股权投资，其初始投资成本按照公允价值为基础确定。</w:t>
      </w:r>
    </w:p>
    <w:p w:rsidR="00A067C6" w:rsidRDefault="005C4966">
      <w:pPr>
        <w:widowControl/>
        <w:numPr>
          <w:ilvl w:val="1"/>
          <w:numId w:val="11"/>
        </w:numPr>
        <w:tabs>
          <w:tab w:val="clear" w:pos="1440"/>
          <w:tab w:val="left" w:pos="426"/>
        </w:tabs>
        <w:ind w:left="0" w:firstLine="425"/>
        <w:rPr>
          <w:sz w:val="18"/>
          <w:szCs w:val="18"/>
        </w:rPr>
      </w:pPr>
      <w:r>
        <w:rPr>
          <w:rFonts w:hint="eastAsia"/>
          <w:sz w:val="18"/>
          <w:szCs w:val="18"/>
        </w:rPr>
        <w:t>后续计量及损益确认</w:t>
      </w:r>
    </w:p>
    <w:p w:rsidR="00A067C6" w:rsidRDefault="005C4966">
      <w:pPr>
        <w:pStyle w:val="a6"/>
        <w:tabs>
          <w:tab w:val="left" w:pos="1134"/>
        </w:tabs>
        <w:spacing w:before="0" w:beforeAutospacing="0" w:after="0" w:afterAutospacing="0"/>
        <w:ind w:firstLine="426"/>
        <w:jc w:val="both"/>
      </w:pPr>
      <w:r>
        <w:rPr>
          <w:rFonts w:hint="eastAsia"/>
          <w:sz w:val="18"/>
          <w:szCs w:val="18"/>
        </w:rPr>
        <w:t>（</w:t>
      </w:r>
      <w:r>
        <w:rPr>
          <w:rFonts w:hint="eastAsia"/>
          <w:sz w:val="18"/>
          <w:szCs w:val="18"/>
        </w:rPr>
        <w:t>1</w:t>
      </w:r>
      <w:r>
        <w:rPr>
          <w:rFonts w:hint="eastAsia"/>
          <w:sz w:val="18"/>
          <w:szCs w:val="18"/>
        </w:rPr>
        <w:t>）成本法</w:t>
      </w:r>
    </w:p>
    <w:p w:rsidR="00A067C6" w:rsidRDefault="005C4966">
      <w:pPr>
        <w:pStyle w:val="a6"/>
        <w:tabs>
          <w:tab w:val="left" w:pos="1134"/>
        </w:tabs>
        <w:spacing w:before="0" w:beforeAutospacing="0" w:after="0" w:afterAutospacing="0"/>
        <w:ind w:firstLine="426"/>
        <w:jc w:val="both"/>
      </w:pPr>
      <w:r>
        <w:rPr>
          <w:rFonts w:hint="eastAsia"/>
          <w:sz w:val="18"/>
          <w:szCs w:val="18"/>
        </w:rPr>
        <w:t>本公司能够对被投资单位实施控制的长期股权投资采用成本法核算，并按照初始投资成本计价，追加</w:t>
      </w:r>
      <w:r>
        <w:rPr>
          <w:rFonts w:hint="eastAsia"/>
          <w:sz w:val="18"/>
          <w:szCs w:val="18"/>
        </w:rPr>
        <w:t>或收回投资调整长期股权投资的成本。</w:t>
      </w:r>
    </w:p>
    <w:p w:rsidR="00A067C6" w:rsidRDefault="005C4966">
      <w:pPr>
        <w:pStyle w:val="a6"/>
        <w:tabs>
          <w:tab w:val="left" w:pos="1134"/>
        </w:tabs>
        <w:spacing w:before="0" w:beforeAutospacing="0" w:after="0" w:afterAutospacing="0"/>
        <w:ind w:firstLine="426"/>
        <w:jc w:val="both"/>
      </w:pPr>
      <w:r>
        <w:rPr>
          <w:rFonts w:hint="eastAsia"/>
          <w:sz w:val="18"/>
          <w:szCs w:val="18"/>
        </w:rPr>
        <w:t>除取得投资时实际支付的价款或对价中包含的已宣告但尚未发放的现金股利或利润外，本公司按照享有被投资单位宣告分派的现金股利或利润确认为当期投资收益。</w:t>
      </w:r>
    </w:p>
    <w:p w:rsidR="00A067C6" w:rsidRDefault="005C4966">
      <w:pPr>
        <w:pStyle w:val="a6"/>
        <w:tabs>
          <w:tab w:val="left" w:pos="1134"/>
        </w:tabs>
        <w:spacing w:before="0" w:beforeAutospacing="0" w:after="0" w:afterAutospacing="0"/>
        <w:ind w:firstLine="426"/>
        <w:jc w:val="both"/>
      </w:pPr>
      <w:r>
        <w:rPr>
          <w:rFonts w:hint="eastAsia"/>
          <w:sz w:val="18"/>
          <w:szCs w:val="18"/>
        </w:rPr>
        <w:t>（</w:t>
      </w:r>
      <w:r>
        <w:rPr>
          <w:rFonts w:hint="eastAsia"/>
          <w:sz w:val="18"/>
          <w:szCs w:val="18"/>
        </w:rPr>
        <w:t>2</w:t>
      </w:r>
      <w:r>
        <w:rPr>
          <w:rFonts w:hint="eastAsia"/>
          <w:sz w:val="18"/>
          <w:szCs w:val="18"/>
        </w:rPr>
        <w:t>）权益法</w:t>
      </w:r>
    </w:p>
    <w:p w:rsidR="00A067C6" w:rsidRDefault="005C4966">
      <w:pPr>
        <w:pStyle w:val="a6"/>
        <w:tabs>
          <w:tab w:val="left" w:pos="1134"/>
        </w:tabs>
        <w:spacing w:before="0" w:beforeAutospacing="0" w:after="0" w:afterAutospacing="0"/>
        <w:ind w:firstLine="426"/>
        <w:jc w:val="both"/>
      </w:pPr>
      <w:r>
        <w:rPr>
          <w:rFonts w:hint="eastAsia"/>
          <w:sz w:val="18"/>
          <w:szCs w:val="18"/>
        </w:rPr>
        <w:t>本公司对联营企业和合营企业的长期股权投资采用权益法核算；对于其中一部分通过风险投资机构、共同基金、信托公司或包括投连险基金在内的类似主体间接持有的联营企业的权益性投资，采用公允价值计量且其变动计入损益。</w:t>
      </w:r>
    </w:p>
    <w:p w:rsidR="00A067C6" w:rsidRDefault="005C4966">
      <w:pPr>
        <w:pStyle w:val="a6"/>
        <w:tabs>
          <w:tab w:val="left" w:pos="1134"/>
        </w:tabs>
        <w:spacing w:before="0" w:beforeAutospacing="0" w:after="0" w:afterAutospacing="0"/>
        <w:ind w:firstLine="426"/>
        <w:jc w:val="both"/>
      </w:pPr>
      <w:r>
        <w:rPr>
          <w:rFonts w:hint="eastAsia"/>
          <w:sz w:val="18"/>
          <w:szCs w:val="18"/>
        </w:rPr>
        <w:t>长期股权投资的初始投资成本大于投资时应享有被投资单位可辨认净资产公允价值份额的差额，不调整长期股权投资的初始投资成本；初始投资成本小于投资时应享有被投资单位可辨认净资产公允价值份额的差额，计入当期损益。</w:t>
      </w:r>
    </w:p>
    <w:p w:rsidR="00A067C6" w:rsidRDefault="005C4966">
      <w:pPr>
        <w:pStyle w:val="a6"/>
        <w:tabs>
          <w:tab w:val="left" w:pos="1134"/>
        </w:tabs>
        <w:spacing w:before="0" w:beforeAutospacing="0" w:after="0" w:afterAutospacing="0"/>
        <w:ind w:firstLine="426"/>
        <w:jc w:val="both"/>
      </w:pPr>
      <w:r>
        <w:rPr>
          <w:rFonts w:hint="eastAsia"/>
          <w:sz w:val="18"/>
          <w:szCs w:val="18"/>
        </w:rPr>
        <w:t>本公司取得长期股权投资后，按照应享有或应分担的被投资单位实现的净损益和其他综合收益的份额，分别确认投资收益和其他综合收益，同时调整长期股权投资的账面价值；并按照被投资单位宣告分派的利润或现金股利计算应享有的部分，相应减少长期股权投资的账面价值；对于被投资单位除净损益、其他综合收益和利润分配以外所有者权益的其</w:t>
      </w:r>
      <w:r>
        <w:rPr>
          <w:rFonts w:hint="eastAsia"/>
          <w:sz w:val="18"/>
          <w:szCs w:val="18"/>
        </w:rPr>
        <w:t>他变动，调整长期股权投资的账面价值并计入所有者权益。</w:t>
      </w:r>
    </w:p>
    <w:p w:rsidR="00A067C6" w:rsidRDefault="005C4966">
      <w:pPr>
        <w:pStyle w:val="a6"/>
        <w:tabs>
          <w:tab w:val="left" w:pos="1134"/>
        </w:tabs>
        <w:spacing w:before="0" w:beforeAutospacing="0" w:after="0" w:afterAutospacing="0"/>
        <w:ind w:firstLine="426"/>
        <w:jc w:val="both"/>
      </w:pPr>
      <w:r>
        <w:rPr>
          <w:rFonts w:hint="eastAsia"/>
          <w:sz w:val="18"/>
          <w:szCs w:val="18"/>
        </w:rPr>
        <w:t>本公司在确认应享有被投资单位净损益的份额时，以取得投资时被投资单位各项可辨认资产等的公允价值为基础，对被投资单位的净利润进行调整后确认。本公司与联营企业、合营企业之间发生的未实现内部交易损益按照应享有的比例计算归属于本公司的部分予以抵销，在此基础上确认投资损益。</w:t>
      </w:r>
    </w:p>
    <w:p w:rsidR="00A067C6" w:rsidRDefault="005C4966">
      <w:pPr>
        <w:pStyle w:val="a6"/>
        <w:tabs>
          <w:tab w:val="left" w:pos="1134"/>
        </w:tabs>
        <w:spacing w:before="0" w:beforeAutospacing="0" w:after="0" w:afterAutospacing="0"/>
        <w:ind w:firstLine="426"/>
        <w:jc w:val="both"/>
      </w:pPr>
      <w:r>
        <w:rPr>
          <w:rFonts w:hint="eastAsia"/>
          <w:sz w:val="18"/>
          <w:szCs w:val="18"/>
        </w:rPr>
        <w:t>本公司确认应分担被投资单位发生的亏损时，按照以下顺序进行处理：首先，冲减长期股权投资的账面价值。其次，长期股权投资的账面价值不足以冲减的，以其他实质上构成对被投资单位净投资的长期权益账面价值为限</w:t>
      </w:r>
      <w:r>
        <w:rPr>
          <w:rFonts w:hint="eastAsia"/>
          <w:sz w:val="18"/>
          <w:szCs w:val="18"/>
        </w:rPr>
        <w:t>继续确认投资损失，冲减长期应收项目等的账面价值。最后，经过上述处理，按照投资合同或协议约定企业仍承担额外义务的，按预计承担的义务确认预计负债，计入当期投资损失。</w:t>
      </w:r>
    </w:p>
    <w:p w:rsidR="00A067C6" w:rsidRDefault="005C4966">
      <w:pPr>
        <w:pStyle w:val="a6"/>
        <w:tabs>
          <w:tab w:val="left" w:pos="1134"/>
        </w:tabs>
        <w:spacing w:before="0" w:beforeAutospacing="0" w:after="0" w:afterAutospacing="0"/>
        <w:ind w:firstLine="426"/>
        <w:jc w:val="both"/>
      </w:pPr>
      <w:r>
        <w:rPr>
          <w:rFonts w:hint="eastAsia"/>
          <w:sz w:val="18"/>
          <w:szCs w:val="18"/>
        </w:rPr>
        <w:t>被投资单位以后期间实现盈利的，公司在扣除未确认的亏损分担额后，按与上述相反的顺序处理，减记已确认预计负债的账面余额、恢复其他实质上构成对被投资单位净投资的长期权益及长期股权投资的账面价值后，恢复确认投资收益。</w:t>
      </w:r>
    </w:p>
    <w:p w:rsidR="00A067C6" w:rsidRDefault="005C4966">
      <w:pPr>
        <w:widowControl/>
        <w:numPr>
          <w:ilvl w:val="1"/>
          <w:numId w:val="11"/>
        </w:numPr>
        <w:tabs>
          <w:tab w:val="clear" w:pos="1440"/>
          <w:tab w:val="left" w:pos="426"/>
        </w:tabs>
        <w:ind w:left="0" w:firstLine="425"/>
        <w:rPr>
          <w:sz w:val="18"/>
          <w:szCs w:val="18"/>
        </w:rPr>
      </w:pPr>
      <w:r>
        <w:rPr>
          <w:rFonts w:hint="eastAsia"/>
          <w:sz w:val="18"/>
          <w:szCs w:val="18"/>
        </w:rPr>
        <w:t> </w:t>
      </w:r>
      <w:r>
        <w:rPr>
          <w:rFonts w:hint="eastAsia"/>
          <w:sz w:val="18"/>
          <w:szCs w:val="18"/>
        </w:rPr>
        <w:t>长期股权投资核算方法的转换</w:t>
      </w:r>
    </w:p>
    <w:p w:rsidR="00A067C6" w:rsidRDefault="005C4966">
      <w:pPr>
        <w:widowControl/>
        <w:tabs>
          <w:tab w:val="left" w:pos="1134"/>
        </w:tabs>
        <w:ind w:firstLine="425"/>
        <w:rPr>
          <w:sz w:val="18"/>
          <w:szCs w:val="18"/>
        </w:rPr>
      </w:pPr>
      <w:r>
        <w:rPr>
          <w:rFonts w:hint="eastAsia"/>
          <w:sz w:val="18"/>
          <w:szCs w:val="18"/>
        </w:rPr>
        <w:t>公允价值计量转权益法核算</w:t>
      </w:r>
    </w:p>
    <w:p w:rsidR="00A067C6" w:rsidRDefault="005C4966">
      <w:pPr>
        <w:pStyle w:val="a6"/>
        <w:tabs>
          <w:tab w:val="left" w:pos="1134"/>
        </w:tabs>
        <w:spacing w:before="0" w:beforeAutospacing="0" w:after="0" w:afterAutospacing="0"/>
        <w:ind w:firstLine="426"/>
        <w:jc w:val="both"/>
      </w:pPr>
      <w:r>
        <w:rPr>
          <w:rFonts w:hint="eastAsia"/>
          <w:sz w:val="18"/>
          <w:szCs w:val="18"/>
        </w:rPr>
        <w:t>本公司原持有的对被投资单位不具有控制、共同控制或重大影响的按金融工具确认和计量准则进</w:t>
      </w:r>
      <w:r>
        <w:rPr>
          <w:rFonts w:hint="eastAsia"/>
          <w:sz w:val="18"/>
          <w:szCs w:val="18"/>
        </w:rPr>
        <w:t>行会计处理的权益性投资，因追加投资等原因能够对被投资单位施加重大影响或实施共同控制但不构成控制的，按照《企业会计准则第</w:t>
      </w:r>
      <w:r>
        <w:rPr>
          <w:rFonts w:hint="eastAsia"/>
          <w:sz w:val="18"/>
          <w:szCs w:val="18"/>
        </w:rPr>
        <w:t>22</w:t>
      </w:r>
      <w:r>
        <w:rPr>
          <w:rFonts w:hint="eastAsia"/>
          <w:sz w:val="18"/>
          <w:szCs w:val="18"/>
        </w:rPr>
        <w:t>号——金融工具确认和计量》确定的原持有的股权投资的公允价值加上新增投资成本之和，作为改按权益法核算的初始投资成本。</w:t>
      </w:r>
    </w:p>
    <w:p w:rsidR="00A067C6" w:rsidRDefault="005C4966">
      <w:pPr>
        <w:pStyle w:val="a6"/>
        <w:tabs>
          <w:tab w:val="left" w:pos="1134"/>
        </w:tabs>
        <w:spacing w:before="0" w:beforeAutospacing="0" w:after="0" w:afterAutospacing="0"/>
        <w:ind w:firstLine="426"/>
        <w:jc w:val="both"/>
      </w:pPr>
      <w:r>
        <w:rPr>
          <w:rFonts w:hint="eastAsia"/>
          <w:sz w:val="18"/>
          <w:szCs w:val="18"/>
        </w:rPr>
        <w:t>按权益法核算的初始投资成本小于按照追加投资后全新的持股比例计算确定的应享有被投资单位在追加投资日可辨认净资产公允价值份额之间的差额，调整长期股权投资的账面价值，并计入当期营业外收入。</w:t>
      </w:r>
    </w:p>
    <w:p w:rsidR="00A067C6" w:rsidRDefault="005C4966">
      <w:pPr>
        <w:widowControl/>
        <w:tabs>
          <w:tab w:val="left" w:pos="1134"/>
        </w:tabs>
        <w:ind w:firstLine="425"/>
        <w:rPr>
          <w:sz w:val="18"/>
          <w:szCs w:val="18"/>
        </w:rPr>
      </w:pPr>
      <w:r>
        <w:rPr>
          <w:rFonts w:hint="eastAsia"/>
          <w:sz w:val="18"/>
          <w:szCs w:val="18"/>
        </w:rPr>
        <w:t>公允价值计量或权益法核算转成本法核算</w:t>
      </w:r>
    </w:p>
    <w:p w:rsidR="00A067C6" w:rsidRDefault="005C4966">
      <w:pPr>
        <w:pStyle w:val="a6"/>
        <w:tabs>
          <w:tab w:val="left" w:pos="1134"/>
        </w:tabs>
        <w:spacing w:before="0" w:beforeAutospacing="0" w:after="0" w:afterAutospacing="0"/>
        <w:ind w:firstLine="426"/>
        <w:jc w:val="both"/>
      </w:pPr>
      <w:r>
        <w:rPr>
          <w:rFonts w:hint="eastAsia"/>
          <w:sz w:val="18"/>
          <w:szCs w:val="18"/>
        </w:rPr>
        <w:t>本公司原持有的对被投资单位不具有控制、共同控制或重大</w:t>
      </w:r>
      <w:r>
        <w:rPr>
          <w:rFonts w:hint="eastAsia"/>
          <w:sz w:val="18"/>
          <w:szCs w:val="18"/>
        </w:rPr>
        <w:t>影响的按金融工具确认和计量准则进行会计处理的权益性投资，或原持有对联营企业、合营企业的长期股权投资，因追加投资等原因能够对非同一控制下的被投资单位实施控制的，在编制个别财务报表时，按照原持有的股权投资账面价值加上新增投资成本之和，作为改按成本法核算的初始投资成本。</w:t>
      </w:r>
    </w:p>
    <w:p w:rsidR="00A067C6" w:rsidRDefault="005C4966">
      <w:pPr>
        <w:pStyle w:val="a6"/>
        <w:tabs>
          <w:tab w:val="left" w:pos="1134"/>
        </w:tabs>
        <w:spacing w:before="0" w:beforeAutospacing="0" w:after="0" w:afterAutospacing="0"/>
        <w:ind w:firstLine="426"/>
        <w:jc w:val="both"/>
      </w:pPr>
      <w:r>
        <w:rPr>
          <w:rFonts w:hint="eastAsia"/>
          <w:sz w:val="18"/>
          <w:szCs w:val="18"/>
        </w:rPr>
        <w:t>购买日之前持有的股权投资因采用权益法核算而确认的其他综合收益，在处置该项投资时采用与被投资单位直接处置相关资产或负债相同的基础进行会计处理。</w:t>
      </w:r>
    </w:p>
    <w:p w:rsidR="00A067C6" w:rsidRDefault="005C4966">
      <w:pPr>
        <w:pStyle w:val="a6"/>
        <w:tabs>
          <w:tab w:val="left" w:pos="1134"/>
        </w:tabs>
        <w:spacing w:before="0" w:beforeAutospacing="0" w:after="0" w:afterAutospacing="0"/>
        <w:ind w:firstLine="426"/>
        <w:jc w:val="both"/>
      </w:pPr>
      <w:r>
        <w:rPr>
          <w:rFonts w:hint="eastAsia"/>
          <w:sz w:val="18"/>
          <w:szCs w:val="18"/>
        </w:rPr>
        <w:t>购买日之前持有的股权投资按照《企业会计准则第</w:t>
      </w:r>
      <w:r>
        <w:rPr>
          <w:rFonts w:hint="eastAsia"/>
          <w:sz w:val="18"/>
          <w:szCs w:val="18"/>
        </w:rPr>
        <w:t>22</w:t>
      </w:r>
      <w:r>
        <w:rPr>
          <w:rFonts w:hint="eastAsia"/>
          <w:sz w:val="18"/>
          <w:szCs w:val="18"/>
        </w:rPr>
        <w:t>号——金融工具确认和计量》的有关规定进行会计处理的，原计</w:t>
      </w:r>
      <w:r>
        <w:rPr>
          <w:rFonts w:hint="eastAsia"/>
          <w:sz w:val="18"/>
          <w:szCs w:val="18"/>
        </w:rPr>
        <w:t>入其他综合收益的累计公允价值变动在改按成本法核算时转入当期损益。</w:t>
      </w:r>
    </w:p>
    <w:p w:rsidR="00A067C6" w:rsidRDefault="005C4966">
      <w:pPr>
        <w:widowControl/>
        <w:tabs>
          <w:tab w:val="left" w:pos="1134"/>
        </w:tabs>
        <w:ind w:firstLine="425"/>
        <w:rPr>
          <w:sz w:val="18"/>
          <w:szCs w:val="18"/>
        </w:rPr>
      </w:pPr>
      <w:r>
        <w:rPr>
          <w:rFonts w:hint="eastAsia"/>
          <w:sz w:val="18"/>
          <w:szCs w:val="18"/>
        </w:rPr>
        <w:t>权益法核算转公允价值计量</w:t>
      </w:r>
    </w:p>
    <w:p w:rsidR="00A067C6" w:rsidRDefault="005C4966">
      <w:pPr>
        <w:pStyle w:val="a6"/>
        <w:tabs>
          <w:tab w:val="left" w:pos="1134"/>
        </w:tabs>
        <w:spacing w:before="0" w:beforeAutospacing="0" w:after="0" w:afterAutospacing="0"/>
        <w:ind w:firstLine="426"/>
        <w:jc w:val="both"/>
      </w:pPr>
      <w:r>
        <w:rPr>
          <w:rFonts w:hint="eastAsia"/>
          <w:sz w:val="18"/>
          <w:szCs w:val="18"/>
        </w:rPr>
        <w:t>本公司因处置部分股权投资等原因丧失了对被投资单位的共同控制或重大影响的，处置后的剩余股权改按《企业会计准则第</w:t>
      </w:r>
      <w:r>
        <w:rPr>
          <w:rFonts w:hint="eastAsia"/>
          <w:sz w:val="18"/>
          <w:szCs w:val="18"/>
        </w:rPr>
        <w:t>22</w:t>
      </w:r>
      <w:r>
        <w:rPr>
          <w:rFonts w:hint="eastAsia"/>
          <w:sz w:val="18"/>
          <w:szCs w:val="18"/>
        </w:rPr>
        <w:t>号——金融工具确认和计量》核算，其在丧失共同控制或重大影响之日的公允价值与账面价值之间的差额计入当期损益。</w:t>
      </w:r>
    </w:p>
    <w:p w:rsidR="00A067C6" w:rsidRDefault="005C4966">
      <w:pPr>
        <w:pStyle w:val="a6"/>
        <w:tabs>
          <w:tab w:val="left" w:pos="1134"/>
        </w:tabs>
        <w:spacing w:before="0" w:beforeAutospacing="0" w:after="0" w:afterAutospacing="0"/>
        <w:ind w:firstLine="426"/>
        <w:jc w:val="both"/>
      </w:pPr>
      <w:r>
        <w:rPr>
          <w:rFonts w:hint="eastAsia"/>
          <w:sz w:val="18"/>
          <w:szCs w:val="18"/>
        </w:rPr>
        <w:t>原股权投资因采用权益法核算而确认的其他综合收益，在终止采用权益法核算时采用与被投资单位直接处置相关资产或负债相同的基础进行会计处理。</w:t>
      </w:r>
    </w:p>
    <w:p w:rsidR="00A067C6" w:rsidRDefault="005C4966">
      <w:pPr>
        <w:widowControl/>
        <w:tabs>
          <w:tab w:val="left" w:pos="1134"/>
        </w:tabs>
        <w:ind w:firstLine="425"/>
        <w:rPr>
          <w:sz w:val="18"/>
          <w:szCs w:val="18"/>
        </w:rPr>
      </w:pPr>
      <w:r>
        <w:rPr>
          <w:rFonts w:hint="eastAsia"/>
          <w:sz w:val="18"/>
          <w:szCs w:val="18"/>
        </w:rPr>
        <w:t>成本法转权益法</w:t>
      </w:r>
    </w:p>
    <w:p w:rsidR="00A067C6" w:rsidRDefault="005C4966">
      <w:pPr>
        <w:pStyle w:val="a6"/>
        <w:tabs>
          <w:tab w:val="left" w:pos="1134"/>
        </w:tabs>
        <w:spacing w:before="0" w:beforeAutospacing="0" w:after="0" w:afterAutospacing="0"/>
        <w:ind w:firstLine="426"/>
        <w:jc w:val="both"/>
      </w:pPr>
      <w:r>
        <w:rPr>
          <w:rFonts w:hint="eastAsia"/>
          <w:sz w:val="18"/>
          <w:szCs w:val="18"/>
        </w:rPr>
        <w:t>本公司因处置部分权益性投资等原因丧失了对被投资单位</w:t>
      </w:r>
      <w:r>
        <w:rPr>
          <w:rFonts w:hint="eastAsia"/>
          <w:sz w:val="18"/>
          <w:szCs w:val="18"/>
        </w:rPr>
        <w:t>的控制的，在编制个别财务报表时，处置后的剩余股权能够对被投资单位实施共同控制或施加重大影响的，改按权益法核算，并对该剩余股权视同自取得时即采用权益法核算进行调整。</w:t>
      </w:r>
    </w:p>
    <w:p w:rsidR="00A067C6" w:rsidRDefault="005C4966">
      <w:pPr>
        <w:widowControl/>
        <w:tabs>
          <w:tab w:val="left" w:pos="1134"/>
        </w:tabs>
        <w:ind w:firstLine="425"/>
        <w:rPr>
          <w:sz w:val="18"/>
          <w:szCs w:val="18"/>
        </w:rPr>
      </w:pPr>
      <w:r>
        <w:rPr>
          <w:rFonts w:hint="eastAsia"/>
          <w:sz w:val="18"/>
          <w:szCs w:val="18"/>
        </w:rPr>
        <w:t>成本法转公允价值计量</w:t>
      </w:r>
    </w:p>
    <w:p w:rsidR="00A067C6" w:rsidRDefault="005C4966">
      <w:pPr>
        <w:pStyle w:val="a6"/>
        <w:tabs>
          <w:tab w:val="left" w:pos="1134"/>
        </w:tabs>
        <w:spacing w:before="0" w:beforeAutospacing="0" w:after="0" w:afterAutospacing="0"/>
        <w:ind w:firstLine="426"/>
        <w:jc w:val="both"/>
      </w:pPr>
      <w:r>
        <w:rPr>
          <w:rFonts w:hint="eastAsia"/>
          <w:sz w:val="18"/>
          <w:szCs w:val="18"/>
        </w:rPr>
        <w:t>本公司因处置部分权益性投资等原因丧失了对被投资单位的控制的，在编制个别财务报表时，处置后的剩余股权不能对被投资单位实施共同控制或施加重大影响的，改按《企业会计准则第</w:t>
      </w:r>
      <w:r>
        <w:rPr>
          <w:rFonts w:hint="eastAsia"/>
          <w:sz w:val="18"/>
          <w:szCs w:val="18"/>
        </w:rPr>
        <w:t>22</w:t>
      </w:r>
      <w:r>
        <w:rPr>
          <w:rFonts w:hint="eastAsia"/>
          <w:sz w:val="18"/>
          <w:szCs w:val="18"/>
        </w:rPr>
        <w:t>号——金融工具确认和计量》的有关规定进行会计处理，其在丧失控制之日的公允价值与账面价值间的差额计入当期损益。</w:t>
      </w:r>
    </w:p>
    <w:p w:rsidR="00A067C6" w:rsidRDefault="005C4966">
      <w:pPr>
        <w:widowControl/>
        <w:numPr>
          <w:ilvl w:val="1"/>
          <w:numId w:val="11"/>
        </w:numPr>
        <w:tabs>
          <w:tab w:val="clear" w:pos="1440"/>
          <w:tab w:val="left" w:pos="426"/>
        </w:tabs>
        <w:ind w:left="0" w:firstLine="425"/>
        <w:rPr>
          <w:sz w:val="18"/>
          <w:szCs w:val="18"/>
        </w:rPr>
      </w:pPr>
      <w:r>
        <w:rPr>
          <w:rFonts w:hint="eastAsia"/>
          <w:sz w:val="18"/>
          <w:szCs w:val="18"/>
        </w:rPr>
        <w:t>长期股权投资的处置</w:t>
      </w:r>
    </w:p>
    <w:p w:rsidR="00A067C6" w:rsidRDefault="005C4966">
      <w:pPr>
        <w:pStyle w:val="a6"/>
        <w:tabs>
          <w:tab w:val="left" w:pos="1134"/>
        </w:tabs>
        <w:spacing w:before="0" w:beforeAutospacing="0" w:after="0" w:afterAutospacing="0"/>
        <w:ind w:firstLine="426"/>
        <w:jc w:val="both"/>
      </w:pPr>
      <w:r>
        <w:rPr>
          <w:rFonts w:hint="eastAsia"/>
          <w:sz w:val="18"/>
          <w:szCs w:val="18"/>
        </w:rPr>
        <w:t>处置长期股权投资，其账面价值与实际取得价款之间的差额，应当计入当期损益。采用权益法核算的长期股权投资，在处置该项投资时，采用与被投资单位直接处置相关资产或负债相同的基础，按相应比例对原计入其他综合收益的部分进行会计处理。</w:t>
      </w:r>
    </w:p>
    <w:p w:rsidR="00A067C6" w:rsidRDefault="005C4966">
      <w:pPr>
        <w:pStyle w:val="a6"/>
        <w:tabs>
          <w:tab w:val="left" w:pos="1134"/>
        </w:tabs>
        <w:spacing w:before="0" w:beforeAutospacing="0" w:after="0" w:afterAutospacing="0"/>
        <w:ind w:firstLine="426"/>
        <w:jc w:val="both"/>
      </w:pPr>
      <w:r>
        <w:rPr>
          <w:rFonts w:hint="eastAsia"/>
          <w:sz w:val="18"/>
          <w:szCs w:val="18"/>
        </w:rPr>
        <w:t>处置对子公司股权投资的各项交易的条款、条件以及经济影响符合以下一种或多种情况，将多次交易事项作为一揽子交易进行会计处理：</w:t>
      </w:r>
    </w:p>
    <w:p w:rsidR="00A067C6" w:rsidRDefault="005C4966">
      <w:pPr>
        <w:widowControl/>
        <w:numPr>
          <w:ilvl w:val="1"/>
          <w:numId w:val="12"/>
        </w:numPr>
        <w:tabs>
          <w:tab w:val="clear" w:pos="1440"/>
          <w:tab w:val="left" w:pos="426"/>
        </w:tabs>
        <w:spacing w:before="100" w:beforeAutospacing="1" w:after="100" w:afterAutospacing="1"/>
        <w:ind w:left="0" w:firstLine="426"/>
        <w:rPr>
          <w:sz w:val="18"/>
          <w:szCs w:val="18"/>
        </w:rPr>
      </w:pPr>
      <w:r>
        <w:rPr>
          <w:rFonts w:hint="eastAsia"/>
          <w:sz w:val="18"/>
          <w:szCs w:val="18"/>
        </w:rPr>
        <w:t>这些交易是同时或者在考虑了彼此影响的情况下订立的；</w:t>
      </w:r>
    </w:p>
    <w:p w:rsidR="00A067C6" w:rsidRDefault="005C4966">
      <w:pPr>
        <w:widowControl/>
        <w:numPr>
          <w:ilvl w:val="1"/>
          <w:numId w:val="12"/>
        </w:numPr>
        <w:tabs>
          <w:tab w:val="clear" w:pos="1440"/>
          <w:tab w:val="left" w:pos="426"/>
        </w:tabs>
        <w:spacing w:before="100" w:beforeAutospacing="1" w:after="100" w:afterAutospacing="1"/>
        <w:ind w:left="0" w:firstLine="426"/>
        <w:rPr>
          <w:sz w:val="18"/>
          <w:szCs w:val="18"/>
        </w:rPr>
      </w:pPr>
      <w:r>
        <w:rPr>
          <w:rFonts w:hint="eastAsia"/>
          <w:sz w:val="18"/>
          <w:szCs w:val="18"/>
        </w:rPr>
        <w:t>这些交易整体才能达成一项完整的商业结果；</w:t>
      </w:r>
    </w:p>
    <w:p w:rsidR="00A067C6" w:rsidRDefault="005C4966">
      <w:pPr>
        <w:widowControl/>
        <w:numPr>
          <w:ilvl w:val="1"/>
          <w:numId w:val="12"/>
        </w:numPr>
        <w:tabs>
          <w:tab w:val="clear" w:pos="1440"/>
          <w:tab w:val="left" w:pos="426"/>
        </w:tabs>
        <w:spacing w:before="100" w:beforeAutospacing="1" w:after="100" w:afterAutospacing="1"/>
        <w:ind w:left="0" w:firstLine="426"/>
        <w:rPr>
          <w:sz w:val="18"/>
          <w:szCs w:val="18"/>
        </w:rPr>
      </w:pPr>
      <w:r>
        <w:rPr>
          <w:rFonts w:hint="eastAsia"/>
          <w:sz w:val="18"/>
          <w:szCs w:val="18"/>
        </w:rPr>
        <w:t>一项交易的发生取决于其他至少一项交易的发生；</w:t>
      </w:r>
    </w:p>
    <w:p w:rsidR="00A067C6" w:rsidRDefault="005C4966">
      <w:pPr>
        <w:widowControl/>
        <w:numPr>
          <w:ilvl w:val="1"/>
          <w:numId w:val="12"/>
        </w:numPr>
        <w:tabs>
          <w:tab w:val="clear" w:pos="1440"/>
          <w:tab w:val="left" w:pos="426"/>
        </w:tabs>
        <w:spacing w:before="100" w:beforeAutospacing="1" w:after="100" w:afterAutospacing="1"/>
        <w:ind w:left="0" w:firstLine="426"/>
        <w:rPr>
          <w:sz w:val="18"/>
          <w:szCs w:val="18"/>
        </w:rPr>
      </w:pPr>
      <w:r>
        <w:rPr>
          <w:rFonts w:hint="eastAsia"/>
          <w:sz w:val="18"/>
          <w:szCs w:val="18"/>
        </w:rPr>
        <w:t>一项交易单独看是不经济的，但</w:t>
      </w:r>
      <w:r>
        <w:rPr>
          <w:rFonts w:hint="eastAsia"/>
          <w:sz w:val="18"/>
          <w:szCs w:val="18"/>
        </w:rPr>
        <w:t>是和其他交易一并考虑时是经济的。</w:t>
      </w:r>
    </w:p>
    <w:p w:rsidR="00A067C6" w:rsidRDefault="005C4966">
      <w:pPr>
        <w:pStyle w:val="a6"/>
        <w:tabs>
          <w:tab w:val="left" w:pos="1134"/>
        </w:tabs>
        <w:spacing w:before="0" w:beforeAutospacing="0" w:after="0" w:afterAutospacing="0"/>
        <w:ind w:firstLine="426"/>
        <w:jc w:val="both"/>
      </w:pPr>
      <w:r>
        <w:rPr>
          <w:rFonts w:hint="eastAsia"/>
          <w:sz w:val="18"/>
          <w:szCs w:val="18"/>
        </w:rPr>
        <w:t>因处置部分股权投资或其他原因丧失了对原有子公司控制权的，不属于一揽子交易的，区分个别财务报表和合并财务报表进行相关会计处理：</w:t>
      </w:r>
    </w:p>
    <w:p w:rsidR="00A067C6" w:rsidRDefault="005C4966">
      <w:pPr>
        <w:pStyle w:val="a6"/>
        <w:tabs>
          <w:tab w:val="left" w:pos="1134"/>
        </w:tabs>
        <w:spacing w:before="0" w:beforeAutospacing="0" w:after="0" w:afterAutospacing="0"/>
        <w:ind w:firstLine="426"/>
        <w:jc w:val="both"/>
      </w:pPr>
      <w:r>
        <w:rPr>
          <w:rFonts w:hint="eastAsia"/>
          <w:sz w:val="18"/>
          <w:szCs w:val="18"/>
        </w:rPr>
        <w:t>（</w:t>
      </w:r>
      <w:r>
        <w:rPr>
          <w:rFonts w:hint="eastAsia"/>
          <w:sz w:val="18"/>
          <w:szCs w:val="18"/>
        </w:rPr>
        <w:t>1</w:t>
      </w:r>
      <w:r>
        <w:rPr>
          <w:rFonts w:hint="eastAsia"/>
          <w:sz w:val="18"/>
          <w:szCs w:val="18"/>
        </w:rPr>
        <w:t>）在个别财务报表中，对于处置的股权，其账面价值与实际取得价款之间的差额计入当期损益。处置后的剩余股权能够对被投资单位实施共同控制或施加重大影响的，改按权益法核算，并对该剩余股权视同自取得时即采用权益法核算进行调整；处置后的剩余股权不能对被投资单位实施共同控制或施加重大影响的，改按《企业会计准则第</w:t>
      </w:r>
      <w:r>
        <w:rPr>
          <w:rFonts w:hint="eastAsia"/>
          <w:sz w:val="18"/>
          <w:szCs w:val="18"/>
        </w:rPr>
        <w:t>22</w:t>
      </w:r>
      <w:r>
        <w:rPr>
          <w:rFonts w:hint="eastAsia"/>
          <w:sz w:val="18"/>
          <w:szCs w:val="18"/>
        </w:rPr>
        <w:t>号——金融工具确认和计量》的有关规定进行会计处理</w:t>
      </w:r>
      <w:r>
        <w:rPr>
          <w:rFonts w:hint="eastAsia"/>
          <w:sz w:val="18"/>
          <w:szCs w:val="18"/>
        </w:rPr>
        <w:t>，其在丧失控制之日的公允价值与账面价值间的差额计入当期损益。</w:t>
      </w:r>
    </w:p>
    <w:p w:rsidR="00A067C6" w:rsidRDefault="005C4966">
      <w:pPr>
        <w:pStyle w:val="a6"/>
        <w:tabs>
          <w:tab w:val="left" w:pos="1134"/>
        </w:tabs>
        <w:spacing w:before="0" w:beforeAutospacing="0" w:after="0" w:afterAutospacing="0"/>
        <w:ind w:firstLine="426"/>
        <w:jc w:val="both"/>
      </w:pPr>
      <w:r>
        <w:rPr>
          <w:rFonts w:hint="eastAsia"/>
          <w:sz w:val="18"/>
          <w:szCs w:val="18"/>
        </w:rPr>
        <w:t>（</w:t>
      </w:r>
      <w:r>
        <w:rPr>
          <w:rFonts w:hint="eastAsia"/>
          <w:sz w:val="18"/>
          <w:szCs w:val="18"/>
        </w:rPr>
        <w:t>2</w:t>
      </w:r>
      <w:r>
        <w:rPr>
          <w:rFonts w:hint="eastAsia"/>
          <w:sz w:val="18"/>
          <w:szCs w:val="18"/>
        </w:rPr>
        <w:t>）在合并财务报表中，对于在丧失对子公司控制权以前的各项交易，处置价款与处置长期股权投资相应对享有子公司自购买日或合并日开始持续计算的净资产份额之间的差额，调整资本公积（股本溢价），资本公积不足冲减的，调整留存收益；在丧失对子公司控制权时，对于剩余股权，按照其在丧失控制权日的公允价值进行重新计量。处置股权取得的对价与剩余股权公允价值之和，减去按原持股比例计算应享有原有子公司自购买日开始持续计算的净资产的份额之间的差额，计入丧失控制权当期的投资收</w:t>
      </w:r>
      <w:r>
        <w:rPr>
          <w:rFonts w:hint="eastAsia"/>
          <w:sz w:val="18"/>
          <w:szCs w:val="18"/>
        </w:rPr>
        <w:t>益，同时冲减商誉。与原有子公司股权投资相关的其他综合收益等，在丧失控制权时转为当期投资收益。</w:t>
      </w:r>
    </w:p>
    <w:p w:rsidR="00A067C6" w:rsidRDefault="005C4966">
      <w:pPr>
        <w:pStyle w:val="a6"/>
        <w:tabs>
          <w:tab w:val="left" w:pos="1134"/>
        </w:tabs>
        <w:spacing w:before="0" w:beforeAutospacing="0" w:after="0" w:afterAutospacing="0"/>
        <w:ind w:firstLine="426"/>
        <w:jc w:val="both"/>
      </w:pPr>
      <w:r>
        <w:rPr>
          <w:rFonts w:hint="eastAsia"/>
          <w:sz w:val="18"/>
          <w:szCs w:val="18"/>
        </w:rPr>
        <w:t>处置对子公司股权投资直至丧失控制权的各项交易属于一揽子交易的，将各项交易作为一项处置子公司股权投资并丧失控制权的交易进行会计处理，区分个别财务报表和合并财务报表进行相关会计处理：</w:t>
      </w:r>
    </w:p>
    <w:p w:rsidR="00A067C6" w:rsidRDefault="005C4966">
      <w:pPr>
        <w:pStyle w:val="a6"/>
        <w:tabs>
          <w:tab w:val="left" w:pos="1134"/>
        </w:tabs>
        <w:spacing w:before="0" w:beforeAutospacing="0" w:after="0" w:afterAutospacing="0"/>
        <w:ind w:firstLine="426"/>
        <w:jc w:val="both"/>
      </w:pPr>
      <w:r>
        <w:rPr>
          <w:rFonts w:hint="eastAsia"/>
          <w:sz w:val="18"/>
          <w:szCs w:val="18"/>
        </w:rPr>
        <w:t>（</w:t>
      </w:r>
      <w:r>
        <w:rPr>
          <w:rFonts w:hint="eastAsia"/>
          <w:sz w:val="18"/>
          <w:szCs w:val="18"/>
        </w:rPr>
        <w:t>1</w:t>
      </w:r>
      <w:r>
        <w:rPr>
          <w:rFonts w:hint="eastAsia"/>
          <w:sz w:val="18"/>
          <w:szCs w:val="18"/>
        </w:rPr>
        <w:t>）在个别财务报表中，在丧失控制权之前每一次处置价款与处置的股权对应的长期股权投资账面价值之间的差额，确认为其他综合收益，在丧失控制权时一并转入丧失控制权当期的损益。</w:t>
      </w:r>
    </w:p>
    <w:p w:rsidR="00A067C6" w:rsidRDefault="005C4966">
      <w:pPr>
        <w:pStyle w:val="a6"/>
        <w:tabs>
          <w:tab w:val="left" w:pos="1134"/>
        </w:tabs>
        <w:spacing w:before="0" w:beforeAutospacing="0" w:after="0" w:afterAutospacing="0"/>
        <w:ind w:firstLine="426"/>
        <w:jc w:val="both"/>
      </w:pPr>
      <w:r>
        <w:rPr>
          <w:rFonts w:hint="eastAsia"/>
          <w:sz w:val="18"/>
          <w:szCs w:val="18"/>
        </w:rPr>
        <w:t>（</w:t>
      </w:r>
      <w:r>
        <w:rPr>
          <w:rFonts w:hint="eastAsia"/>
          <w:sz w:val="18"/>
          <w:szCs w:val="18"/>
        </w:rPr>
        <w:t>2</w:t>
      </w:r>
      <w:r>
        <w:rPr>
          <w:rFonts w:hint="eastAsia"/>
          <w:sz w:val="18"/>
          <w:szCs w:val="18"/>
        </w:rPr>
        <w:t>）在合并财务报表中，在丧失控制权之前每一次处置价款与处置投资对应</w:t>
      </w:r>
      <w:r>
        <w:rPr>
          <w:rFonts w:hint="eastAsia"/>
          <w:sz w:val="18"/>
          <w:szCs w:val="18"/>
        </w:rPr>
        <w:t>的享有该子公司净资产份额的差额，确认为其他综合收益，在丧失控制权时一并转入丧失控制权当期的损益。</w:t>
      </w:r>
    </w:p>
    <w:p w:rsidR="00A067C6" w:rsidRDefault="005C4966">
      <w:pPr>
        <w:widowControl/>
        <w:numPr>
          <w:ilvl w:val="1"/>
          <w:numId w:val="11"/>
        </w:numPr>
        <w:tabs>
          <w:tab w:val="clear" w:pos="1440"/>
          <w:tab w:val="left" w:pos="426"/>
        </w:tabs>
        <w:ind w:left="0" w:firstLine="425"/>
        <w:rPr>
          <w:sz w:val="18"/>
          <w:szCs w:val="18"/>
        </w:rPr>
      </w:pPr>
      <w:r>
        <w:rPr>
          <w:rFonts w:hint="eastAsia"/>
          <w:sz w:val="18"/>
          <w:szCs w:val="18"/>
        </w:rPr>
        <w:t>共同控制、重大影响的判断标准</w:t>
      </w:r>
    </w:p>
    <w:p w:rsidR="00A067C6" w:rsidRDefault="005C4966">
      <w:pPr>
        <w:pStyle w:val="a6"/>
        <w:tabs>
          <w:tab w:val="left" w:pos="1134"/>
        </w:tabs>
        <w:spacing w:before="0" w:beforeAutospacing="0" w:after="0" w:afterAutospacing="0"/>
        <w:ind w:firstLine="426"/>
        <w:jc w:val="both"/>
      </w:pPr>
      <w:r>
        <w:rPr>
          <w:rFonts w:hint="eastAsia"/>
          <w:sz w:val="18"/>
          <w:szCs w:val="18"/>
        </w:rPr>
        <w:t>如果本公司按照相关约定与其他参与方集体控制某项安排，并且对该安排回报具有重大影响的活动决策，需要经过分享控制权的参与方一致同意时才存在，则视为本公司与其他参与方共同控制某项安排，该安排即属于合营安排。</w:t>
      </w:r>
    </w:p>
    <w:p w:rsidR="00A067C6" w:rsidRDefault="005C4966">
      <w:pPr>
        <w:pStyle w:val="a6"/>
        <w:tabs>
          <w:tab w:val="left" w:pos="1134"/>
        </w:tabs>
        <w:spacing w:before="0" w:beforeAutospacing="0" w:after="0" w:afterAutospacing="0"/>
        <w:ind w:firstLine="426"/>
        <w:jc w:val="both"/>
      </w:pPr>
      <w:r>
        <w:rPr>
          <w:rFonts w:hint="eastAsia"/>
          <w:sz w:val="18"/>
          <w:szCs w:val="18"/>
        </w:rPr>
        <w:t>合营安排通过单独主体达成的，根据相关约定判断本公司对该单独主体的净资产享有权利时，将该单独主体作为合营企业，采用权益法核算。若根据相关约定判断本公司并非对该单独主体的净资产享有权利时</w:t>
      </w:r>
      <w:r>
        <w:rPr>
          <w:rFonts w:hint="eastAsia"/>
          <w:sz w:val="18"/>
          <w:szCs w:val="18"/>
        </w:rPr>
        <w:t>，该单独主体作为共同经营，本公司确认与共同经营利益份额相关的项目，并按照相关企业会计准则的规定进行会计处理。</w:t>
      </w:r>
    </w:p>
    <w:p w:rsidR="00A067C6" w:rsidRDefault="005C4966">
      <w:pPr>
        <w:pStyle w:val="a6"/>
        <w:tabs>
          <w:tab w:val="left" w:pos="1134"/>
        </w:tabs>
        <w:spacing w:before="0" w:beforeAutospacing="0" w:after="0" w:afterAutospacing="0"/>
        <w:ind w:firstLine="426"/>
        <w:jc w:val="both"/>
      </w:pPr>
      <w:r>
        <w:rPr>
          <w:rFonts w:hint="eastAsia"/>
          <w:sz w:val="18"/>
          <w:szCs w:val="18"/>
        </w:rPr>
        <w:t>重大影响，是指投资方对被投资单位的财务和经营政策有参与决策的权力，但并不能够控制或者与其他方一起共同控制这些政策的制定。本公司通过以下一种或多种情形，并综合考虑所有事实和情况后，判断对被投资单位具有重大影响：（</w:t>
      </w:r>
      <w:r>
        <w:rPr>
          <w:rFonts w:hint="eastAsia"/>
          <w:sz w:val="18"/>
          <w:szCs w:val="18"/>
        </w:rPr>
        <w:t>1</w:t>
      </w:r>
      <w:r>
        <w:rPr>
          <w:rFonts w:hint="eastAsia"/>
          <w:sz w:val="18"/>
          <w:szCs w:val="18"/>
        </w:rPr>
        <w:t>）在被投资单位的董事会或类似权力机构中派有代表；（</w:t>
      </w:r>
      <w:r>
        <w:rPr>
          <w:rFonts w:hint="eastAsia"/>
          <w:sz w:val="18"/>
          <w:szCs w:val="18"/>
        </w:rPr>
        <w:t>2</w:t>
      </w:r>
      <w:r>
        <w:rPr>
          <w:rFonts w:hint="eastAsia"/>
          <w:sz w:val="18"/>
          <w:szCs w:val="18"/>
        </w:rPr>
        <w:t>）参与被投资单位财务和经营政策制定过程；（</w:t>
      </w:r>
      <w:r>
        <w:rPr>
          <w:rFonts w:hint="eastAsia"/>
          <w:sz w:val="18"/>
          <w:szCs w:val="18"/>
        </w:rPr>
        <w:t>3</w:t>
      </w:r>
      <w:r>
        <w:rPr>
          <w:rFonts w:hint="eastAsia"/>
          <w:sz w:val="18"/>
          <w:szCs w:val="18"/>
        </w:rPr>
        <w:t>）与被投资单位之间发生重要交易；（</w:t>
      </w:r>
      <w:r>
        <w:rPr>
          <w:rFonts w:hint="eastAsia"/>
          <w:sz w:val="18"/>
          <w:szCs w:val="18"/>
        </w:rPr>
        <w:t>4</w:t>
      </w:r>
      <w:r>
        <w:rPr>
          <w:rFonts w:hint="eastAsia"/>
          <w:sz w:val="18"/>
          <w:szCs w:val="18"/>
        </w:rPr>
        <w:t>）向被投资单位派出管理人员；（</w:t>
      </w:r>
      <w:r>
        <w:rPr>
          <w:rFonts w:hint="eastAsia"/>
          <w:sz w:val="18"/>
          <w:szCs w:val="18"/>
        </w:rPr>
        <w:t>5</w:t>
      </w:r>
      <w:r>
        <w:rPr>
          <w:rFonts w:hint="eastAsia"/>
          <w:sz w:val="18"/>
          <w:szCs w:val="18"/>
        </w:rPr>
        <w:t>）向被投资单位提供关键技术</w:t>
      </w:r>
      <w:r>
        <w:rPr>
          <w:rFonts w:hint="eastAsia"/>
          <w:sz w:val="18"/>
          <w:szCs w:val="18"/>
        </w:rPr>
        <w:t>资料。</w:t>
      </w:r>
    </w:p>
    <w:p w:rsidR="00A067C6" w:rsidRDefault="005C4966">
      <w:pPr>
        <w:pStyle w:val="3"/>
        <w:spacing w:line="280" w:lineRule="exact"/>
        <w:jc w:val="left"/>
        <w:rPr>
          <w:rFonts w:ascii="宋体" w:hAnsi="宋体" w:cs="宋体"/>
          <w:b/>
          <w:bCs/>
        </w:rPr>
      </w:pPr>
      <w:bookmarkStart w:id="143" w:name="_Toc989031"/>
      <w:r>
        <w:rPr>
          <w:rFonts w:ascii="宋体" w:hAnsi="宋体" w:cs="宋体"/>
          <w:b/>
          <w:bCs/>
        </w:rPr>
        <w:t>23</w:t>
      </w:r>
      <w:r>
        <w:rPr>
          <w:rFonts w:ascii="宋体" w:hAnsi="宋体" w:cs="宋体"/>
          <w:b/>
          <w:bCs/>
        </w:rPr>
        <w:t>、投资性房地产</w:t>
      </w:r>
      <w:bookmarkEnd w:id="143"/>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投资性房地产计量模式</w:t>
      </w:r>
    </w:p>
    <w:p w:rsidR="00A067C6" w:rsidRDefault="005C4966">
      <w:pPr>
        <w:spacing w:line="240" w:lineRule="exact"/>
        <w:rPr>
          <w:rFonts w:ascii="宋体" w:eastAsia="宋体" w:hAnsi="宋体" w:cs="宋体"/>
          <w:sz w:val="18"/>
          <w:szCs w:val="18"/>
        </w:rPr>
      </w:pPr>
      <w:r>
        <w:rPr>
          <w:rFonts w:ascii="宋体" w:eastAsia="宋体" w:hAnsi="宋体" w:cs="宋体"/>
          <w:sz w:val="18"/>
          <w:szCs w:val="18"/>
        </w:rPr>
        <w:t>成本法计量</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折旧或摊销方法</w:t>
      </w:r>
    </w:p>
    <w:p w:rsidR="00A067C6" w:rsidRDefault="005C4966">
      <w:pPr>
        <w:pStyle w:val="a6"/>
        <w:spacing w:before="0" w:beforeAutospacing="0" w:after="0" w:afterAutospacing="0"/>
        <w:ind w:firstLine="420"/>
        <w:jc w:val="both"/>
      </w:pPr>
      <w:r>
        <w:rPr>
          <w:rFonts w:hint="eastAsia"/>
          <w:sz w:val="18"/>
          <w:szCs w:val="18"/>
        </w:rPr>
        <w:t>投资性房地产是指为赚取租金或资本增值，或两者兼有而持有的房地产，包括已出租的土地使用权、持有并准备增值后转让的土地使用权、已出租的建筑物。此外，对于本公司持有以备经营出租的空置建筑物，若董事会作出书面决议，明确表示将其用于经营出租且持有意图短期内不再发生变化的，也作为投资性房地产列报。</w:t>
      </w:r>
    </w:p>
    <w:p w:rsidR="00A067C6" w:rsidRDefault="005C4966">
      <w:pPr>
        <w:pStyle w:val="a6"/>
        <w:spacing w:before="0" w:beforeAutospacing="0" w:after="0" w:afterAutospacing="0"/>
        <w:ind w:firstLine="420"/>
        <w:jc w:val="both"/>
      </w:pPr>
      <w:r>
        <w:rPr>
          <w:rFonts w:hint="eastAsia"/>
          <w:sz w:val="18"/>
          <w:szCs w:val="18"/>
        </w:rPr>
        <w:t>本公司的投资性房地产按其成本作为入账价值，外购投资性房地产的成本包括购买价款、相关税费和可直接归属于该资产的其他支出；自行建造投资性房地产的成本，由建造该项资产达到预定可使用状态前所发生的必要支出构成。</w:t>
      </w:r>
    </w:p>
    <w:p w:rsidR="00A067C6" w:rsidRDefault="005C4966">
      <w:pPr>
        <w:pStyle w:val="a6"/>
        <w:spacing w:before="0" w:beforeAutospacing="0" w:after="0" w:afterAutospacing="0"/>
        <w:ind w:firstLine="420"/>
        <w:jc w:val="both"/>
      </w:pPr>
      <w:r>
        <w:rPr>
          <w:rFonts w:hint="eastAsia"/>
          <w:sz w:val="18"/>
          <w:szCs w:val="18"/>
        </w:rPr>
        <w:t>本公司对投资性房地产采用成本模式进行后续计量，按其预计使用寿命及净残值率对建筑物和土地使用权计提折旧或摊销。投资性房地产的预计使用寿命、净残值率及年折旧（摊销）率列示如下：</w:t>
      </w:r>
    </w:p>
    <w:tbl>
      <w:tblPr>
        <w:tblW w:w="8947" w:type="dxa"/>
        <w:jc w:val="center"/>
        <w:tblCellMar>
          <w:left w:w="0" w:type="dxa"/>
          <w:right w:w="0" w:type="dxa"/>
        </w:tblCellMar>
        <w:tblLook w:val="04A0" w:firstRow="1" w:lastRow="0" w:firstColumn="1" w:lastColumn="0" w:noHBand="0" w:noVBand="1"/>
      </w:tblPr>
      <w:tblGrid>
        <w:gridCol w:w="2128"/>
        <w:gridCol w:w="1986"/>
        <w:gridCol w:w="2270"/>
        <w:gridCol w:w="2563"/>
      </w:tblGrid>
      <w:tr w:rsidR="00A067C6">
        <w:trPr>
          <w:trHeight w:val="340"/>
          <w:tblHeader/>
          <w:jc w:val="center"/>
        </w:trPr>
        <w:tc>
          <w:tcPr>
            <w:tcW w:w="2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jc w:val="center"/>
            </w:pPr>
            <w:r>
              <w:rPr>
                <w:rFonts w:hint="eastAsia"/>
                <w:sz w:val="18"/>
                <w:szCs w:val="18"/>
              </w:rPr>
              <w:t>类别</w:t>
            </w:r>
          </w:p>
        </w:tc>
        <w:tc>
          <w:tcPr>
            <w:tcW w:w="1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jc w:val="center"/>
            </w:pPr>
            <w:r>
              <w:rPr>
                <w:rFonts w:hint="eastAsia"/>
                <w:sz w:val="18"/>
                <w:szCs w:val="18"/>
              </w:rPr>
              <w:t>预计使用寿命（年）</w:t>
            </w: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jc w:val="center"/>
            </w:pPr>
            <w:r>
              <w:rPr>
                <w:rFonts w:hint="eastAsia"/>
                <w:sz w:val="18"/>
                <w:szCs w:val="18"/>
              </w:rPr>
              <w:t>预计净残值率（</w:t>
            </w:r>
            <w:r>
              <w:rPr>
                <w:rFonts w:ascii="Arial Narrow" w:hAnsi="Arial Narrow"/>
                <w:sz w:val="18"/>
                <w:szCs w:val="18"/>
              </w:rPr>
              <w:t>%</w:t>
            </w:r>
            <w:r>
              <w:rPr>
                <w:rFonts w:hint="eastAsia"/>
                <w:sz w:val="18"/>
                <w:szCs w:val="18"/>
              </w:rPr>
              <w:t>）</w:t>
            </w:r>
          </w:p>
        </w:tc>
        <w:tc>
          <w:tcPr>
            <w:tcW w:w="25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jc w:val="center"/>
            </w:pPr>
            <w:r>
              <w:rPr>
                <w:rFonts w:hint="eastAsia"/>
                <w:sz w:val="18"/>
                <w:szCs w:val="18"/>
              </w:rPr>
              <w:t>年折旧（摊销）率（</w:t>
            </w:r>
            <w:r>
              <w:rPr>
                <w:rFonts w:ascii="Arial Narrow" w:hAnsi="Arial Narrow"/>
                <w:sz w:val="18"/>
                <w:szCs w:val="18"/>
              </w:rPr>
              <w:t>%</w:t>
            </w:r>
            <w:r>
              <w:rPr>
                <w:rFonts w:hint="eastAsia"/>
                <w:sz w:val="18"/>
                <w:szCs w:val="18"/>
              </w:rPr>
              <w:t>）</w:t>
            </w:r>
          </w:p>
        </w:tc>
      </w:tr>
      <w:tr w:rsidR="00A067C6">
        <w:trPr>
          <w:trHeight w:val="340"/>
          <w:jc w:val="center"/>
        </w:trPr>
        <w:tc>
          <w:tcPr>
            <w:tcW w:w="21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jc w:val="center"/>
            </w:pPr>
            <w:r>
              <w:rPr>
                <w:rFonts w:hint="eastAsia"/>
                <w:sz w:val="18"/>
                <w:szCs w:val="18"/>
              </w:rPr>
              <w:t>房屋建筑物</w:t>
            </w:r>
          </w:p>
        </w:tc>
        <w:tc>
          <w:tcPr>
            <w:tcW w:w="1986" w:type="dxa"/>
            <w:tcBorders>
              <w:top w:val="nil"/>
              <w:left w:val="nil"/>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line="240" w:lineRule="atLeast"/>
              <w:jc w:val="center"/>
            </w:pPr>
            <w:r>
              <w:rPr>
                <w:rFonts w:hint="eastAsia"/>
                <w:sz w:val="18"/>
                <w:szCs w:val="18"/>
              </w:rPr>
              <w:t>25</w:t>
            </w:r>
          </w:p>
        </w:tc>
        <w:tc>
          <w:tcPr>
            <w:tcW w:w="2270" w:type="dxa"/>
            <w:tcBorders>
              <w:top w:val="nil"/>
              <w:left w:val="nil"/>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line="240" w:lineRule="atLeast"/>
              <w:jc w:val="center"/>
            </w:pPr>
            <w:r>
              <w:rPr>
                <w:rFonts w:hint="eastAsia"/>
                <w:sz w:val="18"/>
                <w:szCs w:val="18"/>
              </w:rPr>
              <w:t>10</w:t>
            </w:r>
          </w:p>
        </w:tc>
        <w:tc>
          <w:tcPr>
            <w:tcW w:w="2563" w:type="dxa"/>
            <w:tcBorders>
              <w:top w:val="nil"/>
              <w:left w:val="nil"/>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line="240" w:lineRule="atLeast"/>
              <w:jc w:val="center"/>
            </w:pPr>
            <w:r>
              <w:rPr>
                <w:rFonts w:hint="eastAsia"/>
                <w:sz w:val="18"/>
                <w:szCs w:val="18"/>
              </w:rPr>
              <w:t>3.6</w:t>
            </w:r>
          </w:p>
        </w:tc>
      </w:tr>
    </w:tbl>
    <w:p w:rsidR="00A067C6" w:rsidRDefault="005C4966">
      <w:pPr>
        <w:pStyle w:val="a6"/>
        <w:spacing w:before="0" w:beforeAutospacing="0" w:after="0" w:afterAutospacing="0"/>
        <w:ind w:firstLine="420"/>
        <w:jc w:val="both"/>
      </w:pPr>
      <w:r>
        <w:rPr>
          <w:rFonts w:hint="eastAsia"/>
          <w:sz w:val="18"/>
          <w:szCs w:val="18"/>
        </w:rPr>
        <w:t>投资性房地产的用途改变为自用时，自改变之日起，本公司将该投资性房地产转换为固定资产或无形资产。自用房地产的用途改变为赚取租金或资本增值时，自改变之日起，本公司将固定资产或无形资产转换为投资性房地产。发生转换时，以转换前的账面价值作为转换后的入账价值。</w:t>
      </w:r>
    </w:p>
    <w:p w:rsidR="00A067C6" w:rsidRDefault="005C4966">
      <w:pPr>
        <w:pStyle w:val="a6"/>
        <w:spacing w:before="0" w:beforeAutospacing="0" w:after="0" w:afterAutospacing="0"/>
        <w:ind w:firstLine="420"/>
        <w:jc w:val="both"/>
      </w:pPr>
      <w:r>
        <w:rPr>
          <w:rFonts w:hint="eastAsia"/>
          <w:sz w:val="18"/>
          <w:szCs w:val="18"/>
        </w:rPr>
        <w:t>当投资性房地产被处置，或者永久退出使用且预计不能从其处置中取得经济利益时，终止确认该项投资性房地产。投资性房地产出售、转让、报废或毁损的处置收入扣除其账面价值和相关税费后的金额计入当期损益。</w:t>
      </w:r>
      <w:r>
        <w:rPr>
          <w:rFonts w:hint="eastAsia"/>
          <w:sz w:val="18"/>
          <w:szCs w:val="18"/>
        </w:rPr>
        <w:t xml:space="preserve"> </w:t>
      </w:r>
    </w:p>
    <w:p w:rsidR="00A067C6" w:rsidRDefault="005C4966">
      <w:pPr>
        <w:pStyle w:val="3"/>
        <w:spacing w:line="280" w:lineRule="exact"/>
        <w:jc w:val="left"/>
        <w:rPr>
          <w:rFonts w:ascii="宋体" w:hAnsi="宋体" w:cs="宋体"/>
          <w:b/>
          <w:bCs/>
        </w:rPr>
      </w:pPr>
      <w:bookmarkStart w:id="144" w:name="_Toc989032"/>
      <w:r>
        <w:rPr>
          <w:rFonts w:ascii="宋体" w:hAnsi="宋体" w:cs="宋体"/>
          <w:b/>
          <w:bCs/>
        </w:rPr>
        <w:t>24</w:t>
      </w:r>
      <w:r>
        <w:rPr>
          <w:rFonts w:ascii="宋体" w:hAnsi="宋体" w:cs="宋体"/>
          <w:b/>
          <w:bCs/>
        </w:rPr>
        <w:t>、固定资产</w:t>
      </w:r>
      <w:bookmarkEnd w:id="144"/>
    </w:p>
    <w:p w:rsidR="00A067C6" w:rsidRDefault="005C4966">
      <w:pPr>
        <w:keepNext/>
        <w:keepLines/>
        <w:spacing w:before="300" w:after="300" w:line="280" w:lineRule="exact"/>
        <w:outlineLvl w:val="3"/>
        <w:rPr>
          <w:rFonts w:ascii="宋体" w:eastAsia="宋体" w:hAnsi="宋体" w:cs="宋体"/>
          <w:b/>
          <w:bCs/>
          <w:szCs w:val="21"/>
        </w:rPr>
      </w:pPr>
      <w:bookmarkStart w:id="145" w:name="_Toc989033"/>
      <w:r>
        <w:rPr>
          <w:rFonts w:ascii="宋体" w:eastAsia="宋体" w:hAnsi="宋体" w:cs="宋体"/>
          <w:b/>
          <w:bCs/>
          <w:szCs w:val="21"/>
        </w:rPr>
        <w:t>（</w:t>
      </w:r>
      <w:r>
        <w:rPr>
          <w:rFonts w:ascii="宋体" w:eastAsia="宋体" w:hAnsi="宋体" w:cs="宋体"/>
          <w:b/>
          <w:bCs/>
          <w:szCs w:val="21"/>
        </w:rPr>
        <w:t>1</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确认条件</w:t>
      </w:r>
      <w:bookmarkEnd w:id="145"/>
    </w:p>
    <w:p w:rsidR="00A067C6" w:rsidRDefault="005C4966">
      <w:pPr>
        <w:pStyle w:val="a6"/>
        <w:spacing w:before="0" w:beforeAutospacing="0" w:after="0" w:afterAutospacing="0"/>
        <w:ind w:firstLine="420"/>
        <w:jc w:val="both"/>
        <w:rPr>
          <w:sz w:val="18"/>
          <w:szCs w:val="18"/>
        </w:rPr>
      </w:pPr>
      <w:r>
        <w:rPr>
          <w:rFonts w:hint="eastAsia"/>
          <w:sz w:val="18"/>
          <w:szCs w:val="18"/>
        </w:rPr>
        <w:t>固定资产指为生产商品、提供劳务、</w:t>
      </w:r>
      <w:r>
        <w:rPr>
          <w:rFonts w:hint="eastAsia"/>
          <w:sz w:val="18"/>
          <w:szCs w:val="18"/>
        </w:rPr>
        <w:t>出租或经营管理而持有，并且使用寿命超过一个会计年度的有形资产。固定资产在同时满足下列条件时予以确认：</w:t>
      </w:r>
    </w:p>
    <w:p w:rsidR="00A067C6" w:rsidRDefault="005C4966">
      <w:pPr>
        <w:pStyle w:val="a6"/>
        <w:spacing w:before="0" w:beforeAutospacing="0" w:after="0" w:afterAutospacing="0"/>
        <w:ind w:firstLine="420"/>
        <w:jc w:val="both"/>
        <w:rPr>
          <w:sz w:val="18"/>
          <w:szCs w:val="18"/>
        </w:rPr>
      </w:pPr>
      <w:r>
        <w:rPr>
          <w:rFonts w:hint="eastAsia"/>
          <w:sz w:val="18"/>
          <w:szCs w:val="18"/>
        </w:rPr>
        <w:t>（</w:t>
      </w:r>
      <w:r>
        <w:rPr>
          <w:rFonts w:hint="eastAsia"/>
          <w:sz w:val="18"/>
          <w:szCs w:val="18"/>
        </w:rPr>
        <w:t>1</w:t>
      </w:r>
      <w:r>
        <w:rPr>
          <w:rFonts w:hint="eastAsia"/>
          <w:sz w:val="18"/>
          <w:szCs w:val="18"/>
        </w:rPr>
        <w:t>）与该固定资产有关的经济利益很可能流入企业；</w:t>
      </w:r>
    </w:p>
    <w:p w:rsidR="00A067C6" w:rsidRDefault="005C4966">
      <w:pPr>
        <w:pStyle w:val="a6"/>
        <w:spacing w:before="0" w:beforeAutospacing="0" w:after="0" w:afterAutospacing="0"/>
        <w:ind w:firstLine="420"/>
        <w:jc w:val="both"/>
        <w:rPr>
          <w:sz w:val="18"/>
          <w:szCs w:val="18"/>
        </w:rPr>
      </w:pPr>
      <w:r>
        <w:rPr>
          <w:rFonts w:hint="eastAsia"/>
          <w:sz w:val="18"/>
          <w:szCs w:val="18"/>
        </w:rPr>
        <w:t>（</w:t>
      </w:r>
      <w:r>
        <w:rPr>
          <w:rFonts w:hint="eastAsia"/>
          <w:sz w:val="18"/>
          <w:szCs w:val="18"/>
        </w:rPr>
        <w:t>2</w:t>
      </w:r>
      <w:r>
        <w:rPr>
          <w:rFonts w:hint="eastAsia"/>
          <w:sz w:val="18"/>
          <w:szCs w:val="18"/>
        </w:rPr>
        <w:t>）该固定资产的成本能够可靠地计量。</w:t>
      </w:r>
    </w:p>
    <w:p w:rsidR="00A067C6" w:rsidRDefault="005C4966">
      <w:pPr>
        <w:keepNext/>
        <w:keepLines/>
        <w:spacing w:before="300" w:after="300" w:line="280" w:lineRule="exact"/>
        <w:outlineLvl w:val="3"/>
        <w:rPr>
          <w:rFonts w:ascii="宋体" w:eastAsia="宋体" w:hAnsi="宋体" w:cs="宋体"/>
          <w:b/>
          <w:bCs/>
          <w:szCs w:val="21"/>
        </w:rPr>
      </w:pPr>
      <w:bookmarkStart w:id="146" w:name="_Toc989034"/>
      <w:r>
        <w:rPr>
          <w:rFonts w:ascii="宋体" w:eastAsia="宋体" w:hAnsi="宋体" w:cs="宋体"/>
          <w:b/>
          <w:bCs/>
          <w:szCs w:val="21"/>
        </w:rPr>
        <w:t>（</w:t>
      </w:r>
      <w:r>
        <w:rPr>
          <w:rFonts w:ascii="宋体" w:eastAsia="宋体" w:hAnsi="宋体" w:cs="宋体"/>
          <w:b/>
          <w:bCs/>
          <w:szCs w:val="21"/>
        </w:rPr>
        <w:t>2</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折旧方法</w:t>
      </w:r>
      <w:bookmarkEnd w:id="146"/>
    </w:p>
    <w:p w:rsidR="00A067C6" w:rsidRDefault="00A067C6">
      <w:pPr>
        <w:spacing w:line="0" w:lineRule="atLeast"/>
      </w:pP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折旧方法</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折旧年限</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残值率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年折旧率</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房屋及建筑物</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25</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3.6%</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机器设备</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9%</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运输设备</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5</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18%</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电子及其他设备</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5</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18%</w:t>
            </w:r>
          </w:p>
        </w:tc>
      </w:tr>
    </w:tbl>
    <w:p w:rsidR="00A067C6" w:rsidRDefault="005C4966">
      <w:pPr>
        <w:keepNext/>
        <w:keepLines/>
        <w:spacing w:before="300" w:after="300" w:line="280" w:lineRule="exact"/>
        <w:outlineLvl w:val="3"/>
        <w:rPr>
          <w:rFonts w:ascii="宋体" w:eastAsia="宋体" w:hAnsi="宋体" w:cs="宋体"/>
          <w:b/>
          <w:bCs/>
          <w:szCs w:val="21"/>
        </w:rPr>
      </w:pPr>
      <w:bookmarkStart w:id="147" w:name="_Toc989035"/>
      <w:r>
        <w:rPr>
          <w:rFonts w:ascii="宋体" w:eastAsia="宋体" w:hAnsi="宋体" w:cs="宋体"/>
          <w:b/>
          <w:bCs/>
          <w:szCs w:val="21"/>
        </w:rPr>
        <w:t>（</w:t>
      </w:r>
      <w:r>
        <w:rPr>
          <w:rFonts w:ascii="宋体" w:eastAsia="宋体" w:hAnsi="宋体" w:cs="宋体"/>
          <w:b/>
          <w:bCs/>
          <w:szCs w:val="21"/>
        </w:rPr>
        <w:t>3</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融资租入固定资产的认定依据、计价和折旧方法</w:t>
      </w:r>
      <w:bookmarkEnd w:id="147"/>
    </w:p>
    <w:p w:rsidR="00A067C6" w:rsidRDefault="005C4966">
      <w:pPr>
        <w:pStyle w:val="a6"/>
        <w:spacing w:before="0" w:beforeAutospacing="0" w:after="0" w:afterAutospacing="0" w:line="240" w:lineRule="atLeast"/>
        <w:rPr>
          <w:sz w:val="18"/>
          <w:szCs w:val="18"/>
        </w:rPr>
      </w:pPr>
      <w:r>
        <w:rPr>
          <w:rFonts w:hint="eastAsia"/>
          <w:sz w:val="18"/>
          <w:szCs w:val="18"/>
        </w:rPr>
        <w:t>购买固定资产的价款超过正常信用条件延期支付，实质上具有融资性质的，固定资产的成本以购买价款的现值为基础确定。实际支付的价款与购买价款的现值之间的差额，除应予资本化的以外，在信用期间内计入当期损益。</w:t>
      </w:r>
    </w:p>
    <w:p w:rsidR="00A067C6" w:rsidRDefault="005C4966">
      <w:pPr>
        <w:pStyle w:val="3"/>
        <w:spacing w:line="280" w:lineRule="exact"/>
        <w:jc w:val="left"/>
        <w:rPr>
          <w:rFonts w:ascii="宋体" w:hAnsi="宋体" w:cs="宋体"/>
          <w:b/>
          <w:bCs/>
        </w:rPr>
      </w:pPr>
      <w:bookmarkStart w:id="148" w:name="_Toc989036"/>
      <w:r>
        <w:rPr>
          <w:rFonts w:ascii="宋体" w:hAnsi="宋体" w:cs="宋体"/>
          <w:b/>
          <w:bCs/>
        </w:rPr>
        <w:t>25</w:t>
      </w:r>
      <w:r>
        <w:rPr>
          <w:rFonts w:ascii="宋体" w:hAnsi="宋体" w:cs="宋体"/>
          <w:b/>
          <w:bCs/>
        </w:rPr>
        <w:t>、在建工程</w:t>
      </w:r>
      <w:bookmarkEnd w:id="148"/>
    </w:p>
    <w:p w:rsidR="00A067C6" w:rsidRDefault="005C4966">
      <w:pPr>
        <w:widowControl/>
        <w:numPr>
          <w:ilvl w:val="0"/>
          <w:numId w:val="13"/>
        </w:numPr>
        <w:tabs>
          <w:tab w:val="clear" w:pos="720"/>
          <w:tab w:val="left" w:pos="0"/>
        </w:tabs>
        <w:ind w:left="0" w:firstLine="425"/>
        <w:rPr>
          <w:sz w:val="18"/>
          <w:szCs w:val="18"/>
        </w:rPr>
      </w:pPr>
      <w:r>
        <w:rPr>
          <w:rFonts w:ascii="Times New Roman" w:hAnsi="Times New Roman" w:cs="Times New Roman"/>
          <w:sz w:val="14"/>
          <w:szCs w:val="14"/>
        </w:rPr>
        <w:t> </w:t>
      </w:r>
      <w:r>
        <w:rPr>
          <w:rFonts w:hint="eastAsia"/>
          <w:sz w:val="18"/>
          <w:szCs w:val="18"/>
        </w:rPr>
        <w:t>在建工程初始计量</w:t>
      </w:r>
    </w:p>
    <w:p w:rsidR="00A067C6" w:rsidRDefault="005C4966">
      <w:pPr>
        <w:pStyle w:val="a6"/>
        <w:tabs>
          <w:tab w:val="left" w:pos="0"/>
        </w:tabs>
        <w:spacing w:before="0" w:beforeAutospacing="0" w:after="0" w:afterAutospacing="0"/>
        <w:ind w:firstLine="425"/>
        <w:jc w:val="both"/>
      </w:pPr>
      <w:r>
        <w:rPr>
          <w:rFonts w:hint="eastAsia"/>
          <w:sz w:val="18"/>
          <w:szCs w:val="18"/>
        </w:rPr>
        <w:t>本公司自行建造的在建工程按实际成本计价，实际成本由建造该项资产达到预定可使用状态前所发生的必要支出构成，包括工程用物资成本、人工成本、交纳的相关税费、应予资本化的借款费用以及应分摊的间接费用等。</w:t>
      </w:r>
    </w:p>
    <w:p w:rsidR="00A067C6" w:rsidRDefault="005C4966">
      <w:pPr>
        <w:widowControl/>
        <w:numPr>
          <w:ilvl w:val="0"/>
          <w:numId w:val="14"/>
        </w:numPr>
        <w:tabs>
          <w:tab w:val="clear" w:pos="720"/>
          <w:tab w:val="left" w:pos="0"/>
        </w:tabs>
        <w:ind w:left="0" w:firstLine="425"/>
        <w:rPr>
          <w:sz w:val="18"/>
          <w:szCs w:val="18"/>
        </w:rPr>
      </w:pPr>
      <w:r>
        <w:rPr>
          <w:rFonts w:hint="eastAsia"/>
          <w:sz w:val="18"/>
          <w:szCs w:val="18"/>
        </w:rPr>
        <w:t>在建工程结转为固定资产的标准和时点</w:t>
      </w:r>
    </w:p>
    <w:p w:rsidR="00A067C6" w:rsidRDefault="005C4966">
      <w:pPr>
        <w:pStyle w:val="a6"/>
        <w:tabs>
          <w:tab w:val="left" w:pos="0"/>
        </w:tabs>
        <w:spacing w:before="0" w:beforeAutospacing="0" w:after="0" w:afterAutospacing="0"/>
        <w:ind w:firstLine="425"/>
        <w:jc w:val="both"/>
      </w:pPr>
      <w:r>
        <w:rPr>
          <w:rFonts w:hint="eastAsia"/>
          <w:sz w:val="18"/>
          <w:szCs w:val="18"/>
        </w:rPr>
        <w:t>在建工程项目按建造该项资产达到预定可使用状态前所发生的全部支出，作为固定资产的入账价值。所建造的在建工程已达到预定可使用状态，但尚未办理竣工决算的，自达到预定可使用状态之日起，根据工程预算、造价或者工程实际成本等，按估计的价值转入固定资产，并按本公司固定资产折旧政策计提固定资产的折旧，待办理竣工决算后，再按实际成本调整原来的暂估价值，但不调整原已计提的折旧额。</w:t>
      </w:r>
    </w:p>
    <w:p w:rsidR="00A067C6" w:rsidRDefault="005C4966">
      <w:pPr>
        <w:pStyle w:val="3"/>
        <w:spacing w:line="280" w:lineRule="exact"/>
        <w:jc w:val="left"/>
        <w:rPr>
          <w:rFonts w:ascii="宋体" w:hAnsi="宋体" w:cs="宋体"/>
          <w:b/>
          <w:bCs/>
        </w:rPr>
      </w:pPr>
      <w:bookmarkStart w:id="149" w:name="_Toc989037"/>
      <w:r>
        <w:rPr>
          <w:rFonts w:ascii="宋体" w:hAnsi="宋体" w:cs="宋体"/>
          <w:b/>
          <w:bCs/>
        </w:rPr>
        <w:t>26</w:t>
      </w:r>
      <w:r>
        <w:rPr>
          <w:rFonts w:ascii="宋体" w:hAnsi="宋体" w:cs="宋体"/>
          <w:b/>
          <w:bCs/>
        </w:rPr>
        <w:t>、借款费用</w:t>
      </w:r>
      <w:bookmarkEnd w:id="149"/>
    </w:p>
    <w:p w:rsidR="00A067C6" w:rsidRDefault="005C4966">
      <w:pPr>
        <w:widowControl/>
        <w:numPr>
          <w:ilvl w:val="0"/>
          <w:numId w:val="15"/>
        </w:numPr>
        <w:rPr>
          <w:sz w:val="18"/>
          <w:szCs w:val="18"/>
        </w:rPr>
      </w:pPr>
      <w:r>
        <w:rPr>
          <w:rFonts w:ascii="Times New Roman" w:hAnsi="Times New Roman" w:cs="Times New Roman"/>
          <w:sz w:val="18"/>
          <w:szCs w:val="18"/>
        </w:rPr>
        <w:t> </w:t>
      </w:r>
      <w:r>
        <w:rPr>
          <w:rFonts w:hint="eastAsia"/>
          <w:sz w:val="18"/>
          <w:szCs w:val="18"/>
        </w:rPr>
        <w:t>借款费用资本化的确认原则</w:t>
      </w:r>
    </w:p>
    <w:p w:rsidR="00A067C6" w:rsidRDefault="005C4966">
      <w:pPr>
        <w:pStyle w:val="a6"/>
        <w:spacing w:before="0" w:beforeAutospacing="0" w:after="0" w:afterAutospacing="0"/>
        <w:ind w:firstLine="420"/>
        <w:jc w:val="both"/>
      </w:pPr>
      <w:r>
        <w:rPr>
          <w:rFonts w:hint="eastAsia"/>
          <w:sz w:val="18"/>
          <w:szCs w:val="18"/>
        </w:rPr>
        <w:t>本公司发生的借款费用，可直接归属于符合资本化条件的资产的购建或者生产的，予以资本化，计入相关资产成本；其他借款费用，在发生时根据其发生额确认为费用，计入当期损益。</w:t>
      </w:r>
    </w:p>
    <w:p w:rsidR="00A067C6" w:rsidRDefault="005C4966">
      <w:pPr>
        <w:pStyle w:val="a6"/>
        <w:spacing w:before="0" w:beforeAutospacing="0" w:after="0" w:afterAutospacing="0"/>
        <w:ind w:firstLine="420"/>
        <w:jc w:val="both"/>
      </w:pPr>
      <w:r>
        <w:rPr>
          <w:rFonts w:hint="eastAsia"/>
          <w:sz w:val="18"/>
          <w:szCs w:val="18"/>
        </w:rPr>
        <w:t>符合资本化条件的资产，是指需要经过相当长时间的购建或者生产活动才能达到预定可使用或者可销售状态的固定资产、投资性房地产和存货等资产。</w:t>
      </w:r>
    </w:p>
    <w:p w:rsidR="00A067C6" w:rsidRDefault="005C4966">
      <w:pPr>
        <w:pStyle w:val="a6"/>
        <w:spacing w:before="0" w:beforeAutospacing="0" w:after="0" w:afterAutospacing="0"/>
        <w:ind w:firstLine="420"/>
        <w:jc w:val="both"/>
      </w:pPr>
      <w:r>
        <w:rPr>
          <w:rFonts w:hint="eastAsia"/>
          <w:sz w:val="18"/>
          <w:szCs w:val="18"/>
        </w:rPr>
        <w:t>借款费用同时满足下列条件时开始资本化：</w:t>
      </w:r>
    </w:p>
    <w:p w:rsidR="00A067C6" w:rsidRDefault="005C4966">
      <w:pPr>
        <w:pStyle w:val="a6"/>
        <w:spacing w:before="0" w:beforeAutospacing="0" w:after="0" w:afterAutospacing="0"/>
        <w:ind w:firstLine="420"/>
        <w:jc w:val="both"/>
      </w:pPr>
      <w:r>
        <w:rPr>
          <w:rFonts w:hint="eastAsia"/>
          <w:sz w:val="18"/>
          <w:szCs w:val="18"/>
        </w:rPr>
        <w:t>（</w:t>
      </w:r>
      <w:r>
        <w:rPr>
          <w:rFonts w:hint="eastAsia"/>
          <w:sz w:val="18"/>
          <w:szCs w:val="18"/>
        </w:rPr>
        <w:t>1</w:t>
      </w:r>
      <w:r>
        <w:rPr>
          <w:rFonts w:hint="eastAsia"/>
          <w:sz w:val="18"/>
          <w:szCs w:val="18"/>
        </w:rPr>
        <w:t>）资产支出已经发生，资产支出包括为购建或者生产符合资本化条件的资产而以支付现金、转移非现金资产或者承担带息债务形式发生的支出；</w:t>
      </w:r>
    </w:p>
    <w:p w:rsidR="00A067C6" w:rsidRDefault="005C4966">
      <w:pPr>
        <w:pStyle w:val="a6"/>
        <w:spacing w:before="0" w:beforeAutospacing="0" w:after="0" w:afterAutospacing="0"/>
        <w:ind w:firstLine="420"/>
        <w:jc w:val="both"/>
      </w:pPr>
      <w:r>
        <w:rPr>
          <w:rFonts w:hint="eastAsia"/>
          <w:sz w:val="18"/>
          <w:szCs w:val="18"/>
        </w:rPr>
        <w:t>（</w:t>
      </w:r>
      <w:r>
        <w:rPr>
          <w:rFonts w:hint="eastAsia"/>
          <w:sz w:val="18"/>
          <w:szCs w:val="18"/>
        </w:rPr>
        <w:t>2</w:t>
      </w:r>
      <w:r>
        <w:rPr>
          <w:rFonts w:hint="eastAsia"/>
          <w:sz w:val="18"/>
          <w:szCs w:val="18"/>
        </w:rPr>
        <w:t>）借款费用已经发生；</w:t>
      </w:r>
    </w:p>
    <w:p w:rsidR="00A067C6" w:rsidRDefault="005C4966">
      <w:pPr>
        <w:pStyle w:val="a6"/>
        <w:spacing w:before="0" w:beforeAutospacing="0" w:after="0" w:afterAutospacing="0"/>
        <w:ind w:firstLine="420"/>
        <w:jc w:val="both"/>
      </w:pPr>
      <w:r>
        <w:rPr>
          <w:rFonts w:hint="eastAsia"/>
          <w:sz w:val="18"/>
          <w:szCs w:val="18"/>
        </w:rPr>
        <w:t>（</w:t>
      </w:r>
      <w:r>
        <w:rPr>
          <w:rFonts w:hint="eastAsia"/>
          <w:sz w:val="18"/>
          <w:szCs w:val="18"/>
        </w:rPr>
        <w:t>3</w:t>
      </w:r>
      <w:r>
        <w:rPr>
          <w:rFonts w:hint="eastAsia"/>
          <w:sz w:val="18"/>
          <w:szCs w:val="18"/>
        </w:rPr>
        <w:t>）为使资产达</w:t>
      </w:r>
      <w:r>
        <w:rPr>
          <w:rFonts w:hint="eastAsia"/>
          <w:sz w:val="18"/>
          <w:szCs w:val="18"/>
        </w:rPr>
        <w:t>到预定可使用或者可销售状态所必要的购建或者生产活动已经开始。</w:t>
      </w:r>
    </w:p>
    <w:p w:rsidR="00A067C6" w:rsidRDefault="005C4966">
      <w:pPr>
        <w:widowControl/>
        <w:numPr>
          <w:ilvl w:val="0"/>
          <w:numId w:val="16"/>
        </w:numPr>
        <w:rPr>
          <w:sz w:val="18"/>
          <w:szCs w:val="18"/>
        </w:rPr>
      </w:pPr>
      <w:r>
        <w:rPr>
          <w:rFonts w:hint="eastAsia"/>
          <w:sz w:val="18"/>
          <w:szCs w:val="18"/>
        </w:rPr>
        <w:t>借款费用资本化期间</w:t>
      </w:r>
    </w:p>
    <w:p w:rsidR="00A067C6" w:rsidRDefault="005C4966">
      <w:pPr>
        <w:pStyle w:val="a6"/>
        <w:spacing w:before="0" w:beforeAutospacing="0" w:after="0" w:afterAutospacing="0"/>
        <w:ind w:firstLine="420"/>
        <w:jc w:val="both"/>
      </w:pPr>
      <w:r>
        <w:rPr>
          <w:rFonts w:hint="eastAsia"/>
          <w:sz w:val="18"/>
          <w:szCs w:val="18"/>
        </w:rPr>
        <w:t>资本化期间，指从借款费用开始资本化时点到停止资本化时点的期间，借款费用暂停资本化的期间不包括在内。</w:t>
      </w:r>
    </w:p>
    <w:p w:rsidR="00A067C6" w:rsidRDefault="005C4966">
      <w:pPr>
        <w:pStyle w:val="a6"/>
        <w:spacing w:before="0" w:beforeAutospacing="0" w:after="0" w:afterAutospacing="0"/>
        <w:ind w:firstLine="420"/>
        <w:jc w:val="both"/>
      </w:pPr>
      <w:r>
        <w:rPr>
          <w:rFonts w:hint="eastAsia"/>
          <w:sz w:val="18"/>
          <w:szCs w:val="18"/>
        </w:rPr>
        <w:t>当购建或者生产符合资本化条件的资产达到预定可使用或者可销售状态时，借款费用停止资本化。</w:t>
      </w:r>
    </w:p>
    <w:p w:rsidR="00A067C6" w:rsidRDefault="005C4966">
      <w:pPr>
        <w:pStyle w:val="a6"/>
        <w:spacing w:before="0" w:beforeAutospacing="0" w:after="0" w:afterAutospacing="0"/>
        <w:ind w:firstLine="420"/>
        <w:jc w:val="both"/>
      </w:pPr>
      <w:r>
        <w:rPr>
          <w:rFonts w:hint="eastAsia"/>
          <w:sz w:val="18"/>
          <w:szCs w:val="18"/>
        </w:rPr>
        <w:t>当购建或者生产符合资本化条件的资产中部分项目分别完工且可单独使用时，该部分资产借款费用停止资本化。</w:t>
      </w:r>
    </w:p>
    <w:p w:rsidR="00A067C6" w:rsidRDefault="005C4966">
      <w:pPr>
        <w:pStyle w:val="a6"/>
        <w:spacing w:before="0" w:beforeAutospacing="0" w:after="0" w:afterAutospacing="0"/>
        <w:ind w:firstLine="420"/>
        <w:jc w:val="both"/>
      </w:pPr>
      <w:r>
        <w:rPr>
          <w:rFonts w:hint="eastAsia"/>
          <w:sz w:val="18"/>
          <w:szCs w:val="18"/>
        </w:rPr>
        <w:t>购建或者生产的资产的各部分分别完工，但必须等到整体完工后才可使用或可对外销售的，在该资产整体完工时停止借款费用资本化。</w:t>
      </w:r>
    </w:p>
    <w:p w:rsidR="00A067C6" w:rsidRDefault="005C4966">
      <w:pPr>
        <w:widowControl/>
        <w:numPr>
          <w:ilvl w:val="0"/>
          <w:numId w:val="17"/>
        </w:numPr>
        <w:rPr>
          <w:sz w:val="18"/>
          <w:szCs w:val="18"/>
        </w:rPr>
      </w:pPr>
      <w:r>
        <w:rPr>
          <w:rFonts w:hint="eastAsia"/>
          <w:sz w:val="18"/>
          <w:szCs w:val="18"/>
        </w:rPr>
        <w:t>暂停资本化期间</w:t>
      </w:r>
    </w:p>
    <w:p w:rsidR="00A067C6" w:rsidRDefault="005C4966">
      <w:pPr>
        <w:pStyle w:val="a6"/>
        <w:spacing w:before="0" w:beforeAutospacing="0" w:after="0" w:afterAutospacing="0"/>
        <w:ind w:firstLine="420"/>
        <w:jc w:val="both"/>
      </w:pPr>
      <w:r>
        <w:rPr>
          <w:rFonts w:hint="eastAsia"/>
          <w:sz w:val="18"/>
          <w:szCs w:val="18"/>
        </w:rPr>
        <w:t>符合资</w:t>
      </w:r>
      <w:r>
        <w:rPr>
          <w:rFonts w:hint="eastAsia"/>
          <w:sz w:val="18"/>
          <w:szCs w:val="18"/>
        </w:rPr>
        <w:t>本化条件的资产在购建或生产过程中发生的非正常中断、且中断时间连续超过</w:t>
      </w:r>
      <w:r>
        <w:rPr>
          <w:rFonts w:hint="eastAsia"/>
          <w:sz w:val="18"/>
          <w:szCs w:val="18"/>
        </w:rPr>
        <w:t>3</w:t>
      </w:r>
      <w:r>
        <w:rPr>
          <w:rFonts w:hint="eastAsia"/>
          <w:sz w:val="18"/>
          <w:szCs w:val="18"/>
        </w:rPr>
        <w:t>个月的，则借款费用暂停资本化；该项中断如是所购建或生产的符合资本化条件的资产达到预定可使用状态或者可销售状态必要的程序，则借款费用继续资本化。在中断期间发生的借款费用确认为当期损益，直至资产的购建或者生产活动重新开始后借款费用继续资本化。</w:t>
      </w:r>
    </w:p>
    <w:p w:rsidR="00A067C6" w:rsidRDefault="005C4966">
      <w:pPr>
        <w:widowControl/>
        <w:numPr>
          <w:ilvl w:val="0"/>
          <w:numId w:val="18"/>
        </w:numPr>
        <w:rPr>
          <w:sz w:val="18"/>
          <w:szCs w:val="18"/>
        </w:rPr>
      </w:pPr>
      <w:r>
        <w:rPr>
          <w:rFonts w:hint="eastAsia"/>
          <w:sz w:val="18"/>
          <w:szCs w:val="18"/>
        </w:rPr>
        <w:t>借款费用资本化金额的计算方法</w:t>
      </w:r>
    </w:p>
    <w:p w:rsidR="00A067C6" w:rsidRDefault="005C4966">
      <w:pPr>
        <w:pStyle w:val="a6"/>
        <w:spacing w:before="0" w:beforeAutospacing="0" w:after="0" w:afterAutospacing="0"/>
        <w:ind w:firstLine="420"/>
        <w:jc w:val="both"/>
      </w:pPr>
      <w:r>
        <w:rPr>
          <w:rFonts w:hint="eastAsia"/>
          <w:sz w:val="18"/>
          <w:szCs w:val="18"/>
        </w:rPr>
        <w:t>专门借款的利息费用（扣除尚未动用的借款资金存入银行取得的利息收入或者进行暂时性投资取得的投资收益）及其辅助费用在所购建或者生产的符合资本化条件的资产达到预定可使用或者可销售</w:t>
      </w:r>
      <w:r>
        <w:rPr>
          <w:rFonts w:hint="eastAsia"/>
          <w:sz w:val="18"/>
          <w:szCs w:val="18"/>
        </w:rPr>
        <w:t>状态前，予以资本化。</w:t>
      </w:r>
    </w:p>
    <w:p w:rsidR="00A067C6" w:rsidRDefault="005C4966">
      <w:pPr>
        <w:pStyle w:val="a6"/>
        <w:spacing w:before="0" w:beforeAutospacing="0" w:after="0" w:afterAutospacing="0"/>
        <w:ind w:firstLine="420"/>
        <w:jc w:val="both"/>
      </w:pPr>
      <w:r>
        <w:rPr>
          <w:rFonts w:hint="eastAsia"/>
          <w:sz w:val="18"/>
          <w:szCs w:val="18"/>
        </w:rPr>
        <w:t>根据累计资产支出超过专门借款部分的资产支出加权平均数乘以所占用一般借款的资本化率，计算确定一般借款应予资本化的利息金额。资本化率根据一般借款加权平均利率计算确定。</w:t>
      </w:r>
    </w:p>
    <w:p w:rsidR="00A067C6" w:rsidRDefault="005C4966">
      <w:pPr>
        <w:pStyle w:val="a6"/>
        <w:spacing w:before="0" w:beforeAutospacing="0" w:after="0" w:afterAutospacing="0"/>
        <w:rPr>
          <w:sz w:val="18"/>
          <w:szCs w:val="18"/>
        </w:rPr>
      </w:pPr>
      <w:r>
        <w:rPr>
          <w:rFonts w:hint="eastAsia"/>
          <w:sz w:val="18"/>
          <w:szCs w:val="18"/>
        </w:rPr>
        <w:t>借款存在折价或者溢价的，按照实际利率法确定每一会计期间应摊销的折价或者溢价金额，调整每期利息金额。</w:t>
      </w:r>
    </w:p>
    <w:p w:rsidR="00A067C6" w:rsidRDefault="005C4966">
      <w:pPr>
        <w:pStyle w:val="3"/>
        <w:spacing w:line="280" w:lineRule="exact"/>
        <w:jc w:val="left"/>
        <w:rPr>
          <w:rFonts w:ascii="宋体" w:hAnsi="宋体" w:cs="宋体"/>
          <w:b/>
          <w:bCs/>
        </w:rPr>
      </w:pPr>
      <w:bookmarkStart w:id="150" w:name="_Toc989038"/>
      <w:r>
        <w:rPr>
          <w:rFonts w:ascii="宋体" w:hAnsi="宋体" w:cs="宋体"/>
          <w:b/>
          <w:bCs/>
        </w:rPr>
        <w:t>27</w:t>
      </w:r>
      <w:r>
        <w:rPr>
          <w:rFonts w:ascii="宋体" w:hAnsi="宋体" w:cs="宋体"/>
          <w:b/>
          <w:bCs/>
        </w:rPr>
        <w:t>、生物资产</w:t>
      </w:r>
      <w:bookmarkEnd w:id="150"/>
    </w:p>
    <w:p w:rsidR="00A067C6" w:rsidRDefault="005C4966">
      <w:pPr>
        <w:pStyle w:val="a6"/>
        <w:spacing w:before="0" w:beforeAutospacing="0" w:after="0" w:afterAutospacing="0"/>
        <w:rPr>
          <w:rFonts w:ascii="Times New Roman" w:hAnsi="Times New Roman" w:cs="Times New Roman"/>
        </w:rPr>
      </w:pPr>
      <w:r>
        <w:rPr>
          <w:rFonts w:cs="Times New Roman" w:hint="eastAsia"/>
          <w:sz w:val="18"/>
          <w:szCs w:val="18"/>
        </w:rPr>
        <w:t>不适用。</w:t>
      </w:r>
    </w:p>
    <w:p w:rsidR="00A067C6" w:rsidRDefault="005C4966">
      <w:pPr>
        <w:pStyle w:val="3"/>
        <w:spacing w:line="280" w:lineRule="exact"/>
        <w:jc w:val="left"/>
        <w:rPr>
          <w:rFonts w:ascii="宋体" w:hAnsi="宋体" w:cs="宋体"/>
          <w:b/>
          <w:bCs/>
        </w:rPr>
      </w:pPr>
      <w:bookmarkStart w:id="151" w:name="_Toc989039"/>
      <w:r>
        <w:rPr>
          <w:rFonts w:ascii="宋体" w:hAnsi="宋体" w:cs="宋体"/>
          <w:b/>
          <w:bCs/>
        </w:rPr>
        <w:t>28</w:t>
      </w:r>
      <w:r>
        <w:rPr>
          <w:rFonts w:ascii="宋体" w:hAnsi="宋体" w:cs="宋体"/>
          <w:b/>
          <w:bCs/>
        </w:rPr>
        <w:t>、油气资产</w:t>
      </w:r>
      <w:bookmarkEnd w:id="151"/>
    </w:p>
    <w:p w:rsidR="00A067C6" w:rsidRDefault="005C4966">
      <w:pPr>
        <w:pStyle w:val="a6"/>
        <w:spacing w:before="0" w:beforeAutospacing="0" w:after="0" w:afterAutospacing="0"/>
        <w:rPr>
          <w:rFonts w:cs="Times New Roman"/>
          <w:sz w:val="18"/>
          <w:szCs w:val="18"/>
        </w:rPr>
      </w:pPr>
      <w:r>
        <w:rPr>
          <w:rFonts w:cs="Times New Roman" w:hint="eastAsia"/>
          <w:sz w:val="18"/>
          <w:szCs w:val="18"/>
        </w:rPr>
        <w:t>不适用。</w:t>
      </w:r>
    </w:p>
    <w:p w:rsidR="00A067C6" w:rsidRDefault="005C4966">
      <w:pPr>
        <w:pStyle w:val="3"/>
        <w:spacing w:line="280" w:lineRule="exact"/>
        <w:jc w:val="left"/>
        <w:rPr>
          <w:rFonts w:ascii="宋体" w:hAnsi="宋体" w:cs="宋体"/>
          <w:b/>
          <w:bCs/>
        </w:rPr>
      </w:pPr>
      <w:bookmarkStart w:id="152" w:name="_Toc989040"/>
      <w:r>
        <w:rPr>
          <w:rFonts w:ascii="宋体" w:hAnsi="宋体" w:cs="宋体"/>
          <w:b/>
          <w:bCs/>
        </w:rPr>
        <w:t>29</w:t>
      </w:r>
      <w:r>
        <w:rPr>
          <w:rFonts w:ascii="宋体" w:hAnsi="宋体" w:cs="宋体"/>
          <w:b/>
          <w:bCs/>
        </w:rPr>
        <w:t>、使用权资产</w:t>
      </w:r>
      <w:bookmarkEnd w:id="152"/>
    </w:p>
    <w:p w:rsidR="00A067C6" w:rsidRDefault="005C4966">
      <w:pPr>
        <w:pStyle w:val="a6"/>
        <w:spacing w:before="0" w:beforeAutospacing="0" w:after="0" w:afterAutospacing="0"/>
        <w:ind w:firstLine="420"/>
        <w:jc w:val="both"/>
      </w:pPr>
      <w:r>
        <w:rPr>
          <w:rFonts w:hint="eastAsia"/>
          <w:sz w:val="18"/>
          <w:szCs w:val="18"/>
        </w:rPr>
        <w:t>本公司对使用权资产按照成本进行初始计量，该成本包括：</w:t>
      </w:r>
    </w:p>
    <w:p w:rsidR="00A067C6" w:rsidRDefault="005C4966">
      <w:pPr>
        <w:widowControl/>
        <w:numPr>
          <w:ilvl w:val="5"/>
          <w:numId w:val="19"/>
        </w:numPr>
        <w:tabs>
          <w:tab w:val="clear" w:pos="4320"/>
          <w:tab w:val="left" w:pos="0"/>
        </w:tabs>
        <w:ind w:left="0" w:firstLine="426"/>
        <w:rPr>
          <w:sz w:val="18"/>
          <w:szCs w:val="18"/>
        </w:rPr>
      </w:pPr>
      <w:r>
        <w:rPr>
          <w:rFonts w:hint="eastAsia"/>
          <w:sz w:val="18"/>
          <w:szCs w:val="18"/>
        </w:rPr>
        <w:t>租赁负债的初始计量金额；</w:t>
      </w:r>
    </w:p>
    <w:p w:rsidR="00A067C6" w:rsidRDefault="005C4966">
      <w:pPr>
        <w:widowControl/>
        <w:numPr>
          <w:ilvl w:val="5"/>
          <w:numId w:val="19"/>
        </w:numPr>
        <w:tabs>
          <w:tab w:val="clear" w:pos="4320"/>
          <w:tab w:val="left" w:pos="0"/>
        </w:tabs>
        <w:ind w:left="0" w:firstLine="426"/>
        <w:rPr>
          <w:sz w:val="18"/>
          <w:szCs w:val="18"/>
        </w:rPr>
      </w:pPr>
      <w:r>
        <w:rPr>
          <w:rFonts w:hint="eastAsia"/>
          <w:sz w:val="18"/>
          <w:szCs w:val="18"/>
        </w:rPr>
        <w:t>在租赁期开始日或之前支付的租赁付款额，存在租赁激励的，扣除已享受的租赁激励相关金额；</w:t>
      </w:r>
    </w:p>
    <w:p w:rsidR="00A067C6" w:rsidRDefault="005C4966">
      <w:pPr>
        <w:widowControl/>
        <w:numPr>
          <w:ilvl w:val="5"/>
          <w:numId w:val="19"/>
        </w:numPr>
        <w:tabs>
          <w:tab w:val="clear" w:pos="4320"/>
          <w:tab w:val="left" w:pos="0"/>
        </w:tabs>
        <w:ind w:left="0" w:firstLine="426"/>
        <w:rPr>
          <w:sz w:val="18"/>
          <w:szCs w:val="18"/>
        </w:rPr>
      </w:pPr>
      <w:r>
        <w:rPr>
          <w:rFonts w:hint="eastAsia"/>
          <w:sz w:val="18"/>
          <w:szCs w:val="18"/>
        </w:rPr>
        <w:t>本公司发生的初始直接费用；</w:t>
      </w:r>
    </w:p>
    <w:p w:rsidR="00A067C6" w:rsidRDefault="005C4966">
      <w:pPr>
        <w:widowControl/>
        <w:numPr>
          <w:ilvl w:val="5"/>
          <w:numId w:val="19"/>
        </w:numPr>
        <w:tabs>
          <w:tab w:val="clear" w:pos="4320"/>
          <w:tab w:val="left" w:pos="0"/>
        </w:tabs>
        <w:ind w:left="0" w:firstLine="426"/>
        <w:rPr>
          <w:sz w:val="18"/>
          <w:szCs w:val="18"/>
        </w:rPr>
      </w:pPr>
      <w:r>
        <w:rPr>
          <w:rFonts w:hint="eastAsia"/>
          <w:sz w:val="18"/>
          <w:szCs w:val="18"/>
        </w:rPr>
        <w:t>本公司为拆卸及移除租赁资产、复原租赁资产所在场地或将租赁资产恢复至租赁条款约定状态预计将发生的成本（不包括为生产存货而发生的成本）。</w:t>
      </w:r>
    </w:p>
    <w:p w:rsidR="00A067C6" w:rsidRDefault="005C4966">
      <w:pPr>
        <w:pStyle w:val="a6"/>
        <w:spacing w:before="0" w:beforeAutospacing="0" w:after="0" w:afterAutospacing="0"/>
        <w:ind w:firstLine="420"/>
        <w:jc w:val="both"/>
      </w:pPr>
      <w:r>
        <w:rPr>
          <w:rFonts w:hint="eastAsia"/>
          <w:sz w:val="18"/>
          <w:szCs w:val="18"/>
        </w:rPr>
        <w:t>在租赁期开始日后，本公司采用成本模式对使用权资产进行后续计量。</w:t>
      </w:r>
    </w:p>
    <w:p w:rsidR="00A067C6" w:rsidRDefault="005C4966">
      <w:pPr>
        <w:pStyle w:val="a6"/>
        <w:spacing w:before="0" w:beforeAutospacing="0" w:after="0" w:afterAutospacing="0"/>
        <w:ind w:firstLine="420"/>
        <w:jc w:val="both"/>
      </w:pPr>
      <w:r>
        <w:rPr>
          <w:rFonts w:hint="eastAsia"/>
          <w:sz w:val="18"/>
          <w:szCs w:val="18"/>
        </w:rPr>
        <w:t>能够合理确定租赁期届满时取得租赁资产所有权的，本公司在租赁资产剩余使用寿命内计提折旧。无法合理确定租赁期届满时能够取得租赁资产所有权的，本公司在租赁期与租赁资产剩余使用寿命两者孰短的期间内计提折旧。对计提了减值准备的使用权资产，则在未来期间按扣除减值准备后的账面价值参照上述原则计提折旧。</w:t>
      </w:r>
    </w:p>
    <w:p w:rsidR="00A067C6" w:rsidRDefault="005C4966">
      <w:pPr>
        <w:pStyle w:val="3"/>
        <w:spacing w:line="280" w:lineRule="exact"/>
        <w:jc w:val="left"/>
        <w:rPr>
          <w:rFonts w:ascii="宋体" w:hAnsi="宋体" w:cs="宋体"/>
          <w:b/>
          <w:bCs/>
        </w:rPr>
      </w:pPr>
      <w:bookmarkStart w:id="153" w:name="_Toc989041"/>
      <w:r>
        <w:rPr>
          <w:rFonts w:ascii="宋体" w:hAnsi="宋体" w:cs="宋体"/>
          <w:b/>
          <w:bCs/>
        </w:rPr>
        <w:t>30</w:t>
      </w:r>
      <w:r>
        <w:rPr>
          <w:rFonts w:ascii="宋体" w:hAnsi="宋体" w:cs="宋体"/>
          <w:b/>
          <w:bCs/>
        </w:rPr>
        <w:t>、无形资产</w:t>
      </w:r>
      <w:bookmarkEnd w:id="153"/>
    </w:p>
    <w:p w:rsidR="00A067C6" w:rsidRDefault="005C4966">
      <w:pPr>
        <w:keepNext/>
        <w:keepLines/>
        <w:spacing w:before="300" w:after="300" w:line="280" w:lineRule="exact"/>
        <w:outlineLvl w:val="3"/>
        <w:rPr>
          <w:rFonts w:ascii="宋体" w:eastAsia="宋体" w:hAnsi="宋体" w:cs="宋体"/>
          <w:b/>
          <w:bCs/>
          <w:szCs w:val="21"/>
        </w:rPr>
      </w:pPr>
      <w:bookmarkStart w:id="154" w:name="_Toc989042"/>
      <w:r>
        <w:rPr>
          <w:rFonts w:ascii="宋体" w:eastAsia="宋体" w:hAnsi="宋体" w:cs="宋体"/>
          <w:b/>
          <w:bCs/>
          <w:szCs w:val="21"/>
        </w:rPr>
        <w:t>（</w:t>
      </w:r>
      <w:r>
        <w:rPr>
          <w:rFonts w:ascii="宋体" w:eastAsia="宋体" w:hAnsi="宋体" w:cs="宋体"/>
          <w:b/>
          <w:bCs/>
          <w:szCs w:val="21"/>
        </w:rPr>
        <w:t>1</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计价方法、使用寿命、减值测试</w:t>
      </w:r>
      <w:bookmarkEnd w:id="154"/>
    </w:p>
    <w:p w:rsidR="00A067C6" w:rsidRDefault="005C4966">
      <w:pPr>
        <w:pStyle w:val="a6"/>
        <w:spacing w:before="0" w:beforeAutospacing="0" w:after="0" w:afterAutospacing="0"/>
        <w:ind w:firstLine="420"/>
        <w:jc w:val="both"/>
      </w:pPr>
      <w:r>
        <w:rPr>
          <w:rFonts w:hint="eastAsia"/>
          <w:sz w:val="18"/>
          <w:szCs w:val="18"/>
        </w:rPr>
        <w:t>无形资产是指本公司拥有或者控制的没有实物形态的可辨认非货币性资产，包括土地使用权、软件、商标使用权、专利权及非专利技术等。</w:t>
      </w:r>
    </w:p>
    <w:p w:rsidR="00A067C6" w:rsidRDefault="005C4966">
      <w:pPr>
        <w:widowControl/>
        <w:numPr>
          <w:ilvl w:val="3"/>
          <w:numId w:val="20"/>
        </w:numPr>
        <w:tabs>
          <w:tab w:val="clear" w:pos="2880"/>
          <w:tab w:val="left" w:pos="0"/>
        </w:tabs>
        <w:ind w:left="0" w:firstLine="425"/>
        <w:rPr>
          <w:sz w:val="18"/>
          <w:szCs w:val="18"/>
        </w:rPr>
      </w:pPr>
      <w:r>
        <w:rPr>
          <w:rFonts w:ascii="Times New Roman" w:hAnsi="Times New Roman" w:cs="Times New Roman"/>
          <w:sz w:val="14"/>
          <w:szCs w:val="14"/>
        </w:rPr>
        <w:t xml:space="preserve">  </w:t>
      </w:r>
      <w:r>
        <w:rPr>
          <w:rFonts w:hint="eastAsia"/>
          <w:sz w:val="18"/>
          <w:szCs w:val="18"/>
        </w:rPr>
        <w:t>无形资产的初始计量</w:t>
      </w:r>
    </w:p>
    <w:p w:rsidR="00A067C6" w:rsidRDefault="005C4966">
      <w:pPr>
        <w:pStyle w:val="a6"/>
        <w:spacing w:before="0" w:beforeAutospacing="0" w:after="0" w:afterAutospacing="0"/>
        <w:ind w:firstLine="420"/>
        <w:jc w:val="both"/>
      </w:pPr>
      <w:r>
        <w:rPr>
          <w:rFonts w:hint="eastAsia"/>
          <w:sz w:val="18"/>
          <w:szCs w:val="18"/>
        </w:rPr>
        <w:t>外购无形资产的成本，</w:t>
      </w:r>
      <w:r>
        <w:rPr>
          <w:rFonts w:hint="eastAsia"/>
          <w:sz w:val="18"/>
          <w:szCs w:val="18"/>
        </w:rPr>
        <w:t>包括购买价款、相关税费以及直接归属于使该项资产达到预定用途所发生的其他支出。购买无形资产的价款超过正常信用条件延期支付，实质上具有融资性质的，无形资产的成本以购买价款的现值为基础确定。</w:t>
      </w:r>
    </w:p>
    <w:p w:rsidR="00A067C6" w:rsidRDefault="005C4966">
      <w:pPr>
        <w:pStyle w:val="a6"/>
        <w:spacing w:before="0" w:beforeAutospacing="0" w:after="0" w:afterAutospacing="0"/>
        <w:ind w:firstLine="420"/>
        <w:jc w:val="both"/>
      </w:pPr>
      <w:r>
        <w:rPr>
          <w:rFonts w:hint="eastAsia"/>
          <w:sz w:val="18"/>
          <w:szCs w:val="18"/>
        </w:rPr>
        <w:t>债务重组取得债务人用以抵债的无形资产，以该无形资产的公允价值为基础确定其入账价值，并将重组债务的账面价值与该用以抵债的无形资产公允价值之间的差额，计入当期损益。</w:t>
      </w:r>
    </w:p>
    <w:p w:rsidR="00A067C6" w:rsidRDefault="005C4966">
      <w:pPr>
        <w:pStyle w:val="a6"/>
        <w:spacing w:before="0" w:beforeAutospacing="0" w:after="0" w:afterAutospacing="0"/>
        <w:ind w:firstLine="420"/>
        <w:jc w:val="both"/>
      </w:pPr>
      <w:r>
        <w:rPr>
          <w:rFonts w:hint="eastAsia"/>
          <w:sz w:val="18"/>
          <w:szCs w:val="18"/>
        </w:rPr>
        <w:t>在非货币性资产交换具备商业实质且换入资产或换出资产的公允价值能够可靠计量的前提下，非货币性资产交换换入的无形资产以换出资产的公允价值为基础确定其入账价值，除非有确凿</w:t>
      </w:r>
      <w:r>
        <w:rPr>
          <w:rFonts w:hint="eastAsia"/>
          <w:sz w:val="18"/>
          <w:szCs w:val="18"/>
        </w:rPr>
        <w:t>证据表明换入资产的公允价值更加可靠；不满足上述前提的非货币性资产交换，以换出资产的账面价值和应支付的相关税费作为换入无形资产的成本，不确认损益。</w:t>
      </w:r>
    </w:p>
    <w:p w:rsidR="00A067C6" w:rsidRDefault="005C4966">
      <w:pPr>
        <w:pStyle w:val="a6"/>
        <w:spacing w:before="0" w:beforeAutospacing="0" w:after="0" w:afterAutospacing="0"/>
        <w:ind w:firstLine="420"/>
        <w:jc w:val="both"/>
      </w:pPr>
      <w:r>
        <w:rPr>
          <w:rFonts w:hint="eastAsia"/>
          <w:sz w:val="18"/>
          <w:szCs w:val="18"/>
        </w:rPr>
        <w:t>以同一控制下的企业吸收合并方式取得的无形资产按被合并方的账面价值确定其入账价值；以非同一控制下的企业吸收合并方式取得的无形资产按公允价值确定其入账价值。</w:t>
      </w:r>
    </w:p>
    <w:p w:rsidR="00A067C6" w:rsidRDefault="005C4966">
      <w:pPr>
        <w:pStyle w:val="a6"/>
        <w:spacing w:before="0" w:beforeAutospacing="0" w:after="0" w:afterAutospacing="0"/>
        <w:ind w:firstLine="420"/>
        <w:jc w:val="both"/>
      </w:pPr>
      <w:r>
        <w:rPr>
          <w:rFonts w:hint="eastAsia"/>
          <w:sz w:val="18"/>
          <w:szCs w:val="18"/>
        </w:rPr>
        <w:t>内部自行开发的无形资产，其成本包括：开发该无形资产时耗用的材料、劳务成本、注册费、在开发过程中使用的其他专利权和特许权的摊销以及满足资本化条件的利息费用，以及为使该无形资产达到预定用途前所发生的其他直接费用。</w:t>
      </w:r>
    </w:p>
    <w:p w:rsidR="00A067C6" w:rsidRDefault="005C4966">
      <w:pPr>
        <w:widowControl/>
        <w:numPr>
          <w:ilvl w:val="3"/>
          <w:numId w:val="21"/>
        </w:numPr>
        <w:tabs>
          <w:tab w:val="clear" w:pos="2880"/>
          <w:tab w:val="left" w:pos="0"/>
        </w:tabs>
        <w:ind w:left="0" w:firstLine="425"/>
        <w:rPr>
          <w:sz w:val="18"/>
          <w:szCs w:val="18"/>
        </w:rPr>
      </w:pPr>
      <w:r>
        <w:rPr>
          <w:rFonts w:hint="eastAsia"/>
          <w:sz w:val="18"/>
          <w:szCs w:val="18"/>
        </w:rPr>
        <w:t>无</w:t>
      </w:r>
      <w:r>
        <w:rPr>
          <w:rFonts w:hint="eastAsia"/>
          <w:sz w:val="18"/>
          <w:szCs w:val="18"/>
        </w:rPr>
        <w:t>形资产的后续计量</w:t>
      </w:r>
    </w:p>
    <w:p w:rsidR="00A067C6" w:rsidRDefault="005C4966">
      <w:pPr>
        <w:pStyle w:val="a6"/>
        <w:spacing w:before="0" w:beforeAutospacing="0" w:after="0" w:afterAutospacing="0"/>
        <w:ind w:firstLine="420"/>
        <w:jc w:val="both"/>
      </w:pPr>
      <w:r>
        <w:rPr>
          <w:rFonts w:hint="eastAsia"/>
          <w:sz w:val="18"/>
          <w:szCs w:val="18"/>
        </w:rPr>
        <w:t>本公司在取得无形资产时分析判断其使用寿命，划分为使用寿命有限和使用寿命不确定的无形资产。</w:t>
      </w:r>
    </w:p>
    <w:p w:rsidR="00A067C6" w:rsidRDefault="005C4966">
      <w:pPr>
        <w:widowControl/>
        <w:numPr>
          <w:ilvl w:val="0"/>
          <w:numId w:val="22"/>
        </w:numPr>
        <w:rPr>
          <w:rFonts w:ascii="Calibri" w:hAnsi="Calibri"/>
          <w:szCs w:val="21"/>
        </w:rPr>
      </w:pPr>
      <w:r>
        <w:rPr>
          <w:rFonts w:hint="eastAsia"/>
          <w:sz w:val="18"/>
          <w:szCs w:val="18"/>
        </w:rPr>
        <w:t>使用寿命有限的无形资产</w:t>
      </w:r>
    </w:p>
    <w:p w:rsidR="00A067C6" w:rsidRDefault="005C4966">
      <w:pPr>
        <w:pStyle w:val="a6"/>
        <w:spacing w:before="0" w:beforeAutospacing="0" w:after="0" w:afterAutospacing="0"/>
        <w:ind w:firstLine="420"/>
        <w:jc w:val="both"/>
      </w:pPr>
      <w:r>
        <w:rPr>
          <w:rFonts w:hint="eastAsia"/>
          <w:sz w:val="18"/>
          <w:szCs w:val="18"/>
        </w:rPr>
        <w:t>对于使用寿命有限的无形资产，在为企业带来经济利益的期限内按直线法摊销。使用寿命有限的无形资产预计寿命及依据如下：</w:t>
      </w:r>
    </w:p>
    <w:tbl>
      <w:tblPr>
        <w:tblW w:w="9649" w:type="dxa"/>
        <w:tblCellMar>
          <w:left w:w="0" w:type="dxa"/>
          <w:right w:w="0" w:type="dxa"/>
        </w:tblCellMar>
        <w:tblLook w:val="04A0" w:firstRow="1" w:lastRow="0" w:firstColumn="1" w:lastColumn="0" w:noHBand="0" w:noVBand="1"/>
      </w:tblPr>
      <w:tblGrid>
        <w:gridCol w:w="3216"/>
        <w:gridCol w:w="3216"/>
        <w:gridCol w:w="3217"/>
      </w:tblGrid>
      <w:tr w:rsidR="00A067C6">
        <w:trPr>
          <w:trHeight w:val="344"/>
          <w:tblHeader/>
        </w:trPr>
        <w:tc>
          <w:tcPr>
            <w:tcW w:w="3216" w:type="dxa"/>
            <w:tcBorders>
              <w:top w:val="single" w:sz="8" w:space="0" w:color="auto"/>
              <w:left w:val="single" w:sz="8" w:space="0" w:color="auto"/>
              <w:bottom w:val="single" w:sz="8" w:space="0" w:color="auto"/>
              <w:right w:val="single" w:sz="8" w:space="0" w:color="auto"/>
            </w:tcBorders>
            <w:tcMar>
              <w:top w:w="0" w:type="dxa"/>
              <w:left w:w="0" w:type="dxa"/>
              <w:bottom w:w="0" w:type="dxa"/>
              <w:right w:w="108" w:type="dxa"/>
            </w:tcMar>
            <w:vAlign w:val="center"/>
          </w:tcPr>
          <w:p w:rsidR="00A067C6" w:rsidRDefault="005C4966">
            <w:pPr>
              <w:pStyle w:val="a6"/>
              <w:spacing w:before="0" w:beforeAutospacing="0" w:after="0" w:afterAutospacing="0"/>
              <w:jc w:val="center"/>
            </w:pPr>
            <w:r>
              <w:rPr>
                <w:rFonts w:hint="eastAsia"/>
                <w:sz w:val="18"/>
                <w:szCs w:val="18"/>
              </w:rPr>
              <w:t>项目</w:t>
            </w:r>
          </w:p>
        </w:tc>
        <w:tc>
          <w:tcPr>
            <w:tcW w:w="3216" w:type="dxa"/>
            <w:tcBorders>
              <w:top w:val="single" w:sz="8" w:space="0" w:color="auto"/>
              <w:left w:val="nil"/>
              <w:bottom w:val="single" w:sz="8" w:space="0" w:color="auto"/>
              <w:right w:val="single" w:sz="8" w:space="0" w:color="auto"/>
            </w:tcBorders>
            <w:tcMar>
              <w:top w:w="0" w:type="dxa"/>
              <w:left w:w="0" w:type="dxa"/>
              <w:bottom w:w="0" w:type="dxa"/>
              <w:right w:w="108" w:type="dxa"/>
            </w:tcMar>
            <w:vAlign w:val="center"/>
          </w:tcPr>
          <w:p w:rsidR="00A067C6" w:rsidRDefault="005C4966">
            <w:pPr>
              <w:pStyle w:val="a6"/>
              <w:spacing w:before="0" w:beforeAutospacing="0" w:after="0" w:afterAutospacing="0"/>
              <w:jc w:val="center"/>
            </w:pPr>
            <w:r>
              <w:rPr>
                <w:rFonts w:hint="eastAsia"/>
                <w:sz w:val="18"/>
                <w:szCs w:val="18"/>
              </w:rPr>
              <w:t>预计使用寿命</w:t>
            </w:r>
          </w:p>
        </w:tc>
        <w:tc>
          <w:tcPr>
            <w:tcW w:w="3217" w:type="dxa"/>
            <w:tcBorders>
              <w:top w:val="single" w:sz="8" w:space="0" w:color="auto"/>
              <w:left w:val="nil"/>
              <w:bottom w:val="single" w:sz="8" w:space="0" w:color="auto"/>
              <w:right w:val="single" w:sz="8" w:space="0" w:color="auto"/>
            </w:tcBorders>
            <w:tcMar>
              <w:top w:w="0" w:type="dxa"/>
              <w:left w:w="0" w:type="dxa"/>
              <w:bottom w:w="0" w:type="dxa"/>
              <w:right w:w="108" w:type="dxa"/>
            </w:tcMar>
            <w:vAlign w:val="center"/>
          </w:tcPr>
          <w:p w:rsidR="00A067C6" w:rsidRDefault="005C4966">
            <w:pPr>
              <w:pStyle w:val="a6"/>
              <w:spacing w:before="0" w:beforeAutospacing="0" w:after="0" w:afterAutospacing="0"/>
              <w:jc w:val="center"/>
            </w:pPr>
            <w:r>
              <w:rPr>
                <w:rFonts w:hint="eastAsia"/>
                <w:sz w:val="18"/>
                <w:szCs w:val="18"/>
              </w:rPr>
              <w:t>依据</w:t>
            </w:r>
          </w:p>
        </w:tc>
      </w:tr>
      <w:tr w:rsidR="00A067C6">
        <w:trPr>
          <w:trHeight w:val="344"/>
        </w:trPr>
        <w:tc>
          <w:tcPr>
            <w:tcW w:w="3216" w:type="dxa"/>
            <w:tcBorders>
              <w:top w:val="nil"/>
              <w:left w:val="single" w:sz="8" w:space="0" w:color="auto"/>
              <w:bottom w:val="single" w:sz="8" w:space="0" w:color="auto"/>
              <w:right w:val="single" w:sz="8" w:space="0" w:color="auto"/>
            </w:tcBorders>
            <w:tcMar>
              <w:top w:w="0" w:type="dxa"/>
              <w:left w:w="0" w:type="dxa"/>
              <w:bottom w:w="0" w:type="dxa"/>
              <w:right w:w="108" w:type="dxa"/>
            </w:tcMar>
            <w:vAlign w:val="center"/>
          </w:tcPr>
          <w:p w:rsidR="00A067C6" w:rsidRDefault="005C4966">
            <w:pPr>
              <w:pStyle w:val="a6"/>
              <w:spacing w:before="0" w:beforeAutospacing="0" w:after="0" w:afterAutospacing="0" w:line="240" w:lineRule="atLeast"/>
              <w:jc w:val="center"/>
            </w:pPr>
            <w:r>
              <w:rPr>
                <w:rFonts w:hint="eastAsia"/>
                <w:sz w:val="18"/>
                <w:szCs w:val="18"/>
              </w:rPr>
              <w:t>软件</w:t>
            </w:r>
          </w:p>
        </w:tc>
        <w:tc>
          <w:tcPr>
            <w:tcW w:w="3216" w:type="dxa"/>
            <w:tcBorders>
              <w:top w:val="nil"/>
              <w:left w:val="nil"/>
              <w:bottom w:val="single" w:sz="8" w:space="0" w:color="auto"/>
              <w:right w:val="single" w:sz="8" w:space="0" w:color="auto"/>
            </w:tcBorders>
            <w:tcMar>
              <w:top w:w="0" w:type="dxa"/>
              <w:left w:w="0" w:type="dxa"/>
              <w:bottom w:w="0" w:type="dxa"/>
              <w:right w:w="108" w:type="dxa"/>
            </w:tcMar>
            <w:vAlign w:val="center"/>
          </w:tcPr>
          <w:p w:rsidR="00A067C6" w:rsidRDefault="005C4966">
            <w:pPr>
              <w:pStyle w:val="a6"/>
              <w:spacing w:before="0" w:beforeAutospacing="0" w:after="0" w:afterAutospacing="0" w:line="240" w:lineRule="atLeast"/>
              <w:ind w:firstLine="360"/>
              <w:jc w:val="center"/>
            </w:pPr>
            <w:r>
              <w:rPr>
                <w:rFonts w:hint="eastAsia"/>
                <w:sz w:val="18"/>
                <w:szCs w:val="18"/>
              </w:rPr>
              <w:t>5-10</w:t>
            </w:r>
            <w:r>
              <w:rPr>
                <w:rFonts w:hint="eastAsia"/>
                <w:sz w:val="18"/>
                <w:szCs w:val="18"/>
              </w:rPr>
              <w:t>年</w:t>
            </w:r>
          </w:p>
        </w:tc>
        <w:tc>
          <w:tcPr>
            <w:tcW w:w="3217" w:type="dxa"/>
            <w:tcBorders>
              <w:top w:val="nil"/>
              <w:left w:val="nil"/>
              <w:bottom w:val="single" w:sz="8" w:space="0" w:color="auto"/>
              <w:right w:val="single" w:sz="8" w:space="0" w:color="auto"/>
            </w:tcBorders>
            <w:tcMar>
              <w:top w:w="0" w:type="dxa"/>
              <w:left w:w="0" w:type="dxa"/>
              <w:bottom w:w="0" w:type="dxa"/>
              <w:right w:w="108" w:type="dxa"/>
            </w:tcMar>
            <w:vAlign w:val="center"/>
          </w:tcPr>
          <w:p w:rsidR="00A067C6" w:rsidRDefault="005C4966">
            <w:pPr>
              <w:pStyle w:val="a6"/>
              <w:spacing w:before="0" w:beforeAutospacing="0" w:after="0" w:afterAutospacing="0" w:line="240" w:lineRule="atLeast"/>
              <w:jc w:val="center"/>
            </w:pPr>
            <w:r>
              <w:rPr>
                <w:rFonts w:hint="eastAsia"/>
                <w:sz w:val="18"/>
                <w:szCs w:val="18"/>
              </w:rPr>
              <w:t>软件预计使用年限</w:t>
            </w:r>
          </w:p>
        </w:tc>
      </w:tr>
      <w:tr w:rsidR="00A067C6">
        <w:trPr>
          <w:trHeight w:val="344"/>
        </w:trPr>
        <w:tc>
          <w:tcPr>
            <w:tcW w:w="3216" w:type="dxa"/>
            <w:tcBorders>
              <w:top w:val="nil"/>
              <w:left w:val="single" w:sz="8" w:space="0" w:color="auto"/>
              <w:bottom w:val="single" w:sz="8" w:space="0" w:color="auto"/>
              <w:right w:val="single" w:sz="8" w:space="0" w:color="auto"/>
            </w:tcBorders>
            <w:tcMar>
              <w:top w:w="0" w:type="dxa"/>
              <w:left w:w="0" w:type="dxa"/>
              <w:bottom w:w="0" w:type="dxa"/>
              <w:right w:w="108" w:type="dxa"/>
            </w:tcMar>
            <w:vAlign w:val="center"/>
          </w:tcPr>
          <w:p w:rsidR="00A067C6" w:rsidRDefault="005C4966">
            <w:pPr>
              <w:pStyle w:val="a6"/>
              <w:spacing w:before="0" w:beforeAutospacing="0" w:after="0" w:afterAutospacing="0" w:line="240" w:lineRule="atLeast"/>
              <w:jc w:val="center"/>
            </w:pPr>
            <w:r>
              <w:rPr>
                <w:rFonts w:hint="eastAsia"/>
                <w:sz w:val="18"/>
                <w:szCs w:val="18"/>
              </w:rPr>
              <w:t>土地使用权</w:t>
            </w:r>
          </w:p>
        </w:tc>
        <w:tc>
          <w:tcPr>
            <w:tcW w:w="3216" w:type="dxa"/>
            <w:tcBorders>
              <w:top w:val="nil"/>
              <w:left w:val="nil"/>
              <w:bottom w:val="single" w:sz="8" w:space="0" w:color="auto"/>
              <w:right w:val="single" w:sz="8" w:space="0" w:color="auto"/>
            </w:tcBorders>
            <w:tcMar>
              <w:top w:w="0" w:type="dxa"/>
              <w:left w:w="0" w:type="dxa"/>
              <w:bottom w:w="0" w:type="dxa"/>
              <w:right w:w="108" w:type="dxa"/>
            </w:tcMar>
            <w:vAlign w:val="center"/>
          </w:tcPr>
          <w:p w:rsidR="00A067C6" w:rsidRDefault="005C4966">
            <w:pPr>
              <w:pStyle w:val="a6"/>
              <w:spacing w:before="0" w:beforeAutospacing="0" w:after="0" w:afterAutospacing="0" w:line="240" w:lineRule="atLeast"/>
              <w:ind w:firstLine="360"/>
              <w:jc w:val="center"/>
            </w:pPr>
            <w:r>
              <w:rPr>
                <w:rFonts w:hint="eastAsia"/>
                <w:sz w:val="18"/>
                <w:szCs w:val="18"/>
              </w:rPr>
              <w:t>40-50</w:t>
            </w:r>
            <w:r>
              <w:rPr>
                <w:rFonts w:hint="eastAsia"/>
                <w:sz w:val="18"/>
                <w:szCs w:val="18"/>
              </w:rPr>
              <w:t>年</w:t>
            </w:r>
          </w:p>
        </w:tc>
        <w:tc>
          <w:tcPr>
            <w:tcW w:w="3217" w:type="dxa"/>
            <w:tcBorders>
              <w:top w:val="nil"/>
              <w:left w:val="nil"/>
              <w:bottom w:val="single" w:sz="8" w:space="0" w:color="auto"/>
              <w:right w:val="single" w:sz="8" w:space="0" w:color="auto"/>
            </w:tcBorders>
            <w:tcMar>
              <w:top w:w="0" w:type="dxa"/>
              <w:left w:w="0" w:type="dxa"/>
              <w:bottom w:w="0" w:type="dxa"/>
              <w:right w:w="108" w:type="dxa"/>
            </w:tcMar>
            <w:vAlign w:val="center"/>
          </w:tcPr>
          <w:p w:rsidR="00A067C6" w:rsidRDefault="005C4966">
            <w:pPr>
              <w:pStyle w:val="a6"/>
              <w:spacing w:before="0" w:beforeAutospacing="0" w:after="0" w:afterAutospacing="0" w:line="240" w:lineRule="atLeast"/>
              <w:jc w:val="center"/>
            </w:pPr>
            <w:r>
              <w:rPr>
                <w:rFonts w:hint="eastAsia"/>
                <w:sz w:val="18"/>
                <w:szCs w:val="18"/>
              </w:rPr>
              <w:t>土地使用权证规定年限</w:t>
            </w:r>
          </w:p>
        </w:tc>
      </w:tr>
      <w:tr w:rsidR="00A067C6">
        <w:trPr>
          <w:trHeight w:val="344"/>
        </w:trPr>
        <w:tc>
          <w:tcPr>
            <w:tcW w:w="3216" w:type="dxa"/>
            <w:tcBorders>
              <w:top w:val="nil"/>
              <w:left w:val="single" w:sz="8" w:space="0" w:color="auto"/>
              <w:bottom w:val="single" w:sz="8" w:space="0" w:color="auto"/>
              <w:right w:val="single" w:sz="8" w:space="0" w:color="auto"/>
            </w:tcBorders>
            <w:tcMar>
              <w:top w:w="0" w:type="dxa"/>
              <w:left w:w="0" w:type="dxa"/>
              <w:bottom w:w="0" w:type="dxa"/>
              <w:right w:w="108" w:type="dxa"/>
            </w:tcMar>
            <w:vAlign w:val="center"/>
          </w:tcPr>
          <w:p w:rsidR="00A067C6" w:rsidRDefault="005C4966">
            <w:pPr>
              <w:pStyle w:val="a6"/>
              <w:spacing w:before="0" w:beforeAutospacing="0" w:after="0" w:afterAutospacing="0"/>
              <w:jc w:val="center"/>
            </w:pPr>
            <w:r>
              <w:rPr>
                <w:rFonts w:hint="eastAsia"/>
                <w:sz w:val="18"/>
                <w:szCs w:val="18"/>
              </w:rPr>
              <w:t>专利权</w:t>
            </w:r>
          </w:p>
        </w:tc>
        <w:tc>
          <w:tcPr>
            <w:tcW w:w="3216" w:type="dxa"/>
            <w:tcBorders>
              <w:top w:val="nil"/>
              <w:left w:val="nil"/>
              <w:bottom w:val="single" w:sz="8" w:space="0" w:color="auto"/>
              <w:right w:val="single" w:sz="8" w:space="0" w:color="auto"/>
            </w:tcBorders>
            <w:tcMar>
              <w:top w:w="0" w:type="dxa"/>
              <w:left w:w="0" w:type="dxa"/>
              <w:bottom w:w="0" w:type="dxa"/>
              <w:right w:w="108" w:type="dxa"/>
            </w:tcMar>
            <w:vAlign w:val="center"/>
          </w:tcPr>
          <w:p w:rsidR="00A067C6" w:rsidRDefault="005C4966">
            <w:pPr>
              <w:pStyle w:val="a6"/>
              <w:spacing w:before="0" w:beforeAutospacing="0" w:after="0" w:afterAutospacing="0"/>
              <w:jc w:val="center"/>
            </w:pPr>
            <w:r>
              <w:rPr>
                <w:rFonts w:hint="eastAsia"/>
                <w:sz w:val="18"/>
                <w:szCs w:val="18"/>
              </w:rPr>
              <w:t>在实际授权使用期间内摊销</w:t>
            </w:r>
          </w:p>
        </w:tc>
        <w:tc>
          <w:tcPr>
            <w:tcW w:w="3217" w:type="dxa"/>
            <w:tcBorders>
              <w:top w:val="nil"/>
              <w:left w:val="nil"/>
              <w:bottom w:val="single" w:sz="8" w:space="0" w:color="auto"/>
              <w:right w:val="single" w:sz="8" w:space="0" w:color="auto"/>
            </w:tcBorders>
            <w:tcMar>
              <w:top w:w="0" w:type="dxa"/>
              <w:left w:w="0" w:type="dxa"/>
              <w:bottom w:w="0" w:type="dxa"/>
              <w:right w:w="108" w:type="dxa"/>
            </w:tcMar>
            <w:vAlign w:val="center"/>
          </w:tcPr>
          <w:p w:rsidR="00A067C6" w:rsidRDefault="005C4966">
            <w:pPr>
              <w:pStyle w:val="a6"/>
              <w:spacing w:before="0" w:beforeAutospacing="0" w:after="0" w:afterAutospacing="0"/>
              <w:jc w:val="center"/>
            </w:pPr>
            <w:r>
              <w:rPr>
                <w:rFonts w:hint="eastAsia"/>
                <w:sz w:val="18"/>
                <w:szCs w:val="18"/>
              </w:rPr>
              <w:t>授权使用期限</w:t>
            </w:r>
          </w:p>
        </w:tc>
      </w:tr>
      <w:tr w:rsidR="00A067C6">
        <w:trPr>
          <w:trHeight w:val="344"/>
        </w:trPr>
        <w:tc>
          <w:tcPr>
            <w:tcW w:w="3216" w:type="dxa"/>
            <w:tcBorders>
              <w:top w:val="nil"/>
              <w:left w:val="single" w:sz="8" w:space="0" w:color="auto"/>
              <w:bottom w:val="single" w:sz="8" w:space="0" w:color="auto"/>
              <w:right w:val="single" w:sz="8" w:space="0" w:color="auto"/>
            </w:tcBorders>
            <w:tcMar>
              <w:top w:w="0" w:type="dxa"/>
              <w:left w:w="0" w:type="dxa"/>
              <w:bottom w:w="0" w:type="dxa"/>
              <w:right w:w="108" w:type="dxa"/>
            </w:tcMar>
            <w:vAlign w:val="center"/>
          </w:tcPr>
          <w:p w:rsidR="00A067C6" w:rsidRDefault="005C4966">
            <w:pPr>
              <w:pStyle w:val="a6"/>
              <w:spacing w:before="0" w:beforeAutospacing="0" w:after="0" w:afterAutospacing="0"/>
              <w:jc w:val="center"/>
            </w:pPr>
            <w:r>
              <w:rPr>
                <w:rFonts w:hint="eastAsia"/>
                <w:sz w:val="18"/>
                <w:szCs w:val="18"/>
              </w:rPr>
              <w:t>商标使用权</w:t>
            </w:r>
          </w:p>
        </w:tc>
        <w:tc>
          <w:tcPr>
            <w:tcW w:w="3216" w:type="dxa"/>
            <w:tcBorders>
              <w:top w:val="nil"/>
              <w:left w:val="nil"/>
              <w:bottom w:val="single" w:sz="8" w:space="0" w:color="auto"/>
              <w:right w:val="single" w:sz="8" w:space="0" w:color="auto"/>
            </w:tcBorders>
            <w:tcMar>
              <w:top w:w="0" w:type="dxa"/>
              <w:left w:w="0" w:type="dxa"/>
              <w:bottom w:w="0" w:type="dxa"/>
              <w:right w:w="108" w:type="dxa"/>
            </w:tcMar>
            <w:vAlign w:val="center"/>
          </w:tcPr>
          <w:p w:rsidR="00A067C6" w:rsidRDefault="005C4966">
            <w:pPr>
              <w:pStyle w:val="a6"/>
              <w:spacing w:before="0" w:beforeAutospacing="0" w:after="0" w:afterAutospacing="0"/>
              <w:jc w:val="center"/>
            </w:pPr>
            <w:r>
              <w:rPr>
                <w:rFonts w:hint="eastAsia"/>
                <w:sz w:val="18"/>
                <w:szCs w:val="18"/>
              </w:rPr>
              <w:t>在实际授权使用期间内摊销</w:t>
            </w:r>
          </w:p>
        </w:tc>
        <w:tc>
          <w:tcPr>
            <w:tcW w:w="3217" w:type="dxa"/>
            <w:tcBorders>
              <w:top w:val="nil"/>
              <w:left w:val="nil"/>
              <w:bottom w:val="single" w:sz="8" w:space="0" w:color="auto"/>
              <w:right w:val="single" w:sz="8" w:space="0" w:color="auto"/>
            </w:tcBorders>
            <w:tcMar>
              <w:top w:w="0" w:type="dxa"/>
              <w:left w:w="0" w:type="dxa"/>
              <w:bottom w:w="0" w:type="dxa"/>
              <w:right w:w="108" w:type="dxa"/>
            </w:tcMar>
            <w:vAlign w:val="center"/>
          </w:tcPr>
          <w:p w:rsidR="00A067C6" w:rsidRDefault="005C4966">
            <w:pPr>
              <w:pStyle w:val="a6"/>
              <w:spacing w:before="0" w:beforeAutospacing="0" w:after="0" w:afterAutospacing="0"/>
              <w:jc w:val="center"/>
            </w:pPr>
            <w:r>
              <w:rPr>
                <w:rFonts w:hint="eastAsia"/>
                <w:sz w:val="18"/>
                <w:szCs w:val="18"/>
              </w:rPr>
              <w:t>授权使用期限</w:t>
            </w:r>
          </w:p>
        </w:tc>
      </w:tr>
    </w:tbl>
    <w:p w:rsidR="00A067C6" w:rsidRDefault="005C4966">
      <w:pPr>
        <w:pStyle w:val="a6"/>
        <w:spacing w:before="0" w:beforeAutospacing="0" w:after="0" w:afterAutospacing="0" w:line="120" w:lineRule="auto"/>
        <w:ind w:firstLine="360"/>
      </w:pPr>
      <w:r>
        <w:rPr>
          <w:rFonts w:hint="eastAsia"/>
          <w:sz w:val="18"/>
          <w:szCs w:val="18"/>
        </w:rPr>
        <w:t> </w:t>
      </w:r>
    </w:p>
    <w:p w:rsidR="00A067C6" w:rsidRDefault="005C4966">
      <w:pPr>
        <w:pStyle w:val="a6"/>
        <w:spacing w:before="0" w:beforeAutospacing="0" w:after="0" w:afterAutospacing="0"/>
        <w:ind w:firstLine="420"/>
        <w:jc w:val="both"/>
      </w:pPr>
      <w:r>
        <w:rPr>
          <w:rFonts w:hint="eastAsia"/>
          <w:sz w:val="18"/>
          <w:szCs w:val="18"/>
        </w:rPr>
        <w:t>每期末，对使用寿命有限的无形资产的使用寿命及摊销方法进行复核，如与原先估计数存在差异的，进行相应的调整。</w:t>
      </w:r>
    </w:p>
    <w:p w:rsidR="00A067C6" w:rsidRDefault="005C4966">
      <w:pPr>
        <w:pStyle w:val="a6"/>
        <w:spacing w:before="0" w:beforeAutospacing="0" w:after="0" w:afterAutospacing="0"/>
        <w:ind w:firstLine="420"/>
        <w:jc w:val="both"/>
      </w:pPr>
      <w:r>
        <w:rPr>
          <w:rFonts w:hint="eastAsia"/>
          <w:sz w:val="18"/>
          <w:szCs w:val="18"/>
        </w:rPr>
        <w:t>经复核，本期期末无形资产的使用寿命及摊销方法与以前估计未有不同。</w:t>
      </w:r>
    </w:p>
    <w:p w:rsidR="00A067C6" w:rsidRDefault="005C4966">
      <w:pPr>
        <w:widowControl/>
        <w:numPr>
          <w:ilvl w:val="0"/>
          <w:numId w:val="23"/>
        </w:numPr>
        <w:rPr>
          <w:rFonts w:ascii="Calibri" w:hAnsi="Calibri"/>
          <w:szCs w:val="21"/>
        </w:rPr>
      </w:pPr>
      <w:r>
        <w:rPr>
          <w:rFonts w:hint="eastAsia"/>
          <w:sz w:val="18"/>
          <w:szCs w:val="18"/>
        </w:rPr>
        <w:t>使用寿命不确定的无形资产</w:t>
      </w:r>
    </w:p>
    <w:p w:rsidR="00A067C6" w:rsidRDefault="005C4966">
      <w:pPr>
        <w:pStyle w:val="a6"/>
        <w:spacing w:before="0" w:beforeAutospacing="0" w:after="0" w:afterAutospacing="0"/>
        <w:ind w:firstLine="420"/>
        <w:jc w:val="both"/>
      </w:pPr>
      <w:r>
        <w:rPr>
          <w:rFonts w:hint="eastAsia"/>
          <w:sz w:val="18"/>
          <w:szCs w:val="18"/>
        </w:rPr>
        <w:t>本公司无使用寿命不确定的无形资产。</w:t>
      </w:r>
    </w:p>
    <w:p w:rsidR="00A067C6" w:rsidRDefault="005C4966">
      <w:pPr>
        <w:keepNext/>
        <w:keepLines/>
        <w:spacing w:before="300" w:after="300" w:line="280" w:lineRule="exact"/>
        <w:outlineLvl w:val="3"/>
        <w:rPr>
          <w:rFonts w:ascii="宋体" w:eastAsia="宋体" w:hAnsi="宋体" w:cs="宋体"/>
          <w:b/>
          <w:bCs/>
          <w:szCs w:val="21"/>
        </w:rPr>
      </w:pPr>
      <w:bookmarkStart w:id="155" w:name="_Toc989043"/>
      <w:r>
        <w:rPr>
          <w:rFonts w:ascii="宋体" w:eastAsia="宋体" w:hAnsi="宋体" w:cs="宋体"/>
          <w:b/>
          <w:bCs/>
          <w:szCs w:val="21"/>
        </w:rPr>
        <w:t>（</w:t>
      </w:r>
      <w:r>
        <w:rPr>
          <w:rFonts w:ascii="宋体" w:eastAsia="宋体" w:hAnsi="宋体" w:cs="宋体"/>
          <w:b/>
          <w:bCs/>
          <w:szCs w:val="21"/>
        </w:rPr>
        <w:t>2</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内部研究开发支出会计政策</w:t>
      </w:r>
      <w:bookmarkEnd w:id="155"/>
    </w:p>
    <w:p w:rsidR="00A067C6" w:rsidRDefault="005C4966">
      <w:pPr>
        <w:widowControl/>
        <w:numPr>
          <w:ilvl w:val="3"/>
          <w:numId w:val="24"/>
        </w:numPr>
        <w:tabs>
          <w:tab w:val="clear" w:pos="2880"/>
          <w:tab w:val="left" w:pos="0"/>
        </w:tabs>
        <w:ind w:left="0" w:firstLine="426"/>
        <w:rPr>
          <w:sz w:val="18"/>
          <w:szCs w:val="18"/>
        </w:rPr>
      </w:pPr>
      <w:r>
        <w:rPr>
          <w:rFonts w:ascii="Times New Roman" w:hAnsi="Times New Roman" w:cs="Times New Roman"/>
          <w:sz w:val="14"/>
          <w:szCs w:val="14"/>
        </w:rPr>
        <w:t xml:space="preserve">  </w:t>
      </w:r>
      <w:r>
        <w:rPr>
          <w:rFonts w:hint="eastAsia"/>
          <w:sz w:val="18"/>
          <w:szCs w:val="18"/>
        </w:rPr>
        <w:t>划分公司内部研究开发项目的研究阶段和开发阶段具体标准</w:t>
      </w:r>
    </w:p>
    <w:p w:rsidR="00A067C6" w:rsidRDefault="005C4966">
      <w:pPr>
        <w:pStyle w:val="a6"/>
        <w:spacing w:before="0" w:beforeAutospacing="0" w:after="0" w:afterAutospacing="0"/>
        <w:ind w:firstLine="357"/>
        <w:jc w:val="both"/>
      </w:pPr>
      <w:r>
        <w:rPr>
          <w:rFonts w:hint="eastAsia"/>
          <w:sz w:val="18"/>
          <w:szCs w:val="18"/>
        </w:rPr>
        <w:t>研究阶段：为获取并理解新的科学或技术知识等而进行的独创性的有计划调查、研究活动的阶段。</w:t>
      </w:r>
    </w:p>
    <w:p w:rsidR="00A067C6" w:rsidRDefault="005C4966">
      <w:pPr>
        <w:pStyle w:val="a6"/>
        <w:spacing w:before="0" w:beforeAutospacing="0" w:after="0" w:afterAutospacing="0"/>
        <w:ind w:firstLine="357"/>
        <w:jc w:val="both"/>
      </w:pPr>
      <w:r>
        <w:rPr>
          <w:rFonts w:hint="eastAsia"/>
          <w:sz w:val="18"/>
          <w:szCs w:val="18"/>
        </w:rPr>
        <w:t>开发阶段：在进行商业性生产或使用前，将研究成果或其他知识应用于某项计划或设计，以生产出新的或具有实质性改进的材料、装置、产品等活动的阶段。</w:t>
      </w:r>
    </w:p>
    <w:p w:rsidR="00A067C6" w:rsidRDefault="005C4966">
      <w:pPr>
        <w:pStyle w:val="a6"/>
        <w:spacing w:before="0" w:beforeAutospacing="0" w:after="0" w:afterAutospacing="0"/>
        <w:ind w:firstLine="357"/>
        <w:jc w:val="both"/>
      </w:pPr>
      <w:r>
        <w:rPr>
          <w:rFonts w:hint="eastAsia"/>
          <w:sz w:val="18"/>
          <w:szCs w:val="18"/>
        </w:rPr>
        <w:t>内部研究开发项目研究阶段的支出，在发生时计入当期损益。</w:t>
      </w:r>
    </w:p>
    <w:p w:rsidR="00A067C6" w:rsidRDefault="005C4966">
      <w:pPr>
        <w:widowControl/>
        <w:numPr>
          <w:ilvl w:val="3"/>
          <w:numId w:val="25"/>
        </w:numPr>
        <w:tabs>
          <w:tab w:val="clear" w:pos="2880"/>
          <w:tab w:val="left" w:pos="0"/>
        </w:tabs>
        <w:ind w:left="0" w:firstLine="426"/>
        <w:rPr>
          <w:sz w:val="18"/>
          <w:szCs w:val="18"/>
        </w:rPr>
      </w:pPr>
      <w:r>
        <w:rPr>
          <w:rFonts w:ascii="Times New Roman" w:hAnsi="Times New Roman" w:cs="Times New Roman"/>
          <w:sz w:val="14"/>
          <w:szCs w:val="14"/>
        </w:rPr>
        <w:t xml:space="preserve">  </w:t>
      </w:r>
      <w:r>
        <w:rPr>
          <w:rFonts w:hint="eastAsia"/>
          <w:sz w:val="18"/>
          <w:szCs w:val="18"/>
        </w:rPr>
        <w:t>开发阶段支出符合资本化的具体标准</w:t>
      </w:r>
    </w:p>
    <w:p w:rsidR="00A067C6" w:rsidRDefault="005C4966">
      <w:pPr>
        <w:pStyle w:val="a6"/>
        <w:spacing w:before="0" w:beforeAutospacing="0" w:after="0" w:afterAutospacing="0"/>
        <w:ind w:firstLine="357"/>
        <w:jc w:val="both"/>
      </w:pPr>
      <w:r>
        <w:rPr>
          <w:rFonts w:hint="eastAsia"/>
          <w:sz w:val="18"/>
          <w:szCs w:val="18"/>
        </w:rPr>
        <w:t>内部研究开发项目开发阶段的支出，同时满足下列条件时确认为无形资产：</w:t>
      </w:r>
    </w:p>
    <w:p w:rsidR="00A067C6" w:rsidRDefault="005C4966">
      <w:pPr>
        <w:pStyle w:val="a6"/>
        <w:spacing w:before="0" w:beforeAutospacing="0" w:after="0" w:afterAutospacing="0"/>
        <w:ind w:firstLine="357"/>
        <w:jc w:val="both"/>
      </w:pPr>
      <w:r>
        <w:rPr>
          <w:rFonts w:hint="eastAsia"/>
          <w:sz w:val="18"/>
          <w:szCs w:val="18"/>
        </w:rPr>
        <w:t>（</w:t>
      </w:r>
      <w:r>
        <w:rPr>
          <w:rFonts w:hint="eastAsia"/>
          <w:sz w:val="18"/>
          <w:szCs w:val="18"/>
        </w:rPr>
        <w:t>1</w:t>
      </w:r>
      <w:r>
        <w:rPr>
          <w:rFonts w:hint="eastAsia"/>
          <w:sz w:val="18"/>
          <w:szCs w:val="18"/>
        </w:rPr>
        <w:t>）完成该无形资产以使其能够使用或出售在技术上具有可行性；</w:t>
      </w:r>
    </w:p>
    <w:p w:rsidR="00A067C6" w:rsidRDefault="005C4966">
      <w:pPr>
        <w:pStyle w:val="a6"/>
        <w:spacing w:before="0" w:beforeAutospacing="0" w:after="0" w:afterAutospacing="0"/>
        <w:ind w:firstLine="357"/>
        <w:jc w:val="both"/>
      </w:pPr>
      <w:r>
        <w:rPr>
          <w:rFonts w:hint="eastAsia"/>
          <w:sz w:val="18"/>
          <w:szCs w:val="18"/>
        </w:rPr>
        <w:t>（</w:t>
      </w:r>
      <w:r>
        <w:rPr>
          <w:rFonts w:hint="eastAsia"/>
          <w:sz w:val="18"/>
          <w:szCs w:val="18"/>
        </w:rPr>
        <w:t>2</w:t>
      </w:r>
      <w:r>
        <w:rPr>
          <w:rFonts w:hint="eastAsia"/>
          <w:sz w:val="18"/>
          <w:szCs w:val="18"/>
        </w:rPr>
        <w:t>）具有完成该无形资产并使用或出售的意图；</w:t>
      </w:r>
    </w:p>
    <w:p w:rsidR="00A067C6" w:rsidRDefault="005C4966">
      <w:pPr>
        <w:pStyle w:val="a6"/>
        <w:spacing w:before="0" w:beforeAutospacing="0" w:after="0" w:afterAutospacing="0"/>
        <w:ind w:firstLine="357"/>
        <w:jc w:val="both"/>
      </w:pPr>
      <w:r>
        <w:rPr>
          <w:rFonts w:hint="eastAsia"/>
          <w:sz w:val="18"/>
          <w:szCs w:val="18"/>
        </w:rPr>
        <w:t>（</w:t>
      </w:r>
      <w:r>
        <w:rPr>
          <w:rFonts w:hint="eastAsia"/>
          <w:sz w:val="18"/>
          <w:szCs w:val="18"/>
        </w:rPr>
        <w:t>3</w:t>
      </w:r>
      <w:r>
        <w:rPr>
          <w:rFonts w:hint="eastAsia"/>
          <w:sz w:val="18"/>
          <w:szCs w:val="18"/>
        </w:rPr>
        <w:t>）无形资产产生经济利益的方式，包括能够证明运用该无形资产生产的产品存在市场或无形资产自身存在市场，</w:t>
      </w:r>
      <w:r>
        <w:rPr>
          <w:rFonts w:hint="eastAsia"/>
          <w:sz w:val="18"/>
          <w:szCs w:val="18"/>
        </w:rPr>
        <w:t>无形资产将在内部使用的，能够证明其有用性；</w:t>
      </w:r>
    </w:p>
    <w:p w:rsidR="00A067C6" w:rsidRDefault="005C4966">
      <w:pPr>
        <w:pStyle w:val="a6"/>
        <w:spacing w:before="0" w:beforeAutospacing="0" w:after="0" w:afterAutospacing="0"/>
        <w:ind w:firstLine="357"/>
        <w:jc w:val="both"/>
      </w:pPr>
      <w:r>
        <w:rPr>
          <w:rFonts w:hint="eastAsia"/>
          <w:sz w:val="18"/>
          <w:szCs w:val="18"/>
        </w:rPr>
        <w:t>（</w:t>
      </w:r>
      <w:r>
        <w:rPr>
          <w:rFonts w:hint="eastAsia"/>
          <w:sz w:val="18"/>
          <w:szCs w:val="18"/>
        </w:rPr>
        <w:t>4</w:t>
      </w:r>
      <w:r>
        <w:rPr>
          <w:rFonts w:hint="eastAsia"/>
          <w:sz w:val="18"/>
          <w:szCs w:val="18"/>
        </w:rPr>
        <w:t>）有足够的技术、财务资源和其他资源支持，以完成该无形资产的开发，并有能力使用或出售该无形资产；</w:t>
      </w:r>
    </w:p>
    <w:p w:rsidR="00A067C6" w:rsidRDefault="005C4966">
      <w:pPr>
        <w:pStyle w:val="a6"/>
        <w:spacing w:before="0" w:beforeAutospacing="0" w:after="0" w:afterAutospacing="0"/>
        <w:ind w:firstLine="357"/>
        <w:jc w:val="both"/>
      </w:pPr>
      <w:r>
        <w:rPr>
          <w:rFonts w:hint="eastAsia"/>
          <w:sz w:val="18"/>
          <w:szCs w:val="18"/>
        </w:rPr>
        <w:t>（</w:t>
      </w:r>
      <w:r>
        <w:rPr>
          <w:rFonts w:hint="eastAsia"/>
          <w:sz w:val="18"/>
          <w:szCs w:val="18"/>
        </w:rPr>
        <w:t>5</w:t>
      </w:r>
      <w:r>
        <w:rPr>
          <w:rFonts w:hint="eastAsia"/>
          <w:sz w:val="18"/>
          <w:szCs w:val="18"/>
        </w:rPr>
        <w:t>）归属于该无形资产开发阶段的支出能够可靠地计量。</w:t>
      </w:r>
    </w:p>
    <w:p w:rsidR="00A067C6" w:rsidRDefault="005C4966">
      <w:pPr>
        <w:pStyle w:val="a6"/>
        <w:spacing w:before="0" w:beforeAutospacing="0" w:after="0" w:afterAutospacing="0"/>
        <w:ind w:firstLine="357"/>
        <w:jc w:val="both"/>
      </w:pPr>
      <w:r>
        <w:rPr>
          <w:rFonts w:hint="eastAsia"/>
          <w:sz w:val="18"/>
          <w:szCs w:val="18"/>
        </w:rPr>
        <w:t>不满足上述条件的开发阶段的支出，于发生时计入当期损益。以前期间已计入损益的开发支出不在以后期间重新确认为资产。已资本化的开发阶段的支出在资产负债表上列示为开发支出，自该项目达到预定用途之日起转为无形资产。</w:t>
      </w:r>
    </w:p>
    <w:p w:rsidR="00A067C6" w:rsidRDefault="005C4966">
      <w:pPr>
        <w:pStyle w:val="3"/>
        <w:spacing w:line="280" w:lineRule="exact"/>
        <w:jc w:val="left"/>
        <w:rPr>
          <w:rFonts w:ascii="宋体" w:hAnsi="宋体" w:cs="宋体"/>
          <w:b/>
          <w:bCs/>
        </w:rPr>
      </w:pPr>
      <w:bookmarkStart w:id="156" w:name="_Toc989044"/>
      <w:r>
        <w:rPr>
          <w:rFonts w:ascii="宋体" w:hAnsi="宋体" w:cs="宋体"/>
          <w:b/>
          <w:bCs/>
        </w:rPr>
        <w:t>31</w:t>
      </w:r>
      <w:r>
        <w:rPr>
          <w:rFonts w:ascii="宋体" w:hAnsi="宋体" w:cs="宋体"/>
          <w:b/>
          <w:bCs/>
        </w:rPr>
        <w:t>、长期资产减值</w:t>
      </w:r>
      <w:bookmarkEnd w:id="156"/>
    </w:p>
    <w:p w:rsidR="00A067C6" w:rsidRDefault="005C4966">
      <w:pPr>
        <w:pStyle w:val="a6"/>
        <w:spacing w:before="0" w:beforeAutospacing="0" w:after="0" w:afterAutospacing="0"/>
        <w:ind w:firstLine="357"/>
        <w:jc w:val="both"/>
      </w:pPr>
      <w:r>
        <w:rPr>
          <w:rFonts w:hint="eastAsia"/>
          <w:sz w:val="18"/>
          <w:szCs w:val="18"/>
        </w:rPr>
        <w:t>本公司在资产负债表日判断长期资产是否存在可能发生减值的迹象。如果长期资产存在减值迹象的，</w:t>
      </w:r>
      <w:r>
        <w:rPr>
          <w:rFonts w:hint="eastAsia"/>
          <w:sz w:val="18"/>
          <w:szCs w:val="18"/>
        </w:rPr>
        <w:t>以单项资产为基础估计其可收回金额；难以对单项资产的可收回金额进行估计的，以该资产所属的资产组为基础确定资产组的可收回金额。</w:t>
      </w:r>
    </w:p>
    <w:p w:rsidR="00A067C6" w:rsidRDefault="005C4966">
      <w:pPr>
        <w:pStyle w:val="a6"/>
        <w:spacing w:before="0" w:beforeAutospacing="0" w:after="0" w:afterAutospacing="0"/>
        <w:ind w:firstLine="357"/>
        <w:jc w:val="both"/>
      </w:pPr>
      <w:r>
        <w:rPr>
          <w:rFonts w:hint="eastAsia"/>
          <w:sz w:val="18"/>
          <w:szCs w:val="18"/>
        </w:rPr>
        <w:t>资产可收回金额的估计，根据其公允价值减去处置费用后的净额与资产预计未来现金流量的现值两者之间较高者确定。</w:t>
      </w:r>
    </w:p>
    <w:p w:rsidR="00A067C6" w:rsidRDefault="005C4966">
      <w:pPr>
        <w:pStyle w:val="a6"/>
        <w:spacing w:before="0" w:beforeAutospacing="0" w:after="0" w:afterAutospacing="0"/>
        <w:ind w:firstLine="357"/>
        <w:jc w:val="both"/>
      </w:pPr>
      <w:r>
        <w:rPr>
          <w:rFonts w:hint="eastAsia"/>
          <w:sz w:val="18"/>
          <w:szCs w:val="18"/>
        </w:rPr>
        <w:t>可收回金额的计量结果表明，长期资产的可收回金额低于其账面价值的，将长期资产的账面价值减记至可收回金额，减记的金额确认为资产减值损失，计入当期损益，同时计提相应的资产减值准备。资产减值损失一经确认，在以后会计期间不得转回。</w:t>
      </w:r>
    </w:p>
    <w:p w:rsidR="00A067C6" w:rsidRDefault="005C4966">
      <w:pPr>
        <w:pStyle w:val="a6"/>
        <w:spacing w:before="0" w:beforeAutospacing="0" w:after="0" w:afterAutospacing="0"/>
        <w:ind w:firstLine="357"/>
        <w:jc w:val="both"/>
      </w:pPr>
      <w:r>
        <w:rPr>
          <w:rFonts w:hint="eastAsia"/>
          <w:sz w:val="18"/>
          <w:szCs w:val="18"/>
        </w:rPr>
        <w:t>资产减值损失确认后，减值资产的折旧或者摊销费用在未来期间作相</w:t>
      </w:r>
      <w:r>
        <w:rPr>
          <w:rFonts w:hint="eastAsia"/>
          <w:sz w:val="18"/>
          <w:szCs w:val="18"/>
        </w:rPr>
        <w:t>应调整，以使该资产在剩余使用寿命内，系统地分摊调整后的资产账面价值（扣除预计净残值）。</w:t>
      </w:r>
    </w:p>
    <w:p w:rsidR="00A067C6" w:rsidRDefault="005C4966">
      <w:pPr>
        <w:pStyle w:val="a6"/>
        <w:spacing w:before="0" w:beforeAutospacing="0" w:after="0" w:afterAutospacing="0"/>
        <w:ind w:firstLine="357"/>
        <w:jc w:val="both"/>
      </w:pPr>
      <w:r>
        <w:rPr>
          <w:rFonts w:hint="eastAsia"/>
          <w:sz w:val="18"/>
          <w:szCs w:val="18"/>
        </w:rPr>
        <w:t>因企业合并所形成的商誉和使用寿命不确定的无形资产，无论是否存在减值迹象，每年都进行减值测试。</w:t>
      </w:r>
    </w:p>
    <w:p w:rsidR="00A067C6" w:rsidRDefault="005C4966">
      <w:pPr>
        <w:pStyle w:val="a6"/>
        <w:spacing w:before="0" w:beforeAutospacing="0" w:after="0" w:afterAutospacing="0"/>
        <w:ind w:firstLine="357"/>
        <w:jc w:val="both"/>
      </w:pPr>
      <w:r>
        <w:rPr>
          <w:rFonts w:hint="eastAsia"/>
          <w:sz w:val="18"/>
          <w:szCs w:val="18"/>
        </w:rPr>
        <w:t>在对商誉进行减值测试时，将商誉的账面价值分摊至预期从企业合并的协同效应中受益的资产组或资产组组合。在对包含商誉的相关资产组或者资产组组合进行减值测试时，如与商誉相关的资产组或者资产组组合存在减值迹象的，先对不包含商誉的资产组或者资产组组合进行减值测试，计算可收回金额，并与相关账面价值相比较，确认相应的减值损失。再对包含商誉的资产</w:t>
      </w:r>
      <w:r>
        <w:rPr>
          <w:rFonts w:hint="eastAsia"/>
          <w:sz w:val="18"/>
          <w:szCs w:val="18"/>
        </w:rPr>
        <w:t>组或者资产组组合进行减值测试，比较这些相关资产组或者资产组组合的账面价值（包括所分摊的商誉的账面价值部分）与其可收回金额，如相关资产组或者资产组组合的可收回金额低于其账面价值的，确认商誉的减值损失。</w:t>
      </w:r>
    </w:p>
    <w:p w:rsidR="00A067C6" w:rsidRDefault="005C4966">
      <w:pPr>
        <w:pStyle w:val="3"/>
        <w:spacing w:line="280" w:lineRule="exact"/>
        <w:jc w:val="left"/>
        <w:rPr>
          <w:rFonts w:ascii="宋体" w:hAnsi="宋体" w:cs="宋体"/>
          <w:b/>
          <w:bCs/>
        </w:rPr>
      </w:pPr>
      <w:bookmarkStart w:id="157" w:name="_Toc989045"/>
      <w:r>
        <w:rPr>
          <w:rFonts w:ascii="宋体" w:hAnsi="宋体" w:cs="宋体"/>
          <w:b/>
          <w:bCs/>
        </w:rPr>
        <w:t>32</w:t>
      </w:r>
      <w:r>
        <w:rPr>
          <w:rFonts w:ascii="宋体" w:hAnsi="宋体" w:cs="宋体"/>
          <w:b/>
          <w:bCs/>
        </w:rPr>
        <w:t>、长期待摊费用</w:t>
      </w:r>
      <w:bookmarkEnd w:id="157"/>
    </w:p>
    <w:p w:rsidR="00A067C6" w:rsidRDefault="005C4966">
      <w:pPr>
        <w:widowControl/>
        <w:numPr>
          <w:ilvl w:val="0"/>
          <w:numId w:val="26"/>
        </w:numPr>
        <w:ind w:left="714" w:hanging="357"/>
        <w:rPr>
          <w:sz w:val="18"/>
          <w:szCs w:val="18"/>
        </w:rPr>
      </w:pPr>
      <w:r>
        <w:rPr>
          <w:rFonts w:ascii="Times New Roman" w:hAnsi="Times New Roman" w:cs="Times New Roman"/>
          <w:sz w:val="14"/>
          <w:szCs w:val="14"/>
        </w:rPr>
        <w:t> </w:t>
      </w:r>
      <w:r>
        <w:rPr>
          <w:rFonts w:hint="eastAsia"/>
          <w:sz w:val="18"/>
          <w:szCs w:val="18"/>
        </w:rPr>
        <w:t>摊销方法</w:t>
      </w:r>
    </w:p>
    <w:p w:rsidR="00A067C6" w:rsidRDefault="005C4966">
      <w:pPr>
        <w:pStyle w:val="a6"/>
        <w:spacing w:before="0" w:beforeAutospacing="0" w:after="0" w:afterAutospacing="0"/>
        <w:ind w:firstLine="357"/>
        <w:jc w:val="both"/>
      </w:pPr>
      <w:r>
        <w:rPr>
          <w:rFonts w:hint="eastAsia"/>
          <w:sz w:val="18"/>
          <w:szCs w:val="18"/>
        </w:rPr>
        <w:t>长期待摊费用，是指本公司已经发生但应由本期和以后各期负担的分摊期限在</w:t>
      </w:r>
      <w:r>
        <w:rPr>
          <w:rFonts w:hint="eastAsia"/>
          <w:sz w:val="18"/>
          <w:szCs w:val="18"/>
        </w:rPr>
        <w:t>1</w:t>
      </w:r>
      <w:r>
        <w:rPr>
          <w:rFonts w:hint="eastAsia"/>
          <w:sz w:val="18"/>
          <w:szCs w:val="18"/>
        </w:rPr>
        <w:t>年以上的各项费用。长期待摊费用在受益期内按直线法分期摊销。</w:t>
      </w:r>
    </w:p>
    <w:p w:rsidR="00A067C6" w:rsidRDefault="005C4966">
      <w:pPr>
        <w:widowControl/>
        <w:numPr>
          <w:ilvl w:val="0"/>
          <w:numId w:val="27"/>
        </w:numPr>
        <w:ind w:left="714" w:hanging="357"/>
        <w:rPr>
          <w:sz w:val="18"/>
          <w:szCs w:val="18"/>
        </w:rPr>
      </w:pPr>
      <w:r>
        <w:rPr>
          <w:rFonts w:ascii="Times New Roman" w:hAnsi="Times New Roman" w:cs="Times New Roman"/>
          <w:sz w:val="14"/>
          <w:szCs w:val="14"/>
        </w:rPr>
        <w:t> </w:t>
      </w:r>
      <w:r>
        <w:rPr>
          <w:rFonts w:hint="eastAsia"/>
          <w:sz w:val="18"/>
          <w:szCs w:val="18"/>
        </w:rPr>
        <w:t>摊销年限</w:t>
      </w:r>
    </w:p>
    <w:tbl>
      <w:tblPr>
        <w:tblW w:w="9622" w:type="dxa"/>
        <w:jc w:val="center"/>
        <w:tblCellMar>
          <w:left w:w="0" w:type="dxa"/>
          <w:right w:w="0" w:type="dxa"/>
        </w:tblCellMar>
        <w:tblLook w:val="04A0" w:firstRow="1" w:lastRow="0" w:firstColumn="1" w:lastColumn="0" w:noHBand="0" w:noVBand="1"/>
      </w:tblPr>
      <w:tblGrid>
        <w:gridCol w:w="3614"/>
        <w:gridCol w:w="2845"/>
        <w:gridCol w:w="3163"/>
      </w:tblGrid>
      <w:tr w:rsidR="00A067C6">
        <w:trPr>
          <w:trHeight w:val="340"/>
          <w:tblHeader/>
          <w:jc w:val="center"/>
        </w:trPr>
        <w:tc>
          <w:tcPr>
            <w:tcW w:w="36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jc w:val="center"/>
            </w:pPr>
            <w:r>
              <w:rPr>
                <w:rFonts w:hint="eastAsia"/>
                <w:sz w:val="18"/>
                <w:szCs w:val="18"/>
              </w:rPr>
              <w:t>类别</w:t>
            </w:r>
          </w:p>
        </w:tc>
        <w:tc>
          <w:tcPr>
            <w:tcW w:w="28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jc w:val="center"/>
            </w:pPr>
            <w:r>
              <w:rPr>
                <w:rFonts w:hint="eastAsia"/>
                <w:sz w:val="18"/>
                <w:szCs w:val="18"/>
              </w:rPr>
              <w:t>摊销年限</w:t>
            </w:r>
          </w:p>
        </w:tc>
        <w:tc>
          <w:tcPr>
            <w:tcW w:w="31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jc w:val="center"/>
            </w:pPr>
            <w:r>
              <w:rPr>
                <w:rFonts w:hint="eastAsia"/>
                <w:sz w:val="18"/>
                <w:szCs w:val="18"/>
              </w:rPr>
              <w:t>备注</w:t>
            </w:r>
          </w:p>
        </w:tc>
      </w:tr>
      <w:tr w:rsidR="00A067C6">
        <w:trPr>
          <w:trHeight w:val="340"/>
          <w:jc w:val="center"/>
        </w:trPr>
        <w:tc>
          <w:tcPr>
            <w:tcW w:w="36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line="240" w:lineRule="atLeast"/>
            </w:pPr>
            <w:r>
              <w:rPr>
                <w:rFonts w:hint="eastAsia"/>
                <w:sz w:val="18"/>
                <w:szCs w:val="18"/>
              </w:rPr>
              <w:t>装修费</w:t>
            </w:r>
          </w:p>
        </w:tc>
        <w:tc>
          <w:tcPr>
            <w:tcW w:w="2845" w:type="dxa"/>
            <w:tcBorders>
              <w:top w:val="nil"/>
              <w:left w:val="nil"/>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line="240" w:lineRule="atLeast"/>
              <w:jc w:val="center"/>
            </w:pPr>
            <w:r>
              <w:rPr>
                <w:rFonts w:hint="eastAsia"/>
                <w:sz w:val="18"/>
                <w:szCs w:val="18"/>
              </w:rPr>
              <w:t>3-5</w:t>
            </w:r>
            <w:r>
              <w:rPr>
                <w:rFonts w:hint="eastAsia"/>
                <w:sz w:val="18"/>
                <w:szCs w:val="18"/>
              </w:rPr>
              <w:t>年</w:t>
            </w:r>
          </w:p>
        </w:tc>
        <w:tc>
          <w:tcPr>
            <w:tcW w:w="3163" w:type="dxa"/>
            <w:tcBorders>
              <w:top w:val="nil"/>
              <w:left w:val="nil"/>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jc w:val="center"/>
            </w:pPr>
            <w:r>
              <w:rPr>
                <w:rFonts w:ascii="Arial Narrow" w:hAnsi="Arial Narrow"/>
                <w:sz w:val="18"/>
                <w:szCs w:val="18"/>
              </w:rPr>
              <w:t> </w:t>
            </w:r>
          </w:p>
        </w:tc>
      </w:tr>
      <w:tr w:rsidR="00A067C6">
        <w:trPr>
          <w:trHeight w:val="340"/>
          <w:jc w:val="center"/>
        </w:trPr>
        <w:tc>
          <w:tcPr>
            <w:tcW w:w="36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line="240" w:lineRule="atLeast"/>
            </w:pPr>
            <w:r>
              <w:rPr>
                <w:rFonts w:hint="eastAsia"/>
                <w:sz w:val="18"/>
                <w:szCs w:val="18"/>
              </w:rPr>
              <w:t>机物料</w:t>
            </w:r>
          </w:p>
        </w:tc>
        <w:tc>
          <w:tcPr>
            <w:tcW w:w="2845" w:type="dxa"/>
            <w:tcBorders>
              <w:top w:val="nil"/>
              <w:left w:val="nil"/>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line="240" w:lineRule="atLeast"/>
              <w:jc w:val="center"/>
            </w:pPr>
            <w:r>
              <w:rPr>
                <w:rFonts w:hint="eastAsia"/>
                <w:sz w:val="18"/>
                <w:szCs w:val="18"/>
              </w:rPr>
              <w:t>3-5</w:t>
            </w:r>
            <w:r>
              <w:rPr>
                <w:rFonts w:hint="eastAsia"/>
                <w:sz w:val="18"/>
                <w:szCs w:val="18"/>
              </w:rPr>
              <w:t>年</w:t>
            </w:r>
          </w:p>
        </w:tc>
        <w:tc>
          <w:tcPr>
            <w:tcW w:w="3163" w:type="dxa"/>
            <w:tcBorders>
              <w:top w:val="nil"/>
              <w:left w:val="nil"/>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jc w:val="center"/>
            </w:pPr>
            <w:r>
              <w:rPr>
                <w:rFonts w:ascii="Arial Narrow" w:hAnsi="Arial Narrow"/>
                <w:sz w:val="18"/>
                <w:szCs w:val="18"/>
              </w:rPr>
              <w:t> </w:t>
            </w:r>
          </w:p>
        </w:tc>
      </w:tr>
      <w:tr w:rsidR="00A067C6">
        <w:trPr>
          <w:trHeight w:val="340"/>
          <w:jc w:val="center"/>
        </w:trPr>
        <w:tc>
          <w:tcPr>
            <w:tcW w:w="36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line="240" w:lineRule="atLeast"/>
            </w:pPr>
            <w:r>
              <w:rPr>
                <w:rFonts w:hint="eastAsia"/>
                <w:sz w:val="18"/>
                <w:szCs w:val="18"/>
              </w:rPr>
              <w:t>其他</w:t>
            </w:r>
          </w:p>
        </w:tc>
        <w:tc>
          <w:tcPr>
            <w:tcW w:w="2845" w:type="dxa"/>
            <w:tcBorders>
              <w:top w:val="nil"/>
              <w:left w:val="nil"/>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line="240" w:lineRule="atLeast"/>
              <w:jc w:val="center"/>
            </w:pPr>
            <w:r>
              <w:rPr>
                <w:rFonts w:hint="eastAsia"/>
                <w:sz w:val="18"/>
                <w:szCs w:val="18"/>
              </w:rPr>
              <w:t>2-5</w:t>
            </w:r>
            <w:r>
              <w:rPr>
                <w:rFonts w:hint="eastAsia"/>
                <w:sz w:val="18"/>
                <w:szCs w:val="18"/>
              </w:rPr>
              <w:t>年</w:t>
            </w:r>
          </w:p>
        </w:tc>
        <w:tc>
          <w:tcPr>
            <w:tcW w:w="3163" w:type="dxa"/>
            <w:tcBorders>
              <w:top w:val="nil"/>
              <w:left w:val="nil"/>
              <w:bottom w:val="single" w:sz="8" w:space="0" w:color="auto"/>
              <w:right w:val="single" w:sz="8" w:space="0" w:color="auto"/>
            </w:tcBorders>
            <w:tcMar>
              <w:top w:w="0" w:type="dxa"/>
              <w:left w:w="108" w:type="dxa"/>
              <w:bottom w:w="0" w:type="dxa"/>
              <w:right w:w="108" w:type="dxa"/>
            </w:tcMar>
            <w:vAlign w:val="center"/>
          </w:tcPr>
          <w:p w:rsidR="00A067C6" w:rsidRDefault="005C4966">
            <w:pPr>
              <w:pStyle w:val="a6"/>
              <w:spacing w:before="0" w:beforeAutospacing="0" w:after="0" w:afterAutospacing="0"/>
              <w:jc w:val="center"/>
            </w:pPr>
            <w:r>
              <w:rPr>
                <w:rFonts w:ascii="Arial Narrow" w:hAnsi="Arial Narrow"/>
                <w:sz w:val="18"/>
                <w:szCs w:val="18"/>
              </w:rPr>
              <w:t> </w:t>
            </w:r>
          </w:p>
        </w:tc>
      </w:tr>
    </w:tbl>
    <w:p w:rsidR="00A067C6" w:rsidRDefault="005C4966">
      <w:pPr>
        <w:pStyle w:val="3"/>
        <w:spacing w:line="280" w:lineRule="exact"/>
        <w:jc w:val="left"/>
        <w:rPr>
          <w:rFonts w:ascii="宋体" w:hAnsi="宋体" w:cs="宋体"/>
          <w:b/>
          <w:bCs/>
        </w:rPr>
      </w:pPr>
      <w:bookmarkStart w:id="158" w:name="_Toc989046"/>
      <w:r>
        <w:rPr>
          <w:rFonts w:ascii="宋体" w:hAnsi="宋体" w:cs="宋体"/>
          <w:b/>
          <w:bCs/>
        </w:rPr>
        <w:t>33</w:t>
      </w:r>
      <w:r>
        <w:rPr>
          <w:rFonts w:ascii="宋体" w:hAnsi="宋体" w:cs="宋体"/>
          <w:b/>
          <w:bCs/>
        </w:rPr>
        <w:t>、合同负债</w:t>
      </w:r>
      <w:bookmarkEnd w:id="158"/>
    </w:p>
    <w:p w:rsidR="00A067C6" w:rsidRDefault="005C4966">
      <w:pPr>
        <w:pStyle w:val="a6"/>
        <w:spacing w:before="0" w:beforeAutospacing="0" w:after="0" w:afterAutospacing="0"/>
        <w:ind w:firstLine="357"/>
        <w:jc w:val="both"/>
      </w:pPr>
      <w:r>
        <w:rPr>
          <w:rFonts w:hint="eastAsia"/>
          <w:sz w:val="18"/>
          <w:szCs w:val="18"/>
        </w:rPr>
        <w:t>本公司将已收或应收客户对价而应向客户转让商品的义务部分确认为合同负债。</w:t>
      </w:r>
    </w:p>
    <w:p w:rsidR="00A067C6" w:rsidRDefault="005C4966">
      <w:pPr>
        <w:pStyle w:val="3"/>
        <w:spacing w:line="280" w:lineRule="exact"/>
        <w:jc w:val="left"/>
        <w:rPr>
          <w:rFonts w:ascii="宋体" w:hAnsi="宋体" w:cs="宋体"/>
          <w:b/>
          <w:bCs/>
        </w:rPr>
      </w:pPr>
      <w:bookmarkStart w:id="159" w:name="_Toc989047"/>
      <w:r>
        <w:rPr>
          <w:rFonts w:ascii="宋体" w:hAnsi="宋体" w:cs="宋体"/>
          <w:b/>
          <w:bCs/>
        </w:rPr>
        <w:t>34</w:t>
      </w:r>
      <w:r>
        <w:rPr>
          <w:rFonts w:ascii="宋体" w:hAnsi="宋体" w:cs="宋体"/>
          <w:b/>
          <w:bCs/>
        </w:rPr>
        <w:t>、职工薪酬</w:t>
      </w:r>
      <w:bookmarkEnd w:id="159"/>
    </w:p>
    <w:p w:rsidR="00A067C6" w:rsidRDefault="005C4966">
      <w:pPr>
        <w:keepNext/>
        <w:keepLines/>
        <w:spacing w:before="300" w:after="300" w:line="280" w:lineRule="exact"/>
        <w:outlineLvl w:val="3"/>
        <w:rPr>
          <w:rFonts w:ascii="宋体" w:eastAsia="宋体" w:hAnsi="宋体" w:cs="宋体"/>
          <w:b/>
          <w:bCs/>
          <w:szCs w:val="21"/>
        </w:rPr>
      </w:pPr>
      <w:bookmarkStart w:id="160" w:name="_Toc989048"/>
      <w:r>
        <w:rPr>
          <w:rFonts w:ascii="宋体" w:eastAsia="宋体" w:hAnsi="宋体" w:cs="宋体"/>
          <w:b/>
          <w:bCs/>
          <w:szCs w:val="21"/>
        </w:rPr>
        <w:t>（</w:t>
      </w:r>
      <w:r>
        <w:rPr>
          <w:rFonts w:ascii="宋体" w:eastAsia="宋体" w:hAnsi="宋体" w:cs="宋体"/>
          <w:b/>
          <w:bCs/>
          <w:szCs w:val="21"/>
        </w:rPr>
        <w:t>1</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短期薪酬的会计处理方法</w:t>
      </w:r>
      <w:bookmarkEnd w:id="160"/>
    </w:p>
    <w:p w:rsidR="00A067C6" w:rsidRDefault="005C4966">
      <w:pPr>
        <w:pStyle w:val="a6"/>
        <w:spacing w:before="0" w:beforeAutospacing="0" w:after="0" w:afterAutospacing="0"/>
        <w:ind w:firstLine="357"/>
        <w:jc w:val="both"/>
      </w:pPr>
      <w:r>
        <w:rPr>
          <w:rFonts w:hint="eastAsia"/>
          <w:sz w:val="18"/>
          <w:szCs w:val="18"/>
        </w:rPr>
        <w:t>短期薪酬是指本公司在职工提供相关服务的年度报告期间结束后十二个月内需要全部予以支付的职工薪酬，离职后福利和辞退福利除外。本公司在职工提供服务的会计期间，将应付的短期薪酬确认为负债，并根据职工提供服务的受益对象计入相关资产成本和费用。</w:t>
      </w:r>
    </w:p>
    <w:p w:rsidR="00A067C6" w:rsidRDefault="005C4966">
      <w:pPr>
        <w:keepNext/>
        <w:keepLines/>
        <w:spacing w:before="300" w:after="300" w:line="280" w:lineRule="exact"/>
        <w:outlineLvl w:val="3"/>
        <w:rPr>
          <w:rFonts w:ascii="宋体" w:eastAsia="宋体" w:hAnsi="宋体" w:cs="宋体"/>
          <w:b/>
          <w:bCs/>
          <w:szCs w:val="21"/>
        </w:rPr>
      </w:pPr>
      <w:bookmarkStart w:id="161" w:name="_Toc989049"/>
      <w:r>
        <w:rPr>
          <w:rFonts w:ascii="宋体" w:eastAsia="宋体" w:hAnsi="宋体" w:cs="宋体"/>
          <w:b/>
          <w:bCs/>
          <w:szCs w:val="21"/>
        </w:rPr>
        <w:t>（</w:t>
      </w:r>
      <w:r>
        <w:rPr>
          <w:rFonts w:ascii="宋体" w:eastAsia="宋体" w:hAnsi="宋体" w:cs="宋体"/>
          <w:b/>
          <w:bCs/>
          <w:szCs w:val="21"/>
        </w:rPr>
        <w:t>2</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离职后福利的会计处理方法</w:t>
      </w:r>
      <w:bookmarkEnd w:id="161"/>
    </w:p>
    <w:p w:rsidR="00A067C6" w:rsidRDefault="005C4966">
      <w:pPr>
        <w:pStyle w:val="a6"/>
        <w:spacing w:before="0" w:beforeAutospacing="0" w:after="0" w:afterAutospacing="0"/>
        <w:ind w:firstLine="357"/>
        <w:jc w:val="both"/>
        <w:rPr>
          <w:sz w:val="18"/>
          <w:szCs w:val="18"/>
        </w:rPr>
      </w:pPr>
      <w:r>
        <w:rPr>
          <w:rFonts w:hint="eastAsia"/>
          <w:sz w:val="18"/>
          <w:szCs w:val="18"/>
        </w:rPr>
        <w:t>离职后福利是指本公司为获得职工提供的服务而在职工退休或与企业解除劳动关系后，提供的各种形式的报酬和福利，短期薪酬和辞退福利除</w:t>
      </w:r>
      <w:r>
        <w:rPr>
          <w:rFonts w:hint="eastAsia"/>
          <w:sz w:val="18"/>
          <w:szCs w:val="18"/>
        </w:rPr>
        <w:t>外。</w:t>
      </w:r>
    </w:p>
    <w:p w:rsidR="00A067C6" w:rsidRDefault="005C4966">
      <w:pPr>
        <w:pStyle w:val="a6"/>
        <w:spacing w:before="0" w:beforeAutospacing="0" w:after="0" w:afterAutospacing="0"/>
        <w:ind w:firstLine="357"/>
        <w:jc w:val="both"/>
        <w:rPr>
          <w:sz w:val="18"/>
          <w:szCs w:val="18"/>
        </w:rPr>
      </w:pPr>
      <w:r>
        <w:rPr>
          <w:rFonts w:hint="eastAsia"/>
          <w:sz w:val="18"/>
          <w:szCs w:val="18"/>
        </w:rPr>
        <w:t>本公司的离职后福利计划分类为设定提存计划和设定受益计划。</w:t>
      </w:r>
    </w:p>
    <w:p w:rsidR="00A067C6" w:rsidRDefault="005C4966">
      <w:pPr>
        <w:pStyle w:val="a6"/>
        <w:spacing w:before="0" w:beforeAutospacing="0" w:after="0" w:afterAutospacing="0"/>
        <w:ind w:firstLine="357"/>
        <w:jc w:val="both"/>
        <w:rPr>
          <w:sz w:val="18"/>
          <w:szCs w:val="18"/>
        </w:rPr>
      </w:pPr>
      <w:r>
        <w:rPr>
          <w:rFonts w:hint="eastAsia"/>
          <w:sz w:val="18"/>
          <w:szCs w:val="18"/>
        </w:rPr>
        <w:t>离职后福利设定提存计划主要为参加由各地劳动及社会保障机构组织实施的社会基本养老保险、失业保险等；在职工为本公司提供服务的会计期间，将根据设定提存计划计算的应缴存金额确认为负债，并计入当期损益或相关资产成本。</w:t>
      </w:r>
    </w:p>
    <w:p w:rsidR="00A067C6" w:rsidRDefault="005C4966">
      <w:pPr>
        <w:pStyle w:val="a6"/>
        <w:spacing w:before="0" w:beforeAutospacing="0" w:after="0" w:afterAutospacing="0"/>
        <w:ind w:firstLine="357"/>
        <w:jc w:val="both"/>
        <w:rPr>
          <w:sz w:val="18"/>
          <w:szCs w:val="18"/>
        </w:rPr>
      </w:pPr>
      <w:r>
        <w:rPr>
          <w:rFonts w:hint="eastAsia"/>
          <w:sz w:val="18"/>
          <w:szCs w:val="18"/>
        </w:rPr>
        <w:t>本公司按照国家规定的标准和年金计划定期缴付上述款项后，不再有其他的支付义务。</w:t>
      </w:r>
    </w:p>
    <w:p w:rsidR="00A067C6" w:rsidRDefault="005C4966">
      <w:pPr>
        <w:keepNext/>
        <w:keepLines/>
        <w:spacing w:before="300" w:after="300" w:line="280" w:lineRule="exact"/>
        <w:outlineLvl w:val="3"/>
        <w:rPr>
          <w:rFonts w:ascii="宋体" w:eastAsia="宋体" w:hAnsi="宋体" w:cs="宋体"/>
          <w:b/>
          <w:bCs/>
          <w:szCs w:val="21"/>
        </w:rPr>
      </w:pPr>
      <w:bookmarkStart w:id="162" w:name="_Toc989050"/>
      <w:r>
        <w:rPr>
          <w:rFonts w:ascii="宋体" w:eastAsia="宋体" w:hAnsi="宋体" w:cs="宋体"/>
          <w:b/>
          <w:bCs/>
          <w:szCs w:val="21"/>
        </w:rPr>
        <w:t>（</w:t>
      </w:r>
      <w:r>
        <w:rPr>
          <w:rFonts w:ascii="宋体" w:eastAsia="宋体" w:hAnsi="宋体" w:cs="宋体"/>
          <w:b/>
          <w:bCs/>
          <w:szCs w:val="21"/>
        </w:rPr>
        <w:t>3</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辞退福利的会计处理方法</w:t>
      </w:r>
      <w:bookmarkEnd w:id="162"/>
    </w:p>
    <w:p w:rsidR="00A067C6" w:rsidRDefault="005C4966">
      <w:pPr>
        <w:pStyle w:val="a6"/>
        <w:spacing w:before="0" w:beforeAutospacing="0" w:after="0" w:afterAutospacing="0"/>
        <w:ind w:firstLine="357"/>
        <w:jc w:val="both"/>
      </w:pPr>
      <w:r>
        <w:rPr>
          <w:rFonts w:hint="eastAsia"/>
          <w:sz w:val="18"/>
          <w:szCs w:val="18"/>
        </w:rPr>
        <w:t>辞退福利是指本公司在职工劳动合同到期之前解除与职工的劳动关系，或者为鼓励职工自愿接受裁减而给予职工的补偿，在本公司不能单方面撤回解</w:t>
      </w:r>
      <w:r>
        <w:rPr>
          <w:rFonts w:hint="eastAsia"/>
          <w:sz w:val="18"/>
          <w:szCs w:val="18"/>
        </w:rPr>
        <w:t>除劳动关系计划或裁减建议时和确认与涉及支付辞退福利的重组相关的成本费用时两者孰早日，确认因解除与职工的劳动关系给予补偿而产生的负债，同时计入当期损益。</w:t>
      </w:r>
    </w:p>
    <w:p w:rsidR="00A067C6" w:rsidRDefault="005C4966">
      <w:pPr>
        <w:pStyle w:val="a6"/>
        <w:spacing w:before="0" w:beforeAutospacing="0" w:after="0" w:afterAutospacing="0"/>
        <w:ind w:firstLine="357"/>
        <w:jc w:val="both"/>
      </w:pPr>
      <w:r>
        <w:rPr>
          <w:rFonts w:hint="eastAsia"/>
          <w:sz w:val="18"/>
          <w:szCs w:val="18"/>
        </w:rPr>
        <w:t>本公司向接受内部退休安排的职工提供内退福利。内退福利是指，向未达到国家规定的退休年龄、经本公司管理层批准自愿退出工作岗位的职工支付的工资及为其缴纳的社会保险费等。本公司自内部退休安排开始之日起至职工达到正常退休年龄止，向内退职工支付内部退养福利。对于内退福利，本公司比照辞退福利进行会计处理，在符合辞退福利相关确认条件时，将自职工停止提供服务日至正常退休日期间</w:t>
      </w:r>
      <w:r>
        <w:rPr>
          <w:rFonts w:hint="eastAsia"/>
          <w:sz w:val="18"/>
          <w:szCs w:val="18"/>
        </w:rPr>
        <w:t>拟支付的内退职工工资和缴纳的社会保险费等，确认为负债，一次性计入当期损益。内退福利的精算假设变化及福利标准调整引起的差异于发生时计入当期损益。</w:t>
      </w:r>
    </w:p>
    <w:p w:rsidR="00A067C6" w:rsidRDefault="005C4966">
      <w:pPr>
        <w:keepNext/>
        <w:keepLines/>
        <w:spacing w:before="300" w:after="300" w:line="280" w:lineRule="exact"/>
        <w:outlineLvl w:val="3"/>
        <w:rPr>
          <w:rFonts w:ascii="宋体" w:eastAsia="宋体" w:hAnsi="宋体" w:cs="宋体"/>
          <w:b/>
          <w:bCs/>
          <w:szCs w:val="21"/>
        </w:rPr>
      </w:pPr>
      <w:bookmarkStart w:id="163" w:name="_Toc989051"/>
      <w:r>
        <w:rPr>
          <w:rFonts w:ascii="宋体" w:eastAsia="宋体" w:hAnsi="宋体" w:cs="宋体"/>
          <w:b/>
          <w:bCs/>
          <w:szCs w:val="21"/>
        </w:rPr>
        <w:t>（</w:t>
      </w:r>
      <w:r>
        <w:rPr>
          <w:rFonts w:ascii="宋体" w:eastAsia="宋体" w:hAnsi="宋体" w:cs="宋体"/>
          <w:b/>
          <w:bCs/>
          <w:szCs w:val="21"/>
        </w:rPr>
        <w:t>4</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其他长期职工福利的会计处理方法</w:t>
      </w:r>
      <w:bookmarkEnd w:id="163"/>
    </w:p>
    <w:p w:rsidR="00A067C6" w:rsidRDefault="005C4966">
      <w:pPr>
        <w:pStyle w:val="a6"/>
        <w:spacing w:before="0" w:beforeAutospacing="0" w:after="0" w:afterAutospacing="0"/>
        <w:ind w:firstLine="357"/>
        <w:jc w:val="both"/>
      </w:pPr>
      <w:r>
        <w:rPr>
          <w:rFonts w:hint="eastAsia"/>
          <w:sz w:val="18"/>
          <w:szCs w:val="18"/>
        </w:rPr>
        <w:t>其他长期职工福利是指除短期薪酬、离职后福利、辞退福利之外的其他所有职工福利。</w:t>
      </w:r>
    </w:p>
    <w:p w:rsidR="00A067C6" w:rsidRDefault="005C4966">
      <w:pPr>
        <w:pStyle w:val="a6"/>
        <w:spacing w:before="0" w:beforeAutospacing="0" w:after="0" w:afterAutospacing="0"/>
        <w:ind w:firstLine="357"/>
        <w:jc w:val="both"/>
        <w:rPr>
          <w:sz w:val="18"/>
          <w:szCs w:val="18"/>
        </w:rPr>
      </w:pPr>
      <w:r>
        <w:rPr>
          <w:rFonts w:hint="eastAsia"/>
          <w:sz w:val="18"/>
          <w:szCs w:val="18"/>
        </w:rPr>
        <w:t>对符合设定提存计划条件的其他长期职工福利，在职工为本公司提供服务的会计期间，将应缴存金额确认为负债，并计入当期损益或相关资产成本。</w:t>
      </w:r>
    </w:p>
    <w:p w:rsidR="00A067C6" w:rsidRDefault="005C4966">
      <w:pPr>
        <w:pStyle w:val="3"/>
        <w:spacing w:line="280" w:lineRule="exact"/>
        <w:jc w:val="left"/>
        <w:rPr>
          <w:rFonts w:ascii="宋体" w:hAnsi="宋体" w:cs="宋体"/>
          <w:b/>
          <w:bCs/>
        </w:rPr>
      </w:pPr>
      <w:bookmarkStart w:id="164" w:name="_Toc989052"/>
      <w:r>
        <w:rPr>
          <w:rFonts w:ascii="宋体" w:hAnsi="宋体" w:cs="宋体"/>
          <w:b/>
          <w:bCs/>
        </w:rPr>
        <w:t>35</w:t>
      </w:r>
      <w:r>
        <w:rPr>
          <w:rFonts w:ascii="宋体" w:hAnsi="宋体" w:cs="宋体"/>
          <w:b/>
          <w:bCs/>
        </w:rPr>
        <w:t>、租赁负债</w:t>
      </w:r>
      <w:bookmarkEnd w:id="164"/>
    </w:p>
    <w:p w:rsidR="00A067C6" w:rsidRDefault="005C4966">
      <w:pPr>
        <w:pStyle w:val="a6"/>
        <w:spacing w:before="0" w:beforeAutospacing="0" w:after="0" w:afterAutospacing="0"/>
        <w:ind w:firstLine="357"/>
        <w:jc w:val="both"/>
      </w:pPr>
      <w:r>
        <w:rPr>
          <w:rFonts w:hint="eastAsia"/>
          <w:sz w:val="18"/>
          <w:szCs w:val="18"/>
        </w:rPr>
        <w:t>本公司对租赁负债按照租赁期开始日尚未支付的租赁付款额的现值进行初始计量。在计算租赁付款额的现值时，本公</w:t>
      </w:r>
      <w:r>
        <w:rPr>
          <w:rFonts w:hint="eastAsia"/>
          <w:sz w:val="18"/>
          <w:szCs w:val="18"/>
        </w:rPr>
        <w:t>司采用租赁内含利率作为折现率；无法确定租赁内含利率的，采用本公司增量借款利率作为折现率。租赁付款额包括：</w:t>
      </w:r>
    </w:p>
    <w:p w:rsidR="00A067C6" w:rsidRDefault="005C4966">
      <w:pPr>
        <w:widowControl/>
        <w:numPr>
          <w:ilvl w:val="5"/>
          <w:numId w:val="28"/>
        </w:numPr>
        <w:tabs>
          <w:tab w:val="clear" w:pos="4320"/>
          <w:tab w:val="left" w:pos="0"/>
        </w:tabs>
        <w:ind w:left="0" w:firstLine="426"/>
        <w:rPr>
          <w:sz w:val="18"/>
          <w:szCs w:val="18"/>
        </w:rPr>
      </w:pPr>
      <w:r>
        <w:rPr>
          <w:rFonts w:hint="eastAsia"/>
          <w:sz w:val="18"/>
          <w:szCs w:val="18"/>
        </w:rPr>
        <w:t>扣除租赁激励相关金额后的固定付款额及实质固定付款额；</w:t>
      </w:r>
    </w:p>
    <w:p w:rsidR="00A067C6" w:rsidRDefault="005C4966">
      <w:pPr>
        <w:widowControl/>
        <w:numPr>
          <w:ilvl w:val="5"/>
          <w:numId w:val="28"/>
        </w:numPr>
        <w:tabs>
          <w:tab w:val="clear" w:pos="4320"/>
          <w:tab w:val="left" w:pos="0"/>
        </w:tabs>
        <w:ind w:left="0" w:firstLine="426"/>
        <w:rPr>
          <w:sz w:val="18"/>
          <w:szCs w:val="18"/>
        </w:rPr>
      </w:pPr>
      <w:r>
        <w:rPr>
          <w:rFonts w:hint="eastAsia"/>
          <w:sz w:val="18"/>
          <w:szCs w:val="18"/>
        </w:rPr>
        <w:t>取决于指数或比率的可变租赁付款额；</w:t>
      </w:r>
    </w:p>
    <w:p w:rsidR="00A067C6" w:rsidRDefault="005C4966">
      <w:pPr>
        <w:widowControl/>
        <w:numPr>
          <w:ilvl w:val="5"/>
          <w:numId w:val="28"/>
        </w:numPr>
        <w:tabs>
          <w:tab w:val="clear" w:pos="4320"/>
          <w:tab w:val="left" w:pos="0"/>
        </w:tabs>
        <w:ind w:left="0" w:firstLine="426"/>
        <w:rPr>
          <w:sz w:val="18"/>
          <w:szCs w:val="18"/>
        </w:rPr>
      </w:pPr>
      <w:r>
        <w:rPr>
          <w:rFonts w:hint="eastAsia"/>
          <w:sz w:val="18"/>
          <w:szCs w:val="18"/>
        </w:rPr>
        <w:t>在本公司合理确定将行使该选择权的情况下，租赁付款额包括购买选择权的行权价格；</w:t>
      </w:r>
    </w:p>
    <w:p w:rsidR="00A067C6" w:rsidRDefault="005C4966">
      <w:pPr>
        <w:widowControl/>
        <w:numPr>
          <w:ilvl w:val="5"/>
          <w:numId w:val="28"/>
        </w:numPr>
        <w:tabs>
          <w:tab w:val="clear" w:pos="4320"/>
          <w:tab w:val="left" w:pos="0"/>
        </w:tabs>
        <w:ind w:left="0" w:firstLine="426"/>
        <w:rPr>
          <w:sz w:val="18"/>
          <w:szCs w:val="18"/>
        </w:rPr>
      </w:pPr>
      <w:r>
        <w:rPr>
          <w:rFonts w:hint="eastAsia"/>
          <w:sz w:val="18"/>
          <w:szCs w:val="18"/>
        </w:rPr>
        <w:t>在租赁期反映出本公司将行使终止租赁选择权的情况下，租赁付款额包括行使终止租赁选择权需支付的款项；</w:t>
      </w:r>
    </w:p>
    <w:p w:rsidR="00A067C6" w:rsidRDefault="005C4966">
      <w:pPr>
        <w:widowControl/>
        <w:numPr>
          <w:ilvl w:val="5"/>
          <w:numId w:val="28"/>
        </w:numPr>
        <w:tabs>
          <w:tab w:val="clear" w:pos="4320"/>
          <w:tab w:val="left" w:pos="0"/>
        </w:tabs>
        <w:ind w:left="0" w:firstLine="426"/>
        <w:rPr>
          <w:sz w:val="18"/>
          <w:szCs w:val="18"/>
        </w:rPr>
      </w:pPr>
      <w:r>
        <w:rPr>
          <w:rFonts w:hint="eastAsia"/>
          <w:sz w:val="18"/>
          <w:szCs w:val="18"/>
        </w:rPr>
        <w:t>根据本公司提供的担保余值预计应支付的款项。</w:t>
      </w:r>
    </w:p>
    <w:p w:rsidR="00A067C6" w:rsidRDefault="005C4966">
      <w:pPr>
        <w:pStyle w:val="a6"/>
        <w:spacing w:before="0" w:beforeAutospacing="0" w:after="0" w:afterAutospacing="0"/>
        <w:ind w:firstLine="357"/>
        <w:jc w:val="both"/>
      </w:pPr>
      <w:r>
        <w:rPr>
          <w:rFonts w:hint="eastAsia"/>
          <w:sz w:val="18"/>
          <w:szCs w:val="18"/>
        </w:rPr>
        <w:t>本公司按照固定的折现率计算租赁负债在租赁期内各期间的利息费用，并计入当期损益或相关资产成本。</w:t>
      </w:r>
    </w:p>
    <w:p w:rsidR="00A067C6" w:rsidRDefault="005C4966">
      <w:pPr>
        <w:pStyle w:val="a6"/>
        <w:spacing w:before="0" w:beforeAutospacing="0" w:after="0" w:afterAutospacing="0"/>
        <w:ind w:firstLine="357"/>
        <w:jc w:val="both"/>
      </w:pPr>
      <w:r>
        <w:rPr>
          <w:rFonts w:hint="eastAsia"/>
          <w:sz w:val="18"/>
          <w:szCs w:val="18"/>
        </w:rPr>
        <w:t>未纳入租赁负债计量的可变租赁付款额应当在实际发生时计入当期损益或相关资产成本。</w:t>
      </w:r>
    </w:p>
    <w:p w:rsidR="00A067C6" w:rsidRDefault="005C4966">
      <w:pPr>
        <w:pStyle w:val="3"/>
        <w:spacing w:line="280" w:lineRule="exact"/>
        <w:jc w:val="left"/>
        <w:rPr>
          <w:rFonts w:ascii="宋体" w:hAnsi="宋体" w:cs="宋体"/>
          <w:b/>
          <w:bCs/>
        </w:rPr>
      </w:pPr>
      <w:bookmarkStart w:id="165" w:name="_Toc989053"/>
      <w:r>
        <w:rPr>
          <w:rFonts w:ascii="宋体" w:hAnsi="宋体" w:cs="宋体"/>
          <w:b/>
          <w:bCs/>
        </w:rPr>
        <w:t>36</w:t>
      </w:r>
      <w:r>
        <w:rPr>
          <w:rFonts w:ascii="宋体" w:hAnsi="宋体" w:cs="宋体"/>
          <w:b/>
          <w:bCs/>
        </w:rPr>
        <w:t>、预计负债</w:t>
      </w:r>
      <w:bookmarkEnd w:id="165"/>
    </w:p>
    <w:p w:rsidR="00A067C6" w:rsidRDefault="005C4966">
      <w:pPr>
        <w:widowControl/>
        <w:numPr>
          <w:ilvl w:val="1"/>
          <w:numId w:val="29"/>
        </w:numPr>
        <w:tabs>
          <w:tab w:val="clear" w:pos="1440"/>
        </w:tabs>
        <w:ind w:left="0" w:firstLine="425"/>
        <w:rPr>
          <w:sz w:val="18"/>
          <w:szCs w:val="18"/>
        </w:rPr>
      </w:pPr>
      <w:r>
        <w:rPr>
          <w:rFonts w:hint="eastAsia"/>
          <w:sz w:val="18"/>
          <w:szCs w:val="18"/>
        </w:rPr>
        <w:t>预计负债的确认标准</w:t>
      </w:r>
    </w:p>
    <w:p w:rsidR="00A067C6" w:rsidRDefault="005C4966">
      <w:pPr>
        <w:pStyle w:val="a6"/>
        <w:spacing w:before="0" w:beforeAutospacing="0" w:after="0" w:afterAutospacing="0"/>
        <w:ind w:firstLine="425"/>
        <w:jc w:val="both"/>
      </w:pPr>
      <w:r>
        <w:rPr>
          <w:rFonts w:hint="eastAsia"/>
          <w:sz w:val="18"/>
          <w:szCs w:val="18"/>
        </w:rPr>
        <w:t>与或有事项相关的义务同时满足下列条件时，本公司确认为预计负债：</w:t>
      </w:r>
    </w:p>
    <w:p w:rsidR="00A067C6" w:rsidRDefault="005C4966">
      <w:pPr>
        <w:pStyle w:val="a6"/>
        <w:spacing w:before="0" w:beforeAutospacing="0" w:after="0" w:afterAutospacing="0"/>
        <w:ind w:firstLine="425"/>
        <w:jc w:val="both"/>
      </w:pPr>
      <w:r>
        <w:rPr>
          <w:rFonts w:hint="eastAsia"/>
          <w:sz w:val="18"/>
          <w:szCs w:val="18"/>
        </w:rPr>
        <w:t>该义务是本公司承担的现时义务；</w:t>
      </w:r>
    </w:p>
    <w:p w:rsidR="00A067C6" w:rsidRDefault="005C4966">
      <w:pPr>
        <w:pStyle w:val="a6"/>
        <w:spacing w:before="0" w:beforeAutospacing="0" w:after="0" w:afterAutospacing="0"/>
        <w:ind w:firstLine="425"/>
        <w:jc w:val="both"/>
      </w:pPr>
      <w:r>
        <w:rPr>
          <w:rFonts w:hint="eastAsia"/>
          <w:sz w:val="18"/>
          <w:szCs w:val="18"/>
        </w:rPr>
        <w:t>履行该义务很可能导致经济利益流出本公司；</w:t>
      </w:r>
    </w:p>
    <w:p w:rsidR="00A067C6" w:rsidRDefault="005C4966">
      <w:pPr>
        <w:pStyle w:val="a6"/>
        <w:spacing w:before="0" w:beforeAutospacing="0" w:after="0" w:afterAutospacing="0"/>
        <w:ind w:firstLine="425"/>
        <w:jc w:val="both"/>
      </w:pPr>
      <w:r>
        <w:rPr>
          <w:rFonts w:hint="eastAsia"/>
          <w:sz w:val="18"/>
          <w:szCs w:val="18"/>
        </w:rPr>
        <w:t>该义务的金额能够可靠地计量。</w:t>
      </w:r>
    </w:p>
    <w:p w:rsidR="00A067C6" w:rsidRDefault="005C4966">
      <w:pPr>
        <w:widowControl/>
        <w:numPr>
          <w:ilvl w:val="1"/>
          <w:numId w:val="30"/>
        </w:numPr>
        <w:tabs>
          <w:tab w:val="clear" w:pos="1440"/>
        </w:tabs>
        <w:ind w:left="0" w:firstLine="425"/>
        <w:rPr>
          <w:sz w:val="18"/>
          <w:szCs w:val="18"/>
        </w:rPr>
      </w:pPr>
      <w:r>
        <w:rPr>
          <w:rFonts w:ascii="Times New Roman" w:hAnsi="Times New Roman" w:cs="Times New Roman"/>
          <w:sz w:val="18"/>
          <w:szCs w:val="18"/>
        </w:rPr>
        <w:t> </w:t>
      </w:r>
      <w:r>
        <w:rPr>
          <w:rFonts w:hint="eastAsia"/>
          <w:sz w:val="18"/>
          <w:szCs w:val="18"/>
        </w:rPr>
        <w:t>预计负债的计量方法</w:t>
      </w:r>
    </w:p>
    <w:p w:rsidR="00A067C6" w:rsidRDefault="005C4966">
      <w:pPr>
        <w:pStyle w:val="a6"/>
        <w:spacing w:before="0" w:beforeAutospacing="0" w:after="0" w:afterAutospacing="0"/>
        <w:ind w:firstLine="425"/>
        <w:jc w:val="both"/>
      </w:pPr>
      <w:r>
        <w:rPr>
          <w:rFonts w:hint="eastAsia"/>
          <w:sz w:val="18"/>
          <w:szCs w:val="18"/>
        </w:rPr>
        <w:t>本公司预计负债按履行相关现时义务所需的支出的最佳估计数进行初始计量。</w:t>
      </w:r>
    </w:p>
    <w:p w:rsidR="00A067C6" w:rsidRDefault="005C4966">
      <w:pPr>
        <w:pStyle w:val="a6"/>
        <w:spacing w:before="0" w:beforeAutospacing="0" w:after="0" w:afterAutospacing="0"/>
        <w:ind w:firstLine="425"/>
        <w:jc w:val="both"/>
      </w:pPr>
      <w:r>
        <w:rPr>
          <w:rFonts w:hint="eastAsia"/>
          <w:sz w:val="18"/>
          <w:szCs w:val="18"/>
        </w:rPr>
        <w:t>本公司在确定最佳估计数时，综合考虑与或有事项有关的风险、不确定性和货币时间价值等因素。对于货币时间价值影响重大的，通过对相关未来现金流出</w:t>
      </w:r>
      <w:r>
        <w:rPr>
          <w:rFonts w:hint="eastAsia"/>
          <w:sz w:val="18"/>
          <w:szCs w:val="18"/>
        </w:rPr>
        <w:t>进行折现后确定最佳估计数。</w:t>
      </w:r>
    </w:p>
    <w:p w:rsidR="00A067C6" w:rsidRDefault="005C4966">
      <w:pPr>
        <w:pStyle w:val="a6"/>
        <w:spacing w:before="0" w:beforeAutospacing="0" w:after="0" w:afterAutospacing="0"/>
        <w:ind w:firstLine="425"/>
        <w:jc w:val="both"/>
      </w:pPr>
      <w:r>
        <w:rPr>
          <w:rFonts w:hint="eastAsia"/>
          <w:sz w:val="18"/>
          <w:szCs w:val="18"/>
        </w:rPr>
        <w:t>最佳估计数分别以下情况处理：</w:t>
      </w:r>
    </w:p>
    <w:p w:rsidR="00A067C6" w:rsidRDefault="005C4966">
      <w:pPr>
        <w:pStyle w:val="a6"/>
        <w:spacing w:before="0" w:beforeAutospacing="0" w:after="0" w:afterAutospacing="0"/>
        <w:ind w:firstLine="425"/>
        <w:jc w:val="both"/>
      </w:pPr>
      <w:r>
        <w:rPr>
          <w:rFonts w:hint="eastAsia"/>
          <w:sz w:val="18"/>
          <w:szCs w:val="18"/>
        </w:rPr>
        <w:t>所需支出存在一个连续范围（或区间），且该范围内各种结果发生的可能性相同的，则最佳估计数按照该范围的中间值即上下限金额的平均数确定。</w:t>
      </w:r>
    </w:p>
    <w:p w:rsidR="00A067C6" w:rsidRDefault="005C4966">
      <w:pPr>
        <w:pStyle w:val="a6"/>
        <w:spacing w:before="0" w:beforeAutospacing="0" w:after="0" w:afterAutospacing="0"/>
        <w:ind w:firstLine="425"/>
        <w:jc w:val="both"/>
      </w:pPr>
      <w:r>
        <w:rPr>
          <w:rFonts w:hint="eastAsia"/>
          <w:sz w:val="18"/>
          <w:szCs w:val="18"/>
        </w:rPr>
        <w:t>所需支出不存在一个连续范围（或区间），或虽然存在一个连续范围但该范围内各种结果发生的可能性不相同的，如或有事项涉及单个项目的，则最佳估计数按照最可能发生金额确定；如或有事项涉及多个项目的，则最佳估计数按各种可能结果及相关概率计算确定。</w:t>
      </w:r>
    </w:p>
    <w:p w:rsidR="00A067C6" w:rsidRDefault="005C4966">
      <w:pPr>
        <w:pStyle w:val="a6"/>
        <w:spacing w:before="0" w:beforeAutospacing="0" w:after="0" w:afterAutospacing="0"/>
        <w:ind w:firstLine="425"/>
        <w:jc w:val="both"/>
      </w:pPr>
      <w:r>
        <w:rPr>
          <w:rFonts w:hint="eastAsia"/>
          <w:sz w:val="18"/>
          <w:szCs w:val="18"/>
        </w:rPr>
        <w:t>本公司清偿预计负债所需支出全部或部分预期由第三方补偿的，补偿金额在基本确定能够收到时，</w:t>
      </w:r>
      <w:r>
        <w:rPr>
          <w:rFonts w:hint="eastAsia"/>
          <w:sz w:val="18"/>
          <w:szCs w:val="18"/>
        </w:rPr>
        <w:t>作为资产单独确认，确认的补偿金额不超过预计负债的账面价值。</w:t>
      </w:r>
    </w:p>
    <w:p w:rsidR="00A067C6" w:rsidRDefault="005C4966">
      <w:pPr>
        <w:pStyle w:val="3"/>
        <w:spacing w:line="280" w:lineRule="exact"/>
        <w:jc w:val="left"/>
        <w:rPr>
          <w:rFonts w:ascii="宋体" w:hAnsi="宋体" w:cs="宋体"/>
          <w:b/>
          <w:bCs/>
        </w:rPr>
      </w:pPr>
      <w:bookmarkStart w:id="166" w:name="_Toc989054"/>
      <w:r>
        <w:rPr>
          <w:rFonts w:ascii="宋体" w:hAnsi="宋体" w:cs="宋体"/>
          <w:b/>
          <w:bCs/>
        </w:rPr>
        <w:t>37</w:t>
      </w:r>
      <w:r>
        <w:rPr>
          <w:rFonts w:ascii="宋体" w:hAnsi="宋体" w:cs="宋体"/>
          <w:b/>
          <w:bCs/>
        </w:rPr>
        <w:t>、股份支付</w:t>
      </w:r>
      <w:bookmarkEnd w:id="166"/>
    </w:p>
    <w:p w:rsidR="00A067C6" w:rsidRDefault="005C4966">
      <w:pPr>
        <w:widowControl/>
        <w:numPr>
          <w:ilvl w:val="0"/>
          <w:numId w:val="31"/>
        </w:numPr>
        <w:tabs>
          <w:tab w:val="clear" w:pos="720"/>
          <w:tab w:val="left" w:pos="0"/>
        </w:tabs>
        <w:ind w:left="0" w:firstLine="425"/>
        <w:rPr>
          <w:sz w:val="18"/>
          <w:szCs w:val="18"/>
        </w:rPr>
      </w:pPr>
      <w:r>
        <w:rPr>
          <w:rFonts w:hint="eastAsia"/>
          <w:sz w:val="18"/>
          <w:szCs w:val="18"/>
        </w:rPr>
        <w:t>股份支付的种类</w:t>
      </w:r>
    </w:p>
    <w:p w:rsidR="00A067C6" w:rsidRDefault="005C4966">
      <w:pPr>
        <w:pStyle w:val="a6"/>
        <w:tabs>
          <w:tab w:val="left" w:pos="0"/>
        </w:tabs>
        <w:spacing w:before="0" w:beforeAutospacing="0" w:after="0" w:afterAutospacing="0"/>
        <w:ind w:firstLine="425"/>
        <w:jc w:val="both"/>
      </w:pPr>
      <w:r>
        <w:rPr>
          <w:rFonts w:hint="eastAsia"/>
          <w:sz w:val="18"/>
          <w:szCs w:val="18"/>
        </w:rPr>
        <w:t>本公司的股份支付分为以权益结算的股份支付和以现金结算的股份支付。</w:t>
      </w:r>
    </w:p>
    <w:p w:rsidR="00A067C6" w:rsidRDefault="005C4966">
      <w:pPr>
        <w:widowControl/>
        <w:numPr>
          <w:ilvl w:val="0"/>
          <w:numId w:val="32"/>
        </w:numPr>
        <w:tabs>
          <w:tab w:val="clear" w:pos="720"/>
          <w:tab w:val="left" w:pos="0"/>
        </w:tabs>
        <w:ind w:left="0" w:firstLine="425"/>
        <w:rPr>
          <w:sz w:val="18"/>
          <w:szCs w:val="18"/>
        </w:rPr>
      </w:pPr>
      <w:r>
        <w:rPr>
          <w:rFonts w:ascii="Times New Roman" w:hAnsi="Times New Roman" w:cs="Times New Roman"/>
          <w:sz w:val="18"/>
          <w:szCs w:val="18"/>
        </w:rPr>
        <w:t> </w:t>
      </w:r>
      <w:r>
        <w:rPr>
          <w:rFonts w:hint="eastAsia"/>
          <w:sz w:val="18"/>
          <w:szCs w:val="18"/>
        </w:rPr>
        <w:t>权益工具公允价值的确定方法</w:t>
      </w:r>
    </w:p>
    <w:p w:rsidR="00A067C6" w:rsidRDefault="005C4966">
      <w:pPr>
        <w:pStyle w:val="a6"/>
        <w:tabs>
          <w:tab w:val="left" w:pos="0"/>
        </w:tabs>
        <w:spacing w:before="0" w:beforeAutospacing="0" w:after="0" w:afterAutospacing="0"/>
        <w:ind w:firstLine="425"/>
        <w:jc w:val="both"/>
      </w:pPr>
      <w:r>
        <w:rPr>
          <w:rFonts w:hint="eastAsia"/>
          <w:sz w:val="18"/>
          <w:szCs w:val="18"/>
        </w:rPr>
        <w:t>对于授予的存在活跃市场的期权等权益工具，按照活跃市场中的报价确定其公允价值。对于授予的不存在活跃市场的期权等权益工具，采用期权定价模型等确定其公允价值，选用的期权定价模型考虑以下因素：（</w:t>
      </w:r>
      <w:r>
        <w:rPr>
          <w:rFonts w:hint="eastAsia"/>
          <w:sz w:val="18"/>
          <w:szCs w:val="18"/>
        </w:rPr>
        <w:t>1</w:t>
      </w:r>
      <w:r>
        <w:rPr>
          <w:rFonts w:hint="eastAsia"/>
          <w:sz w:val="18"/>
          <w:szCs w:val="18"/>
        </w:rPr>
        <w:t>）期权的行权价格；（</w:t>
      </w:r>
      <w:r>
        <w:rPr>
          <w:rFonts w:hint="eastAsia"/>
          <w:sz w:val="18"/>
          <w:szCs w:val="18"/>
        </w:rPr>
        <w:t>2</w:t>
      </w:r>
      <w:r>
        <w:rPr>
          <w:rFonts w:hint="eastAsia"/>
          <w:sz w:val="18"/>
          <w:szCs w:val="18"/>
        </w:rPr>
        <w:t>）期权的有效期；（</w:t>
      </w:r>
      <w:r>
        <w:rPr>
          <w:rFonts w:hint="eastAsia"/>
          <w:sz w:val="18"/>
          <w:szCs w:val="18"/>
        </w:rPr>
        <w:t>3</w:t>
      </w:r>
      <w:r>
        <w:rPr>
          <w:rFonts w:hint="eastAsia"/>
          <w:sz w:val="18"/>
          <w:szCs w:val="18"/>
        </w:rPr>
        <w:t>）标的股份的现行价格；（</w:t>
      </w:r>
      <w:r>
        <w:rPr>
          <w:rFonts w:hint="eastAsia"/>
          <w:sz w:val="18"/>
          <w:szCs w:val="18"/>
        </w:rPr>
        <w:t>4</w:t>
      </w:r>
      <w:r>
        <w:rPr>
          <w:rFonts w:hint="eastAsia"/>
          <w:sz w:val="18"/>
          <w:szCs w:val="18"/>
        </w:rPr>
        <w:t>）股价预计波动率；（</w:t>
      </w:r>
      <w:r>
        <w:rPr>
          <w:rFonts w:hint="eastAsia"/>
          <w:sz w:val="18"/>
          <w:szCs w:val="18"/>
        </w:rPr>
        <w:t>5</w:t>
      </w:r>
      <w:r>
        <w:rPr>
          <w:rFonts w:hint="eastAsia"/>
          <w:sz w:val="18"/>
          <w:szCs w:val="18"/>
        </w:rPr>
        <w:t>）股份的预计股利；（</w:t>
      </w:r>
      <w:r>
        <w:rPr>
          <w:rFonts w:hint="eastAsia"/>
          <w:sz w:val="18"/>
          <w:szCs w:val="18"/>
        </w:rPr>
        <w:t>6</w:t>
      </w:r>
      <w:r>
        <w:rPr>
          <w:rFonts w:hint="eastAsia"/>
          <w:sz w:val="18"/>
          <w:szCs w:val="18"/>
        </w:rPr>
        <w:t>）期权有效期内的无风险利率。</w:t>
      </w:r>
    </w:p>
    <w:p w:rsidR="00A067C6" w:rsidRDefault="005C4966">
      <w:pPr>
        <w:pStyle w:val="a6"/>
        <w:tabs>
          <w:tab w:val="left" w:pos="0"/>
        </w:tabs>
        <w:spacing w:before="0" w:beforeAutospacing="0" w:after="0" w:afterAutospacing="0"/>
        <w:ind w:firstLine="425"/>
        <w:jc w:val="both"/>
      </w:pPr>
      <w:r>
        <w:rPr>
          <w:rFonts w:hint="eastAsia"/>
          <w:sz w:val="18"/>
          <w:szCs w:val="18"/>
        </w:rPr>
        <w:t>在确定权益工具授予日的公允价值时，考虑股份支付协议规定的可行权条件中的市场条件和非可行权条件的影响。股份支付存在非可行权条件的，只要职工或其他方满足了所有可行权条件中的非市场条件（如</w:t>
      </w:r>
      <w:r>
        <w:rPr>
          <w:rFonts w:hint="eastAsia"/>
          <w:sz w:val="18"/>
          <w:szCs w:val="18"/>
        </w:rPr>
        <w:t>服务期限等），即确认已得到服务相对应的成本费用。</w:t>
      </w:r>
    </w:p>
    <w:p w:rsidR="00A067C6" w:rsidRDefault="005C4966">
      <w:pPr>
        <w:widowControl/>
        <w:numPr>
          <w:ilvl w:val="0"/>
          <w:numId w:val="33"/>
        </w:numPr>
        <w:tabs>
          <w:tab w:val="clear" w:pos="720"/>
          <w:tab w:val="left" w:pos="0"/>
        </w:tabs>
        <w:ind w:left="0" w:firstLine="425"/>
        <w:rPr>
          <w:sz w:val="18"/>
          <w:szCs w:val="18"/>
        </w:rPr>
      </w:pPr>
      <w:r>
        <w:rPr>
          <w:rFonts w:ascii="Times New Roman" w:hAnsi="Times New Roman" w:cs="Times New Roman"/>
          <w:sz w:val="18"/>
          <w:szCs w:val="18"/>
        </w:rPr>
        <w:t> </w:t>
      </w:r>
      <w:r>
        <w:rPr>
          <w:rFonts w:hint="eastAsia"/>
          <w:sz w:val="18"/>
          <w:szCs w:val="18"/>
        </w:rPr>
        <w:t>确定可行权权益工具最佳估计的依据</w:t>
      </w:r>
    </w:p>
    <w:p w:rsidR="00A067C6" w:rsidRDefault="005C4966">
      <w:pPr>
        <w:pStyle w:val="a6"/>
        <w:tabs>
          <w:tab w:val="left" w:pos="0"/>
        </w:tabs>
        <w:spacing w:before="0" w:beforeAutospacing="0" w:after="0" w:afterAutospacing="0"/>
        <w:ind w:firstLine="425"/>
        <w:jc w:val="both"/>
      </w:pPr>
      <w:r>
        <w:rPr>
          <w:rFonts w:hint="eastAsia"/>
          <w:sz w:val="18"/>
          <w:szCs w:val="18"/>
        </w:rPr>
        <w:t>等待期内每个资产负债表日，根据最新取得的可行权职工人数变动等后续信息作出最佳估计，修正预计可行权的权益工具数量。在可行权日，最终预计可行权权益工具的数量与实际可行权数量一致。</w:t>
      </w:r>
    </w:p>
    <w:p w:rsidR="00A067C6" w:rsidRDefault="005C4966">
      <w:pPr>
        <w:widowControl/>
        <w:numPr>
          <w:ilvl w:val="0"/>
          <w:numId w:val="34"/>
        </w:numPr>
        <w:tabs>
          <w:tab w:val="clear" w:pos="720"/>
          <w:tab w:val="left" w:pos="0"/>
        </w:tabs>
        <w:ind w:left="0" w:firstLine="425"/>
        <w:rPr>
          <w:sz w:val="18"/>
          <w:szCs w:val="18"/>
        </w:rPr>
      </w:pPr>
      <w:r>
        <w:rPr>
          <w:rFonts w:hint="eastAsia"/>
          <w:sz w:val="18"/>
          <w:szCs w:val="18"/>
        </w:rPr>
        <w:t>会计处理方法</w:t>
      </w:r>
    </w:p>
    <w:p w:rsidR="00A067C6" w:rsidRDefault="005C4966">
      <w:pPr>
        <w:pStyle w:val="a6"/>
        <w:tabs>
          <w:tab w:val="left" w:pos="0"/>
        </w:tabs>
        <w:spacing w:before="0" w:beforeAutospacing="0" w:after="0" w:afterAutospacing="0"/>
        <w:ind w:firstLine="425"/>
        <w:jc w:val="both"/>
      </w:pPr>
      <w:r>
        <w:rPr>
          <w:rFonts w:hint="eastAsia"/>
          <w:sz w:val="18"/>
          <w:szCs w:val="18"/>
        </w:rPr>
        <w:t>以权益结算的股份支付，按授予职工权益工具的公允价值计量。授予后立即可行权的，在授予日按照权益工具的公允价值计入相关成本或费用，相应增加资本公积。在完成等待期内的服务或达到规定业绩条件才可行权的，在等待期内的每个资产负债表日，以对可行权权</w:t>
      </w:r>
      <w:r>
        <w:rPr>
          <w:rFonts w:hint="eastAsia"/>
          <w:sz w:val="18"/>
          <w:szCs w:val="18"/>
        </w:rPr>
        <w:t>益工具数量的最佳估计为基础，按照权益工具授予日的公允价值，将当期取得的服务计入相关成本或费用和资本公积。在可行权日之后不再对已确认的相关成本或费用和所有者权益总额进行调整。</w:t>
      </w:r>
    </w:p>
    <w:p w:rsidR="00A067C6" w:rsidRDefault="005C4966">
      <w:pPr>
        <w:pStyle w:val="a6"/>
        <w:tabs>
          <w:tab w:val="left" w:pos="0"/>
        </w:tabs>
        <w:spacing w:before="0" w:beforeAutospacing="0" w:after="0" w:afterAutospacing="0"/>
        <w:ind w:firstLine="425"/>
        <w:jc w:val="both"/>
      </w:pPr>
      <w:r>
        <w:rPr>
          <w:rFonts w:hint="eastAsia"/>
          <w:sz w:val="18"/>
          <w:szCs w:val="18"/>
        </w:rPr>
        <w:t>以现金结算的股份支付，按照本公司承担的以股份或其他权益工具为基础计算确定的负债的公允价值计量。授予后立即可行权的，在授予日以本公司承担负债的公允价值计入相关成本或费用，相应增加负债。在完成等待期内的服务或达到规定业绩条件以后才可行权的以现金结算的股份支付，在等待期内的每个资产负债表日，以对可行权情况的最佳估计为基础，按照本公司承担负债的</w:t>
      </w:r>
      <w:r>
        <w:rPr>
          <w:rFonts w:hint="eastAsia"/>
          <w:sz w:val="18"/>
          <w:szCs w:val="18"/>
        </w:rPr>
        <w:t>公允价值金额，将当期取得的服务计入成本或费用和相应的负债。在相关负债结算前的每个资产负债表日以及结算日，对负债的公允价值重新计量，其变动计入当期损益。</w:t>
      </w:r>
    </w:p>
    <w:p w:rsidR="00A067C6" w:rsidRDefault="005C4966">
      <w:pPr>
        <w:pStyle w:val="a6"/>
        <w:tabs>
          <w:tab w:val="left" w:pos="0"/>
        </w:tabs>
        <w:spacing w:before="0" w:beforeAutospacing="0" w:after="0" w:afterAutospacing="0"/>
        <w:ind w:firstLine="425"/>
        <w:jc w:val="both"/>
      </w:pPr>
      <w:r>
        <w:rPr>
          <w:rFonts w:hint="eastAsia"/>
          <w:sz w:val="18"/>
          <w:szCs w:val="18"/>
        </w:rPr>
        <w:t>若在等待期内取消了授予的权益工具，本公司对取消所授予的权益性工具作为加速行权处理，将剩余等待期内应确认的金额立即计入当期损益，同时确认资本公积。职工或其他方能够选择满足非可行权条件但在等待期内未满足的，本公司将其作为授予权益工具的取消处理。</w:t>
      </w:r>
    </w:p>
    <w:p w:rsidR="00A067C6" w:rsidRDefault="005C4966">
      <w:pPr>
        <w:pStyle w:val="3"/>
        <w:spacing w:line="280" w:lineRule="exact"/>
        <w:jc w:val="left"/>
        <w:rPr>
          <w:rFonts w:ascii="宋体" w:hAnsi="宋体" w:cs="宋体"/>
          <w:b/>
          <w:bCs/>
        </w:rPr>
      </w:pPr>
      <w:bookmarkStart w:id="167" w:name="_Toc989055"/>
      <w:r>
        <w:rPr>
          <w:rFonts w:ascii="宋体" w:hAnsi="宋体" w:cs="宋体"/>
          <w:b/>
          <w:bCs/>
        </w:rPr>
        <w:t>38</w:t>
      </w:r>
      <w:r>
        <w:rPr>
          <w:rFonts w:ascii="宋体" w:hAnsi="宋体" w:cs="宋体"/>
          <w:b/>
          <w:bCs/>
        </w:rPr>
        <w:t>、优先股、永续债等其他金融工具</w:t>
      </w:r>
      <w:bookmarkEnd w:id="167"/>
    </w:p>
    <w:p w:rsidR="00A067C6" w:rsidRDefault="005C4966">
      <w:pPr>
        <w:pStyle w:val="a6"/>
        <w:spacing w:before="0" w:beforeAutospacing="0" w:after="0" w:afterAutospacing="0"/>
        <w:ind w:firstLine="426"/>
        <w:rPr>
          <w:rFonts w:ascii="Calibri" w:hAnsi="Calibri"/>
          <w:sz w:val="21"/>
          <w:szCs w:val="21"/>
        </w:rPr>
      </w:pPr>
      <w:r>
        <w:rPr>
          <w:rFonts w:hint="eastAsia"/>
          <w:sz w:val="18"/>
          <w:szCs w:val="18"/>
        </w:rPr>
        <w:t>无。</w:t>
      </w:r>
    </w:p>
    <w:p w:rsidR="00A067C6" w:rsidRDefault="005C4966">
      <w:pPr>
        <w:pStyle w:val="3"/>
        <w:spacing w:line="280" w:lineRule="exact"/>
        <w:jc w:val="left"/>
        <w:rPr>
          <w:rFonts w:ascii="宋体" w:hAnsi="宋体" w:cs="宋体"/>
          <w:b/>
          <w:bCs/>
        </w:rPr>
      </w:pPr>
      <w:bookmarkStart w:id="168" w:name="_Toc989056"/>
      <w:r>
        <w:rPr>
          <w:rFonts w:ascii="宋体" w:hAnsi="宋体" w:cs="宋体"/>
          <w:b/>
          <w:bCs/>
        </w:rPr>
        <w:t>39</w:t>
      </w:r>
      <w:r>
        <w:rPr>
          <w:rFonts w:ascii="宋体" w:hAnsi="宋体" w:cs="宋体"/>
          <w:b/>
          <w:bCs/>
        </w:rPr>
        <w:t>、收入</w:t>
      </w:r>
      <w:bookmarkEnd w:id="168"/>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收入确认和计量所采用的会计政策</w:t>
      </w:r>
    </w:p>
    <w:p w:rsidR="00A067C6" w:rsidRDefault="005C4966">
      <w:pPr>
        <w:pStyle w:val="a6"/>
        <w:spacing w:beforeAutospacing="0" w:afterAutospacing="0" w:line="240" w:lineRule="atLeast"/>
        <w:rPr>
          <w:rFonts w:ascii="Calibri" w:hAnsi="Calibri"/>
          <w:sz w:val="21"/>
          <w:szCs w:val="21"/>
        </w:rPr>
      </w:pPr>
      <w:r>
        <w:rPr>
          <w:rFonts w:hint="eastAsia"/>
          <w:sz w:val="18"/>
          <w:szCs w:val="18"/>
        </w:rPr>
        <w:t>收入确认和计量所采用的会计政策</w:t>
      </w:r>
    </w:p>
    <w:p w:rsidR="00A067C6" w:rsidRDefault="005C4966">
      <w:pPr>
        <w:widowControl/>
        <w:numPr>
          <w:ilvl w:val="0"/>
          <w:numId w:val="35"/>
        </w:numPr>
        <w:tabs>
          <w:tab w:val="clear" w:pos="720"/>
          <w:tab w:val="left" w:pos="0"/>
        </w:tabs>
        <w:ind w:left="0" w:firstLine="425"/>
        <w:rPr>
          <w:rFonts w:ascii="宋体" w:hAnsi="宋体"/>
          <w:sz w:val="18"/>
          <w:szCs w:val="18"/>
        </w:rPr>
      </w:pPr>
      <w:r>
        <w:rPr>
          <w:rFonts w:ascii="Times New Roman" w:hAnsi="Times New Roman" w:cs="Times New Roman"/>
          <w:sz w:val="18"/>
          <w:szCs w:val="18"/>
        </w:rPr>
        <w:t> </w:t>
      </w:r>
      <w:r>
        <w:rPr>
          <w:rFonts w:hint="eastAsia"/>
          <w:sz w:val="18"/>
          <w:szCs w:val="18"/>
        </w:rPr>
        <w:t>收入确认的一般原则</w:t>
      </w:r>
    </w:p>
    <w:p w:rsidR="00A067C6" w:rsidRDefault="005C4966">
      <w:pPr>
        <w:pStyle w:val="a6"/>
        <w:tabs>
          <w:tab w:val="left" w:pos="0"/>
        </w:tabs>
        <w:spacing w:before="0" w:beforeAutospacing="0" w:after="0" w:afterAutospacing="0"/>
        <w:ind w:firstLine="425"/>
        <w:jc w:val="both"/>
      </w:pPr>
      <w:r>
        <w:rPr>
          <w:rFonts w:hint="eastAsia"/>
          <w:sz w:val="18"/>
          <w:szCs w:val="18"/>
        </w:rPr>
        <w:t>本公司在履行了合同中的履约义务，即在客户取得相关商品或服务控制权时，按照分摊至该项履约义务的交易价格确认收入。</w:t>
      </w:r>
    </w:p>
    <w:p w:rsidR="00A067C6" w:rsidRDefault="005C4966">
      <w:pPr>
        <w:pStyle w:val="a6"/>
        <w:tabs>
          <w:tab w:val="left" w:pos="0"/>
        </w:tabs>
        <w:spacing w:before="0" w:beforeAutospacing="0" w:after="0" w:afterAutospacing="0"/>
        <w:ind w:firstLine="425"/>
        <w:jc w:val="both"/>
      </w:pPr>
      <w:r>
        <w:rPr>
          <w:rFonts w:hint="eastAsia"/>
          <w:sz w:val="18"/>
          <w:szCs w:val="18"/>
        </w:rPr>
        <w:t>履约义务，是指合同中本公司向客户转让可明确区分商品或服务的承诺。</w:t>
      </w:r>
    </w:p>
    <w:p w:rsidR="00A067C6" w:rsidRDefault="005C4966">
      <w:pPr>
        <w:pStyle w:val="a6"/>
        <w:tabs>
          <w:tab w:val="left" w:pos="0"/>
        </w:tabs>
        <w:spacing w:before="0" w:beforeAutospacing="0" w:after="0" w:afterAutospacing="0"/>
        <w:ind w:firstLine="425"/>
        <w:jc w:val="both"/>
      </w:pPr>
      <w:r>
        <w:rPr>
          <w:rFonts w:hint="eastAsia"/>
          <w:sz w:val="18"/>
          <w:szCs w:val="18"/>
        </w:rPr>
        <w:t>取得相关商品控制权，是指能够主导该商品的使用并从中获得几乎全部的经济利益。</w:t>
      </w:r>
    </w:p>
    <w:p w:rsidR="00A067C6" w:rsidRDefault="005C4966">
      <w:pPr>
        <w:pStyle w:val="a6"/>
        <w:tabs>
          <w:tab w:val="left" w:pos="0"/>
        </w:tabs>
        <w:spacing w:before="0" w:beforeAutospacing="0" w:after="0" w:afterAutospacing="0"/>
        <w:ind w:firstLine="425"/>
        <w:jc w:val="both"/>
      </w:pPr>
      <w:r>
        <w:rPr>
          <w:rFonts w:hint="eastAsia"/>
          <w:sz w:val="18"/>
          <w:szCs w:val="18"/>
        </w:rPr>
        <w:t>本公司在合同开始日即对合同进行评估，识别该合同所包含的各单项履约义务，并确定各单项履约义务是在某一时段内履行，还是某一时点履行。满足下列条件之一的，属于在某一时间段内履行的履约义务，本公司按照履约进度，在一段时间内确认收入：</w:t>
      </w:r>
      <w:r>
        <w:rPr>
          <w:rFonts w:hint="eastAsia"/>
          <w:sz w:val="18"/>
          <w:szCs w:val="18"/>
        </w:rPr>
        <w:t>(1)</w:t>
      </w:r>
      <w:r>
        <w:rPr>
          <w:rFonts w:hint="eastAsia"/>
          <w:sz w:val="18"/>
          <w:szCs w:val="18"/>
        </w:rPr>
        <w:t>客户在</w:t>
      </w:r>
      <w:r>
        <w:rPr>
          <w:rFonts w:hint="eastAsia"/>
          <w:sz w:val="18"/>
          <w:szCs w:val="18"/>
        </w:rPr>
        <w:t>本公司履约的同时即取得并消耗本公司履约所带来的经济利益；</w:t>
      </w:r>
      <w:r>
        <w:rPr>
          <w:rFonts w:hint="eastAsia"/>
          <w:sz w:val="18"/>
          <w:szCs w:val="18"/>
        </w:rPr>
        <w:t>(2)</w:t>
      </w:r>
      <w:r>
        <w:rPr>
          <w:rFonts w:hint="eastAsia"/>
          <w:sz w:val="18"/>
          <w:szCs w:val="18"/>
        </w:rPr>
        <w:t>客户能够控制本公司履约过程中在建的商品；</w:t>
      </w:r>
      <w:r>
        <w:rPr>
          <w:rFonts w:hint="eastAsia"/>
          <w:sz w:val="18"/>
          <w:szCs w:val="18"/>
        </w:rPr>
        <w:t>(3)</w:t>
      </w:r>
      <w:r>
        <w:rPr>
          <w:rFonts w:hint="eastAsia"/>
          <w:sz w:val="18"/>
          <w:szCs w:val="18"/>
        </w:rPr>
        <w:t>本公司履约过程中所产出的商品具有不可替代用途，且本公司在整个合同期间内有权就累计至今已完成的履约部分收取款项。否则，本公司在客户取得相关商品或服务控制权的时点确认收入。</w:t>
      </w:r>
    </w:p>
    <w:p w:rsidR="00A067C6" w:rsidRDefault="005C4966">
      <w:pPr>
        <w:pStyle w:val="a6"/>
        <w:tabs>
          <w:tab w:val="left" w:pos="0"/>
        </w:tabs>
        <w:spacing w:before="0" w:beforeAutospacing="0" w:after="0" w:afterAutospacing="0"/>
        <w:ind w:firstLine="425"/>
        <w:jc w:val="both"/>
      </w:pPr>
      <w:r>
        <w:rPr>
          <w:rFonts w:hint="eastAsia"/>
          <w:sz w:val="18"/>
          <w:szCs w:val="18"/>
        </w:rPr>
        <w:t>对于在某一时段内履行的履约义务，本公司根据商品和劳务的性质，采用产出法</w:t>
      </w:r>
      <w:r>
        <w:rPr>
          <w:rFonts w:hint="eastAsia"/>
          <w:sz w:val="18"/>
          <w:szCs w:val="18"/>
        </w:rPr>
        <w:t>/</w:t>
      </w:r>
      <w:r>
        <w:rPr>
          <w:rFonts w:hint="eastAsia"/>
          <w:sz w:val="18"/>
          <w:szCs w:val="18"/>
        </w:rPr>
        <w:t>投入法确定恰当的履约进度。产出法是根据已转移给客户的商品对于客户的价值确定履约进度（投入法是根据公司为履行履约义务的投入确定履约进度）。当履约进度不能合理确定时，</w:t>
      </w:r>
      <w:r>
        <w:rPr>
          <w:rFonts w:hint="eastAsia"/>
          <w:sz w:val="18"/>
          <w:szCs w:val="18"/>
        </w:rPr>
        <w:t>公司已经发生的成本预计能够得到补偿的，按照已经发生的成本金额确认收入，直到履约进度能够合理确定为止。</w:t>
      </w:r>
    </w:p>
    <w:p w:rsidR="00A067C6" w:rsidRDefault="005C4966">
      <w:pPr>
        <w:widowControl/>
        <w:numPr>
          <w:ilvl w:val="0"/>
          <w:numId w:val="36"/>
        </w:numPr>
        <w:tabs>
          <w:tab w:val="clear" w:pos="720"/>
          <w:tab w:val="left" w:pos="0"/>
        </w:tabs>
        <w:ind w:left="0" w:firstLine="425"/>
        <w:rPr>
          <w:sz w:val="18"/>
          <w:szCs w:val="18"/>
        </w:rPr>
      </w:pPr>
      <w:r>
        <w:rPr>
          <w:rFonts w:ascii="Times New Roman" w:hAnsi="Times New Roman" w:cs="Times New Roman"/>
          <w:sz w:val="18"/>
          <w:szCs w:val="18"/>
        </w:rPr>
        <w:t> </w:t>
      </w:r>
      <w:r>
        <w:rPr>
          <w:rFonts w:hint="eastAsia"/>
          <w:sz w:val="18"/>
          <w:szCs w:val="18"/>
        </w:rPr>
        <w:t>收入确认的具体方法</w:t>
      </w:r>
    </w:p>
    <w:p w:rsidR="00A067C6" w:rsidRDefault="005C4966">
      <w:pPr>
        <w:pStyle w:val="a6"/>
        <w:spacing w:before="0" w:beforeAutospacing="0" w:after="0" w:afterAutospacing="0" w:line="360" w:lineRule="auto"/>
        <w:ind w:left="422"/>
        <w:jc w:val="both"/>
      </w:pPr>
      <w:r>
        <w:rPr>
          <w:rStyle w:val="a7"/>
          <w:rFonts w:hint="eastAsia"/>
          <w:sz w:val="18"/>
          <w:szCs w:val="18"/>
        </w:rPr>
        <w:t>（</w:t>
      </w:r>
      <w:r>
        <w:rPr>
          <w:rStyle w:val="a7"/>
          <w:rFonts w:ascii="Times New Roman" w:hAnsi="Times New Roman" w:cs="Times New Roman"/>
          <w:sz w:val="18"/>
          <w:szCs w:val="18"/>
        </w:rPr>
        <w:t>1</w:t>
      </w:r>
      <w:r>
        <w:rPr>
          <w:rStyle w:val="a7"/>
          <w:rFonts w:hint="eastAsia"/>
          <w:sz w:val="18"/>
          <w:szCs w:val="18"/>
        </w:rPr>
        <w:t>）销售商品收入</w:t>
      </w:r>
    </w:p>
    <w:p w:rsidR="00A067C6" w:rsidRDefault="005C4966">
      <w:pPr>
        <w:pStyle w:val="a6"/>
        <w:spacing w:before="0" w:beforeAutospacing="0" w:after="0" w:afterAutospacing="0"/>
        <w:ind w:firstLine="420"/>
        <w:jc w:val="both"/>
      </w:pPr>
      <w:r>
        <w:rPr>
          <w:rFonts w:hint="eastAsia"/>
          <w:sz w:val="18"/>
          <w:szCs w:val="18"/>
        </w:rPr>
        <w:t>公司的产品销售属于在某一时点履行的履约义务，内销收入在公司将产品运送至合同约定交货地点并由客户确认接受、已收取价款或取得收款权利且相关的经济利益很可能流入时确认。外销收入在公司已根据合同约定将产品报关，取得提单，已收取货款或取得了收款权利且相关的经济利益很可能流入时确认。线上销售收入在客户确认签收时确认对应的收入实现。</w:t>
      </w:r>
    </w:p>
    <w:p w:rsidR="00A067C6" w:rsidRDefault="005C4966">
      <w:pPr>
        <w:pStyle w:val="a6"/>
        <w:spacing w:before="0" w:beforeAutospacing="0" w:after="0" w:afterAutospacing="0"/>
        <w:ind w:firstLine="420"/>
        <w:jc w:val="both"/>
      </w:pPr>
      <w:r>
        <w:rPr>
          <w:rFonts w:hint="eastAsia"/>
          <w:sz w:val="18"/>
          <w:szCs w:val="18"/>
        </w:rPr>
        <w:t>（</w:t>
      </w:r>
      <w:r>
        <w:rPr>
          <w:rFonts w:hint="eastAsia"/>
          <w:sz w:val="18"/>
          <w:szCs w:val="18"/>
        </w:rPr>
        <w:t>2</w:t>
      </w:r>
      <w:r>
        <w:rPr>
          <w:rFonts w:hint="eastAsia"/>
          <w:sz w:val="18"/>
          <w:szCs w:val="18"/>
        </w:rPr>
        <w:t>）出租收入</w:t>
      </w:r>
    </w:p>
    <w:p w:rsidR="00A067C6" w:rsidRDefault="005C4966">
      <w:pPr>
        <w:pStyle w:val="a6"/>
        <w:spacing w:before="0" w:beforeAutospacing="0" w:after="0" w:afterAutospacing="0"/>
        <w:ind w:firstLine="420"/>
        <w:jc w:val="both"/>
      </w:pPr>
      <w:r>
        <w:rPr>
          <w:rFonts w:hint="eastAsia"/>
          <w:sz w:val="18"/>
          <w:szCs w:val="18"/>
        </w:rPr>
        <w:t>按与承租方签定的合同或协议规定</w:t>
      </w:r>
      <w:r>
        <w:rPr>
          <w:rFonts w:hint="eastAsia"/>
          <w:sz w:val="18"/>
          <w:szCs w:val="18"/>
        </w:rPr>
        <w:t>的承租方付租期间和金额，按直线法分摊确认设备出租收入的实现。</w:t>
      </w:r>
    </w:p>
    <w:p w:rsidR="00A067C6" w:rsidRDefault="005C4966">
      <w:pPr>
        <w:widowControl/>
        <w:numPr>
          <w:ilvl w:val="0"/>
          <w:numId w:val="37"/>
        </w:numPr>
        <w:ind w:left="0" w:firstLine="426"/>
        <w:rPr>
          <w:sz w:val="18"/>
          <w:szCs w:val="18"/>
        </w:rPr>
      </w:pPr>
      <w:r>
        <w:rPr>
          <w:rFonts w:hint="eastAsia"/>
          <w:sz w:val="18"/>
          <w:szCs w:val="18"/>
        </w:rPr>
        <w:t>特定交易的收入处理原则</w:t>
      </w:r>
      <w:r>
        <w:rPr>
          <w:rFonts w:ascii="Times New Roman" w:hAnsi="Times New Roman" w:cs="Times New Roman"/>
          <w:sz w:val="18"/>
          <w:szCs w:val="18"/>
        </w:rPr>
        <w:t xml:space="preserve"> </w:t>
      </w:r>
    </w:p>
    <w:p w:rsidR="00A067C6" w:rsidRDefault="005C4966">
      <w:pPr>
        <w:pStyle w:val="a6"/>
        <w:spacing w:before="0" w:beforeAutospacing="0" w:after="0" w:afterAutospacing="0"/>
        <w:ind w:firstLine="360"/>
        <w:jc w:val="both"/>
      </w:pPr>
      <w:r>
        <w:rPr>
          <w:rFonts w:ascii="Arial Narrow" w:hAnsi="Arial Narrow"/>
          <w:sz w:val="18"/>
          <w:szCs w:val="18"/>
        </w:rPr>
        <w:t xml:space="preserve">    </w:t>
      </w:r>
      <w:r>
        <w:rPr>
          <w:rFonts w:hint="eastAsia"/>
          <w:sz w:val="18"/>
          <w:szCs w:val="18"/>
        </w:rPr>
        <w:t>（</w:t>
      </w:r>
      <w:r>
        <w:rPr>
          <w:rFonts w:ascii="Times New Roman" w:hAnsi="Times New Roman" w:cs="Times New Roman"/>
          <w:sz w:val="18"/>
          <w:szCs w:val="18"/>
        </w:rPr>
        <w:t>1</w:t>
      </w:r>
      <w:r>
        <w:rPr>
          <w:rFonts w:hint="eastAsia"/>
          <w:sz w:val="18"/>
          <w:szCs w:val="18"/>
        </w:rPr>
        <w:t>）附有销售退回条款的合同</w:t>
      </w:r>
    </w:p>
    <w:p w:rsidR="00A067C6" w:rsidRDefault="005C4966">
      <w:pPr>
        <w:pStyle w:val="a6"/>
        <w:spacing w:before="0" w:beforeAutospacing="0" w:after="0" w:afterAutospacing="0"/>
        <w:ind w:firstLine="420"/>
        <w:jc w:val="both"/>
      </w:pPr>
      <w:r>
        <w:rPr>
          <w:rFonts w:hint="eastAsia"/>
          <w:sz w:val="18"/>
          <w:szCs w:val="18"/>
        </w:rPr>
        <w:t>在客户取得相关商品控制权时，按照因向客户转让商品而预期有权收取的对价金额（即，不包含预期因销售退回将退还的金额）确认收入，按照预期因销售退回将退还的金额确认负债。</w:t>
      </w:r>
    </w:p>
    <w:p w:rsidR="00A067C6" w:rsidRDefault="005C4966">
      <w:pPr>
        <w:pStyle w:val="a6"/>
        <w:spacing w:before="0" w:beforeAutospacing="0" w:after="0" w:afterAutospacing="0"/>
        <w:jc w:val="both"/>
      </w:pPr>
      <w:r>
        <w:rPr>
          <w:rFonts w:hint="eastAsia"/>
          <w:sz w:val="18"/>
          <w:szCs w:val="18"/>
        </w:rPr>
        <w:t>销售商品时预期将退回商品的账面价值，扣除收回该商品预计发生的成本（包括退回商品的价值减损）后的余额，在“应收退货成本”项下核算。</w:t>
      </w:r>
    </w:p>
    <w:p w:rsidR="00A067C6" w:rsidRDefault="005C4966">
      <w:pPr>
        <w:pStyle w:val="a6"/>
        <w:spacing w:before="0" w:beforeAutospacing="0" w:after="0" w:afterAutospacing="0"/>
        <w:ind w:firstLine="360"/>
        <w:jc w:val="both"/>
      </w:pPr>
      <w:r>
        <w:rPr>
          <w:rFonts w:hint="eastAsia"/>
          <w:sz w:val="18"/>
          <w:szCs w:val="18"/>
        </w:rPr>
        <w:t>（</w:t>
      </w:r>
      <w:r>
        <w:rPr>
          <w:rFonts w:hint="eastAsia"/>
          <w:sz w:val="18"/>
          <w:szCs w:val="18"/>
        </w:rPr>
        <w:t>2</w:t>
      </w:r>
      <w:r>
        <w:rPr>
          <w:rFonts w:hint="eastAsia"/>
          <w:sz w:val="18"/>
          <w:szCs w:val="18"/>
        </w:rPr>
        <w:t>）附有质量保证条款的合同</w:t>
      </w:r>
    </w:p>
    <w:p w:rsidR="00A067C6" w:rsidRDefault="005C4966">
      <w:pPr>
        <w:pStyle w:val="a6"/>
        <w:spacing w:before="0" w:beforeAutospacing="0" w:after="0" w:afterAutospacing="0"/>
        <w:jc w:val="both"/>
      </w:pPr>
      <w:r>
        <w:rPr>
          <w:rFonts w:hint="eastAsia"/>
          <w:sz w:val="18"/>
          <w:szCs w:val="18"/>
        </w:rPr>
        <w:t>评估该质量保证是否在向客户保证所销售商品符合既定标准之外提供了一项单独的服务。公司提供额外服务的，则作为单项履约义务，按照收入准则规定进行会计处理；否则，质量保证责任按照或有事项的会计准则规定进行会计处理。</w:t>
      </w:r>
    </w:p>
    <w:p w:rsidR="00A067C6" w:rsidRDefault="005C4966">
      <w:pPr>
        <w:pStyle w:val="a6"/>
        <w:spacing w:before="0" w:beforeAutospacing="0" w:after="0" w:afterAutospacing="0"/>
        <w:ind w:firstLine="360"/>
        <w:jc w:val="both"/>
      </w:pPr>
      <w:r>
        <w:rPr>
          <w:rFonts w:hint="eastAsia"/>
          <w:sz w:val="18"/>
          <w:szCs w:val="18"/>
        </w:rPr>
        <w:t>（</w:t>
      </w:r>
      <w:r>
        <w:rPr>
          <w:rFonts w:hint="eastAsia"/>
          <w:sz w:val="18"/>
          <w:szCs w:val="18"/>
        </w:rPr>
        <w:t>3</w:t>
      </w:r>
      <w:r>
        <w:rPr>
          <w:rFonts w:hint="eastAsia"/>
          <w:sz w:val="18"/>
          <w:szCs w:val="18"/>
        </w:rPr>
        <w:t>）附有客户额外购买选择权的销售合同</w:t>
      </w:r>
    </w:p>
    <w:p w:rsidR="00A067C6" w:rsidRDefault="005C4966">
      <w:pPr>
        <w:pStyle w:val="a6"/>
        <w:spacing w:before="0" w:beforeAutospacing="0" w:after="0" w:afterAutospacing="0"/>
        <w:jc w:val="both"/>
      </w:pPr>
      <w:r>
        <w:rPr>
          <w:rFonts w:hint="eastAsia"/>
          <w:sz w:val="18"/>
          <w:szCs w:val="18"/>
        </w:rPr>
        <w:t>公司评估该选择权是否向客户提供了一项重大权利。提供重大权利的，则作为单项履约义务，将交易价格分摊至该履约义务，在客户未来行使购买选择权取得相关商品控制权时，或者该选择权失效时，确认相应的收入。客户额外购买选择权的单独售价无法直接观察的，则综合考虑客户行使和不行使该</w:t>
      </w:r>
      <w:r>
        <w:rPr>
          <w:rFonts w:hint="eastAsia"/>
          <w:sz w:val="18"/>
          <w:szCs w:val="18"/>
        </w:rPr>
        <w:t>选择权所能获得的折扣的差异、客户行使该选择权的可能性等全部相关信息后，予以合理估计。</w:t>
      </w:r>
    </w:p>
    <w:p w:rsidR="00A067C6" w:rsidRDefault="005C4966">
      <w:pPr>
        <w:pStyle w:val="a6"/>
        <w:spacing w:before="0" w:beforeAutospacing="0" w:after="0" w:afterAutospacing="0"/>
        <w:ind w:firstLine="360"/>
        <w:jc w:val="both"/>
      </w:pPr>
      <w:r>
        <w:rPr>
          <w:rFonts w:hint="eastAsia"/>
          <w:sz w:val="18"/>
          <w:szCs w:val="18"/>
        </w:rPr>
        <w:t>（</w:t>
      </w:r>
      <w:r>
        <w:rPr>
          <w:rFonts w:hint="eastAsia"/>
          <w:sz w:val="18"/>
          <w:szCs w:val="18"/>
        </w:rPr>
        <w:t>4</w:t>
      </w:r>
      <w:r>
        <w:rPr>
          <w:rFonts w:hint="eastAsia"/>
          <w:sz w:val="18"/>
          <w:szCs w:val="18"/>
        </w:rPr>
        <w:t>）向客户授予知识产权许可的合同</w:t>
      </w:r>
    </w:p>
    <w:p w:rsidR="00A067C6" w:rsidRDefault="005C4966">
      <w:pPr>
        <w:pStyle w:val="a6"/>
        <w:spacing w:before="0" w:beforeAutospacing="0" w:after="0" w:afterAutospacing="0"/>
        <w:jc w:val="both"/>
      </w:pPr>
      <w:r>
        <w:rPr>
          <w:rFonts w:hint="eastAsia"/>
          <w:sz w:val="18"/>
          <w:szCs w:val="18"/>
        </w:rPr>
        <w:t>评估该知识产权许可是否构成单项履约义务，构成单项履约义务的，则进一步确定其是在某一时段内履行还是在某一时点履行。向客户授予知识产权许可，并约定按客户实际销售或使用情况收取特许权使用费的，则在下列两项孰晚的时点确认收入：客户后续销售或使用行为实际发生；公司履行相关履约义务。</w:t>
      </w:r>
    </w:p>
    <w:p w:rsidR="00A067C6" w:rsidRDefault="005C4966">
      <w:pPr>
        <w:pStyle w:val="a6"/>
        <w:spacing w:before="0" w:beforeAutospacing="0" w:after="0" w:afterAutospacing="0"/>
        <w:ind w:firstLine="360"/>
        <w:jc w:val="both"/>
      </w:pPr>
      <w:r>
        <w:rPr>
          <w:rFonts w:hint="eastAsia"/>
          <w:sz w:val="18"/>
          <w:szCs w:val="18"/>
        </w:rPr>
        <w:t>（</w:t>
      </w:r>
      <w:r>
        <w:rPr>
          <w:rFonts w:hint="eastAsia"/>
          <w:sz w:val="18"/>
          <w:szCs w:val="18"/>
        </w:rPr>
        <w:t>5</w:t>
      </w:r>
      <w:r>
        <w:rPr>
          <w:rFonts w:hint="eastAsia"/>
          <w:sz w:val="18"/>
          <w:szCs w:val="18"/>
        </w:rPr>
        <w:t>）售后回购</w:t>
      </w:r>
    </w:p>
    <w:p w:rsidR="00A067C6" w:rsidRDefault="005C4966">
      <w:pPr>
        <w:widowControl/>
        <w:numPr>
          <w:ilvl w:val="0"/>
          <w:numId w:val="38"/>
        </w:numPr>
        <w:ind w:left="0" w:firstLine="426"/>
        <w:rPr>
          <w:rFonts w:asciiTheme="minorEastAsia" w:hAnsiTheme="minorEastAsia"/>
          <w:sz w:val="18"/>
          <w:szCs w:val="18"/>
        </w:rPr>
      </w:pPr>
      <w:r>
        <w:rPr>
          <w:rFonts w:hint="eastAsia"/>
          <w:sz w:val="18"/>
          <w:szCs w:val="18"/>
        </w:rPr>
        <w:t>）</w:t>
      </w:r>
      <w:r>
        <w:rPr>
          <w:rFonts w:ascii="Times New Roman" w:hAnsi="Times New Roman" w:cs="Times New Roman"/>
          <w:sz w:val="18"/>
          <w:szCs w:val="18"/>
        </w:rPr>
        <w:t>   </w:t>
      </w:r>
      <w:r>
        <w:rPr>
          <w:rFonts w:asciiTheme="minorEastAsia" w:hAnsiTheme="minorEastAsia" w:hint="eastAsia"/>
          <w:sz w:val="18"/>
          <w:szCs w:val="18"/>
        </w:rPr>
        <w:t>因与客户的远期安排而负有回购义务的合同：这种情况下客户在销售时点并未取得相关商品控制权，因此</w:t>
      </w:r>
      <w:r>
        <w:rPr>
          <w:rFonts w:asciiTheme="minorEastAsia" w:hAnsiTheme="minorEastAsia" w:hint="eastAsia"/>
          <w:sz w:val="18"/>
          <w:szCs w:val="18"/>
        </w:rPr>
        <w:t>作为租赁交易或融资交易进行相应的会计处理。其中，回购价格低于原售价的视为租赁交易，按照企业会计准则对租赁的相关规定进行会计处理；回购价格不低于原售价的视为融资交易，在收到客户款项时确认金融负债，并将该款项和回购价格的差额在回购期间内确认为利息费用等。公司到期未行使回购权利的，则在该回购权利到期时终止确认金融负债，同时确认收入。</w:t>
      </w:r>
    </w:p>
    <w:p w:rsidR="00A067C6" w:rsidRDefault="005C4966">
      <w:pPr>
        <w:widowControl/>
        <w:numPr>
          <w:ilvl w:val="0"/>
          <w:numId w:val="38"/>
        </w:numPr>
        <w:tabs>
          <w:tab w:val="clear" w:pos="720"/>
          <w:tab w:val="left" w:pos="426"/>
        </w:tabs>
        <w:ind w:left="0" w:firstLine="426"/>
        <w:rPr>
          <w:rFonts w:asciiTheme="minorEastAsia" w:hAnsiTheme="minorEastAsia"/>
          <w:sz w:val="18"/>
          <w:szCs w:val="18"/>
        </w:rPr>
      </w:pPr>
      <w:r>
        <w:rPr>
          <w:rFonts w:asciiTheme="minorEastAsia" w:hAnsiTheme="minorEastAsia" w:hint="eastAsia"/>
          <w:sz w:val="18"/>
          <w:szCs w:val="18"/>
        </w:rPr>
        <w:t>）应客户要求产生的回购义务的合同：经评估客户具有重大经济动因的，将售后回购作为租赁交易或融资交易，按照本条</w:t>
      </w:r>
      <w:r>
        <w:rPr>
          <w:rFonts w:asciiTheme="minorEastAsia" w:hAnsiTheme="minorEastAsia" w:cs="Times New Roman"/>
          <w:sz w:val="18"/>
          <w:szCs w:val="18"/>
        </w:rPr>
        <w:t>1</w:t>
      </w:r>
      <w:r>
        <w:rPr>
          <w:rFonts w:asciiTheme="minorEastAsia" w:hAnsiTheme="minorEastAsia" w:hint="eastAsia"/>
          <w:sz w:val="18"/>
          <w:szCs w:val="18"/>
        </w:rPr>
        <w:t>）规定进行会计处理；否则将其作为附有销售退回条款的销售交易进行处理。</w:t>
      </w:r>
    </w:p>
    <w:p w:rsidR="00A067C6" w:rsidRDefault="005C4966">
      <w:pPr>
        <w:pStyle w:val="a6"/>
        <w:spacing w:before="0" w:beforeAutospacing="0" w:after="0" w:afterAutospacing="0"/>
        <w:ind w:firstLine="426"/>
        <w:jc w:val="both"/>
        <w:rPr>
          <w:rFonts w:asciiTheme="minorEastAsia" w:eastAsiaTheme="minorEastAsia" w:hAnsiTheme="minorEastAsia"/>
        </w:rPr>
      </w:pP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6</w:t>
      </w:r>
      <w:r>
        <w:rPr>
          <w:rFonts w:asciiTheme="minorEastAsia" w:eastAsiaTheme="minorEastAsia" w:hAnsiTheme="minorEastAsia" w:hint="eastAsia"/>
          <w:sz w:val="18"/>
          <w:szCs w:val="18"/>
        </w:rPr>
        <w:t>）向客户收取无需退回的初始费的合同</w:t>
      </w:r>
    </w:p>
    <w:p w:rsidR="00A067C6" w:rsidRDefault="005C4966">
      <w:pPr>
        <w:pStyle w:val="a6"/>
        <w:spacing w:before="0" w:beforeAutospacing="0" w:after="0" w:afterAutospacing="0"/>
        <w:ind w:firstLine="426"/>
        <w:jc w:val="both"/>
        <w:rPr>
          <w:rFonts w:asciiTheme="minorEastAsia" w:eastAsiaTheme="minorEastAsia" w:hAnsiTheme="minorEastAsia"/>
        </w:rPr>
      </w:pPr>
      <w:r>
        <w:rPr>
          <w:rFonts w:asciiTheme="minorEastAsia" w:eastAsiaTheme="minorEastAsia" w:hAnsiTheme="minorEastAsia" w:hint="eastAsia"/>
          <w:sz w:val="18"/>
          <w:szCs w:val="18"/>
        </w:rPr>
        <w:t>在合同开始（或接近合同开始）日向客户收取的无需退回的初始费应当计入交易价格。公司经评估，该初始费与向客户转让已承诺的商品相关，并且该商品构成单项履约义务的，则在转让该商品时，按照分摊至该商品的交易价格确认收入；该初始费与向客户转让已承诺的商品相关，但该商品不构成单项履约义务的，则在包含该商品的单项履约义务履行时，按照分摊至该单项履约义务的交易价格确认收入；该初始费与向客户转让已承诺的商品不相关的，该初始费则作为未来将转让商品的预收款，在未来转让该商品时确认为收入。</w:t>
      </w:r>
    </w:p>
    <w:p w:rsidR="00A067C6" w:rsidRDefault="005C4966">
      <w:pPr>
        <w:spacing w:line="240" w:lineRule="exact"/>
        <w:ind w:firstLine="426"/>
        <w:rPr>
          <w:rFonts w:asciiTheme="minorEastAsia" w:hAnsiTheme="minorEastAsia" w:cs="宋体"/>
          <w:sz w:val="18"/>
          <w:szCs w:val="18"/>
        </w:rPr>
      </w:pPr>
      <w:r>
        <w:rPr>
          <w:rFonts w:asciiTheme="minorEastAsia" w:hAnsiTheme="minorEastAsia" w:cs="宋体"/>
          <w:sz w:val="18"/>
          <w:szCs w:val="18"/>
        </w:rPr>
        <w:t>同</w:t>
      </w:r>
      <w:r>
        <w:rPr>
          <w:rFonts w:asciiTheme="minorEastAsia" w:hAnsiTheme="minorEastAsia" w:cs="宋体"/>
          <w:sz w:val="18"/>
          <w:szCs w:val="18"/>
        </w:rPr>
        <w:t>类业务采用不同经营模式导致收入确认会计政策存在差异的情况</w:t>
      </w:r>
    </w:p>
    <w:p w:rsidR="00A067C6" w:rsidRDefault="005C4966">
      <w:pPr>
        <w:pStyle w:val="a6"/>
        <w:spacing w:before="0" w:beforeAutospacing="0" w:after="0" w:afterAutospacing="0"/>
        <w:ind w:firstLine="426"/>
        <w:rPr>
          <w:rFonts w:asciiTheme="minorEastAsia" w:eastAsiaTheme="minorEastAsia" w:hAnsiTheme="minorEastAsia"/>
          <w:sz w:val="18"/>
          <w:szCs w:val="18"/>
        </w:rPr>
      </w:pPr>
      <w:r>
        <w:rPr>
          <w:rFonts w:asciiTheme="minorEastAsia" w:eastAsiaTheme="minorEastAsia" w:hAnsiTheme="minorEastAsia" w:hint="eastAsia"/>
          <w:sz w:val="18"/>
          <w:szCs w:val="18"/>
        </w:rPr>
        <w:t>无。</w:t>
      </w:r>
    </w:p>
    <w:p w:rsidR="00A067C6" w:rsidRDefault="005C4966">
      <w:pPr>
        <w:pStyle w:val="3"/>
        <w:spacing w:line="280" w:lineRule="exact"/>
        <w:jc w:val="left"/>
        <w:rPr>
          <w:rFonts w:ascii="宋体" w:hAnsi="宋体" w:cs="宋体"/>
          <w:b/>
          <w:bCs/>
        </w:rPr>
      </w:pPr>
      <w:bookmarkStart w:id="169" w:name="_Toc989057"/>
      <w:r>
        <w:rPr>
          <w:rFonts w:ascii="宋体" w:hAnsi="宋体" w:cs="宋体"/>
          <w:b/>
          <w:bCs/>
        </w:rPr>
        <w:t>40</w:t>
      </w:r>
      <w:r>
        <w:rPr>
          <w:rFonts w:ascii="宋体" w:hAnsi="宋体" w:cs="宋体"/>
          <w:b/>
          <w:bCs/>
        </w:rPr>
        <w:t>、政府补助</w:t>
      </w:r>
      <w:bookmarkEnd w:id="169"/>
    </w:p>
    <w:p w:rsidR="00A067C6" w:rsidRDefault="005C4966">
      <w:pPr>
        <w:widowControl/>
        <w:numPr>
          <w:ilvl w:val="0"/>
          <w:numId w:val="39"/>
        </w:numPr>
        <w:ind w:left="714" w:hanging="357"/>
        <w:rPr>
          <w:sz w:val="18"/>
          <w:szCs w:val="18"/>
        </w:rPr>
      </w:pPr>
      <w:r>
        <w:rPr>
          <w:rFonts w:ascii="Times New Roman" w:hAnsi="Times New Roman" w:cs="Times New Roman"/>
          <w:sz w:val="18"/>
          <w:szCs w:val="18"/>
        </w:rPr>
        <w:t> </w:t>
      </w:r>
      <w:r>
        <w:rPr>
          <w:rFonts w:hint="eastAsia"/>
          <w:sz w:val="18"/>
          <w:szCs w:val="18"/>
        </w:rPr>
        <w:t>类型</w:t>
      </w:r>
    </w:p>
    <w:p w:rsidR="00A067C6" w:rsidRDefault="005C4966">
      <w:pPr>
        <w:pStyle w:val="a6"/>
        <w:spacing w:before="0" w:beforeAutospacing="0" w:after="0" w:afterAutospacing="0"/>
        <w:ind w:firstLine="360"/>
        <w:jc w:val="both"/>
      </w:pPr>
      <w:r>
        <w:rPr>
          <w:rFonts w:hint="eastAsia"/>
          <w:sz w:val="18"/>
          <w:szCs w:val="18"/>
        </w:rPr>
        <w:t>政府补助，是本公司从政府无偿取得的货币性资产与非货币性资产。根据相关政府文件规定的补助对象，将政府补助划分为与资产相关的政府补助和与收益相关的政府补助。</w:t>
      </w:r>
    </w:p>
    <w:p w:rsidR="00A067C6" w:rsidRDefault="005C4966">
      <w:pPr>
        <w:pStyle w:val="a6"/>
        <w:spacing w:before="0" w:beforeAutospacing="0" w:after="0" w:afterAutospacing="0"/>
        <w:jc w:val="both"/>
      </w:pPr>
      <w:r>
        <w:rPr>
          <w:rFonts w:hint="eastAsia"/>
          <w:sz w:val="18"/>
          <w:szCs w:val="18"/>
        </w:rPr>
        <w:t>对于政府文件未明确补助对象的政府补助，公司根据实际补助对象划分为与资产相关的政府补助或与收益相关的政府补助，相关判断依据说明详见附注五、注释【</w:t>
      </w:r>
      <w:r>
        <w:rPr>
          <w:rFonts w:hint="eastAsia"/>
          <w:sz w:val="18"/>
          <w:szCs w:val="18"/>
        </w:rPr>
        <w:t>36.</w:t>
      </w:r>
      <w:r>
        <w:rPr>
          <w:rFonts w:hint="eastAsia"/>
          <w:sz w:val="18"/>
          <w:szCs w:val="18"/>
        </w:rPr>
        <w:t>递延收益】</w:t>
      </w:r>
      <w:r>
        <w:rPr>
          <w:rFonts w:hint="eastAsia"/>
          <w:sz w:val="18"/>
          <w:szCs w:val="18"/>
        </w:rPr>
        <w:t>/</w:t>
      </w:r>
      <w:r>
        <w:rPr>
          <w:rFonts w:hint="eastAsia"/>
          <w:sz w:val="18"/>
          <w:szCs w:val="18"/>
        </w:rPr>
        <w:t>【注释</w:t>
      </w:r>
      <w:r>
        <w:rPr>
          <w:rFonts w:hint="eastAsia"/>
          <w:sz w:val="18"/>
          <w:szCs w:val="18"/>
        </w:rPr>
        <w:t>55.</w:t>
      </w:r>
      <w:r>
        <w:rPr>
          <w:rFonts w:hint="eastAsia"/>
          <w:sz w:val="18"/>
          <w:szCs w:val="18"/>
        </w:rPr>
        <w:t>营业外收入】。</w:t>
      </w:r>
    </w:p>
    <w:p w:rsidR="00A067C6" w:rsidRDefault="005C4966">
      <w:pPr>
        <w:pStyle w:val="a6"/>
        <w:spacing w:before="0" w:beforeAutospacing="0" w:after="0" w:afterAutospacing="0"/>
        <w:jc w:val="both"/>
      </w:pPr>
      <w:r>
        <w:rPr>
          <w:rFonts w:hint="eastAsia"/>
          <w:sz w:val="18"/>
          <w:szCs w:val="18"/>
        </w:rPr>
        <w:t>与资产相关的政府补助，是指本公司取得的、用于购建或以其他方式形成长期资产的政府补助。与收益相关的政府补助，是指除与资产相关的政府补助之外的政府补助。</w:t>
      </w:r>
    </w:p>
    <w:p w:rsidR="00A067C6" w:rsidRDefault="005C4966">
      <w:pPr>
        <w:widowControl/>
        <w:numPr>
          <w:ilvl w:val="0"/>
          <w:numId w:val="40"/>
        </w:numPr>
        <w:ind w:left="714" w:hanging="357"/>
        <w:rPr>
          <w:sz w:val="18"/>
          <w:szCs w:val="18"/>
        </w:rPr>
      </w:pPr>
      <w:r>
        <w:rPr>
          <w:rFonts w:ascii="Times New Roman" w:hAnsi="Times New Roman" w:cs="Times New Roman"/>
          <w:sz w:val="18"/>
          <w:szCs w:val="18"/>
        </w:rPr>
        <w:t> </w:t>
      </w:r>
      <w:r>
        <w:rPr>
          <w:rFonts w:hint="eastAsia"/>
          <w:sz w:val="18"/>
          <w:szCs w:val="18"/>
        </w:rPr>
        <w:t>政府补助的确认</w:t>
      </w:r>
    </w:p>
    <w:p w:rsidR="00A067C6" w:rsidRDefault="005C4966">
      <w:pPr>
        <w:pStyle w:val="a6"/>
        <w:spacing w:before="0" w:beforeAutospacing="0" w:after="0" w:afterAutospacing="0"/>
        <w:ind w:firstLine="360"/>
        <w:jc w:val="both"/>
      </w:pPr>
      <w:r>
        <w:rPr>
          <w:rFonts w:hint="eastAsia"/>
          <w:sz w:val="18"/>
          <w:szCs w:val="18"/>
        </w:rPr>
        <w:t>对期末有证据表明公司能够符合财政扶持政策规定的相关条件且预计能够收到财政扶持资金的，按应收金额确认政府补助。除此之外，政府补助均在实际收到时确认。</w:t>
      </w:r>
    </w:p>
    <w:p w:rsidR="00A067C6" w:rsidRDefault="005C4966">
      <w:pPr>
        <w:pStyle w:val="a6"/>
        <w:spacing w:before="0" w:beforeAutospacing="0" w:after="0" w:afterAutospacing="0"/>
        <w:jc w:val="both"/>
      </w:pPr>
      <w:r>
        <w:rPr>
          <w:rFonts w:hint="eastAsia"/>
          <w:sz w:val="18"/>
          <w:szCs w:val="18"/>
        </w:rPr>
        <w:t>政府补助为货币性资产的，按照收到或应收的金额计量。政府补助为非货币性资产的，按照公允价值计量；公允价值不能够可靠取得的，按照名义金额（人民币</w:t>
      </w:r>
      <w:r>
        <w:rPr>
          <w:rFonts w:hint="eastAsia"/>
          <w:sz w:val="18"/>
          <w:szCs w:val="18"/>
        </w:rPr>
        <w:t>1</w:t>
      </w:r>
      <w:r>
        <w:rPr>
          <w:rFonts w:hint="eastAsia"/>
          <w:sz w:val="18"/>
          <w:szCs w:val="18"/>
        </w:rPr>
        <w:t>元）计量。按照名义金额计量的政府补助，直接计入当期损益</w:t>
      </w:r>
      <w:r>
        <w:rPr>
          <w:rFonts w:hint="eastAsia"/>
          <w:sz w:val="18"/>
          <w:szCs w:val="18"/>
        </w:rPr>
        <w:t>。</w:t>
      </w:r>
    </w:p>
    <w:p w:rsidR="00A067C6" w:rsidRDefault="005C4966">
      <w:pPr>
        <w:widowControl/>
        <w:numPr>
          <w:ilvl w:val="0"/>
          <w:numId w:val="41"/>
        </w:numPr>
        <w:ind w:left="714" w:hanging="357"/>
        <w:rPr>
          <w:sz w:val="18"/>
          <w:szCs w:val="18"/>
        </w:rPr>
      </w:pPr>
      <w:r>
        <w:rPr>
          <w:rFonts w:ascii="Times New Roman" w:hAnsi="Times New Roman" w:cs="Times New Roman"/>
          <w:sz w:val="18"/>
          <w:szCs w:val="18"/>
        </w:rPr>
        <w:t> </w:t>
      </w:r>
      <w:r>
        <w:rPr>
          <w:rFonts w:hint="eastAsia"/>
          <w:sz w:val="18"/>
          <w:szCs w:val="18"/>
        </w:rPr>
        <w:t>会计处理方法</w:t>
      </w:r>
    </w:p>
    <w:p w:rsidR="00A067C6" w:rsidRDefault="005C4966">
      <w:pPr>
        <w:pStyle w:val="a6"/>
        <w:spacing w:before="0" w:beforeAutospacing="0" w:after="0" w:afterAutospacing="0"/>
        <w:ind w:firstLine="360"/>
        <w:jc w:val="both"/>
      </w:pPr>
      <w:r>
        <w:rPr>
          <w:rFonts w:hint="eastAsia"/>
          <w:sz w:val="18"/>
          <w:szCs w:val="18"/>
        </w:rPr>
        <w:t>本公司根据经济业务的实质，确定某一类政府补助业务应当采用总额法还是净额法进行会计处理。通常情况下，本公司对于同类或类似政府补助业务只选用一种方法，且对该业务一贯地运用该方法。</w:t>
      </w:r>
    </w:p>
    <w:p w:rsidR="00A067C6" w:rsidRDefault="005C4966">
      <w:pPr>
        <w:pStyle w:val="a6"/>
        <w:spacing w:before="0" w:beforeAutospacing="0" w:after="0" w:afterAutospacing="0"/>
        <w:jc w:val="both"/>
      </w:pPr>
      <w:r>
        <w:rPr>
          <w:rFonts w:hint="eastAsia"/>
          <w:sz w:val="18"/>
          <w:szCs w:val="18"/>
        </w:rPr>
        <w:t>  </w:t>
      </w:r>
      <w:r>
        <w:rPr>
          <w:rFonts w:hint="eastAsia"/>
          <w:sz w:val="18"/>
          <w:szCs w:val="18"/>
        </w:rPr>
        <w:t>与资产相关的政府补助，应当冲减相关资产的账面价值或确认为递延收益。与资产相关的政府补助确认为递延收益的，在所建造或购买资产使用寿命内按照合理、系统的方法分期计入损益。</w:t>
      </w:r>
    </w:p>
    <w:p w:rsidR="00A067C6" w:rsidRDefault="005C4966">
      <w:pPr>
        <w:pStyle w:val="a6"/>
        <w:spacing w:before="0" w:beforeAutospacing="0" w:after="0" w:afterAutospacing="0"/>
        <w:jc w:val="both"/>
      </w:pPr>
      <w:r>
        <w:rPr>
          <w:rFonts w:hint="eastAsia"/>
          <w:sz w:val="18"/>
          <w:szCs w:val="18"/>
        </w:rPr>
        <w:t>与收益相关的政府补助，用于补偿企业以后期间的相关费用或损失的，确认为递延收益，在确认相关费用或损失的期间计入当期损益或冲减相关成本；用于补偿企业</w:t>
      </w:r>
      <w:r>
        <w:rPr>
          <w:rFonts w:hint="eastAsia"/>
          <w:sz w:val="18"/>
          <w:szCs w:val="18"/>
        </w:rPr>
        <w:t>已发生的相关费用或损失的，取得时直接计入当期损益或冲减相关成本。</w:t>
      </w:r>
    </w:p>
    <w:p w:rsidR="00A067C6" w:rsidRDefault="005C4966">
      <w:pPr>
        <w:pStyle w:val="a6"/>
        <w:spacing w:before="0" w:beforeAutospacing="0" w:after="0" w:afterAutospacing="0"/>
        <w:jc w:val="both"/>
      </w:pPr>
      <w:r>
        <w:rPr>
          <w:rFonts w:hint="eastAsia"/>
          <w:sz w:val="18"/>
          <w:szCs w:val="18"/>
        </w:rPr>
        <w:t>与企业日常活动相关的政府补助计入其他收益或冲减相关成本费用；与企业日常活动无关的政府补助计入营业外收支。</w:t>
      </w:r>
    </w:p>
    <w:p w:rsidR="00A067C6" w:rsidRDefault="005C4966">
      <w:pPr>
        <w:pStyle w:val="a6"/>
        <w:spacing w:before="0" w:beforeAutospacing="0" w:after="0" w:afterAutospacing="0"/>
        <w:jc w:val="both"/>
      </w:pPr>
      <w:r>
        <w:rPr>
          <w:rFonts w:hint="eastAsia"/>
          <w:sz w:val="18"/>
          <w:szCs w:val="18"/>
        </w:rPr>
        <w:t>收到与政策性优惠贷款贴息相关的政府补助冲减相关借款费用；取得贷款银行提供的政策性优惠利率贷款的，以实际收到的借款金额作为借款的入账价值，按照借款本金和该政策性优惠利率计算相关借款费用。</w:t>
      </w:r>
    </w:p>
    <w:p w:rsidR="00A067C6" w:rsidRDefault="005C4966">
      <w:pPr>
        <w:pStyle w:val="a6"/>
        <w:spacing w:before="0" w:beforeAutospacing="0" w:after="0" w:afterAutospacing="0"/>
        <w:jc w:val="both"/>
      </w:pPr>
      <w:r>
        <w:rPr>
          <w:rFonts w:hint="eastAsia"/>
          <w:sz w:val="18"/>
          <w:szCs w:val="18"/>
        </w:rPr>
        <w:t>已确认的政府补助需要返还时，初始确认时冲减相关资产账面价值的，调整资产账面价值；存在相关递延收益余额的，冲减相关递延收益账面余额，超出部分计入当期损益；不存在相关递延收益的，直接计入当期损益。</w:t>
      </w:r>
      <w:r>
        <w:rPr>
          <w:rFonts w:hint="eastAsia"/>
          <w:sz w:val="18"/>
          <w:szCs w:val="18"/>
        </w:rPr>
        <w:t xml:space="preserve"> </w:t>
      </w:r>
    </w:p>
    <w:p w:rsidR="00A067C6" w:rsidRDefault="005C4966">
      <w:pPr>
        <w:pStyle w:val="3"/>
        <w:spacing w:line="280" w:lineRule="exact"/>
        <w:jc w:val="left"/>
        <w:rPr>
          <w:rFonts w:ascii="宋体" w:hAnsi="宋体" w:cs="宋体"/>
          <w:b/>
          <w:bCs/>
        </w:rPr>
      </w:pPr>
      <w:bookmarkStart w:id="170" w:name="_Toc989058"/>
      <w:r>
        <w:rPr>
          <w:rFonts w:ascii="宋体" w:hAnsi="宋体" w:cs="宋体"/>
          <w:b/>
          <w:bCs/>
        </w:rPr>
        <w:t>41</w:t>
      </w:r>
      <w:r>
        <w:rPr>
          <w:rFonts w:ascii="宋体" w:hAnsi="宋体" w:cs="宋体"/>
          <w:b/>
          <w:bCs/>
        </w:rPr>
        <w:t>、递延所得税资产</w:t>
      </w:r>
      <w:r>
        <w:rPr>
          <w:rFonts w:ascii="宋体" w:hAnsi="宋体" w:cs="宋体"/>
          <w:b/>
          <w:bCs/>
        </w:rPr>
        <w:t>/</w:t>
      </w:r>
      <w:r>
        <w:rPr>
          <w:rFonts w:ascii="宋体" w:hAnsi="宋体" w:cs="宋体"/>
          <w:b/>
          <w:bCs/>
        </w:rPr>
        <w:t>递延所得税负债</w:t>
      </w:r>
      <w:bookmarkEnd w:id="170"/>
    </w:p>
    <w:p w:rsidR="00A067C6" w:rsidRDefault="005C4966">
      <w:pPr>
        <w:pStyle w:val="a6"/>
        <w:spacing w:before="0" w:beforeAutospacing="0" w:after="0" w:afterAutospacing="0"/>
        <w:ind w:firstLine="360"/>
        <w:jc w:val="both"/>
      </w:pPr>
      <w:r>
        <w:rPr>
          <w:rFonts w:hint="eastAsia"/>
          <w:sz w:val="18"/>
          <w:szCs w:val="18"/>
        </w:rPr>
        <w:t>递延所得税资产和递延所得税负债根据资产和负债的计税基础与其账面价值的差额</w:t>
      </w:r>
      <w:r>
        <w:rPr>
          <w:rFonts w:hint="eastAsia"/>
          <w:sz w:val="18"/>
          <w:szCs w:val="18"/>
        </w:rPr>
        <w:t>(</w:t>
      </w:r>
      <w:r>
        <w:rPr>
          <w:rFonts w:hint="eastAsia"/>
          <w:sz w:val="18"/>
          <w:szCs w:val="18"/>
        </w:rPr>
        <w:t>暂时性差异</w:t>
      </w:r>
      <w:r>
        <w:rPr>
          <w:rFonts w:hint="eastAsia"/>
          <w:sz w:val="18"/>
          <w:szCs w:val="18"/>
        </w:rPr>
        <w:t>)</w:t>
      </w:r>
      <w:r>
        <w:rPr>
          <w:rFonts w:hint="eastAsia"/>
          <w:sz w:val="18"/>
          <w:szCs w:val="18"/>
        </w:rPr>
        <w:t>计算确认。于资产负债表日，递延所得税资产和递延所得税负债，按照预期收回该资产或清偿该负债期间的适用税率计量。</w:t>
      </w:r>
    </w:p>
    <w:p w:rsidR="00A067C6" w:rsidRDefault="005C4966">
      <w:pPr>
        <w:widowControl/>
        <w:numPr>
          <w:ilvl w:val="0"/>
          <w:numId w:val="42"/>
        </w:numPr>
        <w:ind w:left="714" w:hanging="357"/>
        <w:rPr>
          <w:sz w:val="18"/>
          <w:szCs w:val="18"/>
        </w:rPr>
      </w:pPr>
      <w:r>
        <w:rPr>
          <w:rFonts w:hint="eastAsia"/>
          <w:sz w:val="18"/>
          <w:szCs w:val="18"/>
        </w:rPr>
        <w:t>确认递延所得税资产的依据</w:t>
      </w:r>
    </w:p>
    <w:p w:rsidR="00A067C6" w:rsidRDefault="005C4966">
      <w:pPr>
        <w:pStyle w:val="a6"/>
        <w:spacing w:before="0" w:beforeAutospacing="0" w:after="0" w:afterAutospacing="0"/>
        <w:ind w:firstLine="360"/>
        <w:jc w:val="both"/>
      </w:pPr>
      <w:r>
        <w:rPr>
          <w:rFonts w:hint="eastAsia"/>
          <w:sz w:val="18"/>
          <w:szCs w:val="18"/>
        </w:rPr>
        <w:t>本公司以很可能取得用来抵扣可抵扣暂时性差异、能够结转以后</w:t>
      </w:r>
      <w:r>
        <w:rPr>
          <w:rFonts w:hint="eastAsia"/>
          <w:sz w:val="18"/>
          <w:szCs w:val="18"/>
        </w:rPr>
        <w:t>年度的可抵扣亏损和税款抵减的应纳税所得额为限，确认由可抵扣暂时性差异产生的递延所得税资产。但是，同时具有下列特征的交易中因资产或负债的初始确认所产生的递延所得税资产不予确认：（</w:t>
      </w:r>
      <w:r>
        <w:rPr>
          <w:rFonts w:hint="eastAsia"/>
          <w:sz w:val="18"/>
          <w:szCs w:val="18"/>
        </w:rPr>
        <w:t>1</w:t>
      </w:r>
      <w:r>
        <w:rPr>
          <w:rFonts w:hint="eastAsia"/>
          <w:sz w:val="18"/>
          <w:szCs w:val="18"/>
        </w:rPr>
        <w:t>）该交易不是企业合并；（</w:t>
      </w:r>
      <w:r>
        <w:rPr>
          <w:rFonts w:hint="eastAsia"/>
          <w:sz w:val="18"/>
          <w:szCs w:val="18"/>
        </w:rPr>
        <w:t>2</w:t>
      </w:r>
      <w:r>
        <w:rPr>
          <w:rFonts w:hint="eastAsia"/>
          <w:sz w:val="18"/>
          <w:szCs w:val="18"/>
        </w:rPr>
        <w:t>）交易发生时既不影响会计利润也不影响应纳税所得额或可抵扣亏损。</w:t>
      </w:r>
    </w:p>
    <w:p w:rsidR="00A067C6" w:rsidRDefault="005C4966">
      <w:pPr>
        <w:pStyle w:val="a6"/>
        <w:spacing w:before="0" w:beforeAutospacing="0" w:after="0" w:afterAutospacing="0"/>
        <w:ind w:firstLine="360"/>
        <w:jc w:val="both"/>
      </w:pPr>
      <w:r>
        <w:rPr>
          <w:rFonts w:hint="eastAsia"/>
          <w:sz w:val="18"/>
          <w:szCs w:val="18"/>
        </w:rPr>
        <w:t>对于与联营企业投资相关的可抵扣暂时性差异，同时满足下列条件的，确认相应的递延所得税资产：暂时性差异在可预见的未来很可能转回，且未来很可能获得用来抵扣可抵扣暂时性差异的应纳税所得额。</w:t>
      </w:r>
    </w:p>
    <w:p w:rsidR="00A067C6" w:rsidRDefault="005C4966">
      <w:pPr>
        <w:widowControl/>
        <w:numPr>
          <w:ilvl w:val="0"/>
          <w:numId w:val="43"/>
        </w:numPr>
        <w:ind w:left="714" w:hanging="357"/>
        <w:rPr>
          <w:sz w:val="18"/>
          <w:szCs w:val="18"/>
        </w:rPr>
      </w:pPr>
      <w:r>
        <w:rPr>
          <w:rFonts w:ascii="Times New Roman" w:hAnsi="Times New Roman" w:cs="Times New Roman"/>
          <w:sz w:val="18"/>
          <w:szCs w:val="18"/>
        </w:rPr>
        <w:t> </w:t>
      </w:r>
      <w:r>
        <w:rPr>
          <w:rFonts w:hint="eastAsia"/>
          <w:sz w:val="18"/>
          <w:szCs w:val="18"/>
        </w:rPr>
        <w:t>确认递延所得税负债的依据</w:t>
      </w:r>
    </w:p>
    <w:p w:rsidR="00A067C6" w:rsidRDefault="005C4966">
      <w:pPr>
        <w:pStyle w:val="a6"/>
        <w:spacing w:before="0" w:beforeAutospacing="0" w:after="0" w:afterAutospacing="0"/>
        <w:ind w:firstLine="360"/>
        <w:jc w:val="both"/>
      </w:pPr>
      <w:r>
        <w:rPr>
          <w:rFonts w:hint="eastAsia"/>
          <w:sz w:val="18"/>
          <w:szCs w:val="18"/>
        </w:rPr>
        <w:t>公司将当期与以前期间应交未交的应纳税暂时性差异确认为递延所得税负债。但不包括：</w:t>
      </w:r>
    </w:p>
    <w:p w:rsidR="00A067C6" w:rsidRDefault="005C4966">
      <w:pPr>
        <w:pStyle w:val="a6"/>
        <w:spacing w:before="0" w:beforeAutospacing="0" w:after="0" w:afterAutospacing="0"/>
        <w:ind w:firstLine="360"/>
        <w:jc w:val="both"/>
      </w:pPr>
      <w:r>
        <w:rPr>
          <w:rFonts w:hint="eastAsia"/>
          <w:sz w:val="18"/>
          <w:szCs w:val="18"/>
        </w:rPr>
        <w:t>（</w:t>
      </w:r>
      <w:r>
        <w:rPr>
          <w:rFonts w:hint="eastAsia"/>
          <w:sz w:val="18"/>
          <w:szCs w:val="18"/>
        </w:rPr>
        <w:t>1</w:t>
      </w:r>
      <w:r>
        <w:rPr>
          <w:rFonts w:hint="eastAsia"/>
          <w:sz w:val="18"/>
          <w:szCs w:val="18"/>
        </w:rPr>
        <w:t>）商誉的初始确认所形成的暂时性差异；</w:t>
      </w:r>
    </w:p>
    <w:p w:rsidR="00A067C6" w:rsidRDefault="005C4966">
      <w:pPr>
        <w:pStyle w:val="a6"/>
        <w:spacing w:before="0" w:beforeAutospacing="0" w:after="0" w:afterAutospacing="0"/>
        <w:ind w:firstLine="360"/>
        <w:jc w:val="both"/>
      </w:pPr>
      <w:r>
        <w:rPr>
          <w:rFonts w:hint="eastAsia"/>
          <w:sz w:val="18"/>
          <w:szCs w:val="18"/>
        </w:rPr>
        <w:t>（</w:t>
      </w:r>
      <w:r>
        <w:rPr>
          <w:rFonts w:hint="eastAsia"/>
          <w:sz w:val="18"/>
          <w:szCs w:val="18"/>
        </w:rPr>
        <w:t>2</w:t>
      </w:r>
      <w:r>
        <w:rPr>
          <w:rFonts w:hint="eastAsia"/>
          <w:sz w:val="18"/>
          <w:szCs w:val="18"/>
        </w:rPr>
        <w:t>）非企业合并形成的交易或事项，且该交易或事项发生时既不影响会计利润，也不影响应纳税所得额（或可抵扣亏损）所形成的暂时性差异；</w:t>
      </w:r>
    </w:p>
    <w:p w:rsidR="00A067C6" w:rsidRDefault="005C4966">
      <w:pPr>
        <w:pStyle w:val="a6"/>
        <w:spacing w:before="0" w:beforeAutospacing="0" w:after="0" w:afterAutospacing="0"/>
        <w:ind w:firstLine="360"/>
        <w:jc w:val="both"/>
      </w:pPr>
      <w:r>
        <w:rPr>
          <w:rFonts w:hint="eastAsia"/>
          <w:sz w:val="18"/>
          <w:szCs w:val="18"/>
        </w:rPr>
        <w:t>（</w:t>
      </w:r>
      <w:r>
        <w:rPr>
          <w:rFonts w:hint="eastAsia"/>
          <w:sz w:val="18"/>
          <w:szCs w:val="18"/>
        </w:rPr>
        <w:t>3</w:t>
      </w:r>
      <w:r>
        <w:rPr>
          <w:rFonts w:hint="eastAsia"/>
          <w:sz w:val="18"/>
          <w:szCs w:val="18"/>
        </w:rPr>
        <w:t>）对于与子公司、联营企业投资相关的应纳税暂时性差异，该暂时性差异转回的时间能够控制并且该暂时性差异在可预见的未来很可能不会转回。</w:t>
      </w:r>
    </w:p>
    <w:p w:rsidR="00A067C6" w:rsidRDefault="005C4966">
      <w:pPr>
        <w:widowControl/>
        <w:numPr>
          <w:ilvl w:val="0"/>
          <w:numId w:val="44"/>
        </w:numPr>
        <w:ind w:left="714" w:hanging="357"/>
        <w:rPr>
          <w:sz w:val="18"/>
          <w:szCs w:val="18"/>
        </w:rPr>
      </w:pPr>
      <w:r>
        <w:rPr>
          <w:rFonts w:hint="eastAsia"/>
          <w:sz w:val="18"/>
          <w:szCs w:val="18"/>
        </w:rPr>
        <w:t>同时满足下列条件时，将递延所得税资产及递延所得税负债以抵销后的净额列示</w:t>
      </w:r>
    </w:p>
    <w:p w:rsidR="00A067C6" w:rsidRDefault="005C4966">
      <w:pPr>
        <w:pStyle w:val="a6"/>
        <w:spacing w:before="0" w:beforeAutospacing="0" w:after="0" w:afterAutospacing="0"/>
        <w:ind w:firstLine="360"/>
        <w:jc w:val="both"/>
      </w:pPr>
      <w:r>
        <w:rPr>
          <w:rFonts w:hint="eastAsia"/>
          <w:sz w:val="18"/>
          <w:szCs w:val="18"/>
        </w:rPr>
        <w:t>（</w:t>
      </w:r>
      <w:r>
        <w:rPr>
          <w:rFonts w:hint="eastAsia"/>
          <w:sz w:val="18"/>
          <w:szCs w:val="18"/>
        </w:rPr>
        <w:t>1</w:t>
      </w:r>
      <w:r>
        <w:rPr>
          <w:rFonts w:hint="eastAsia"/>
          <w:sz w:val="18"/>
          <w:szCs w:val="18"/>
        </w:rPr>
        <w:t>）企业拥有以净额结算当期所得税资产及当期所得税负债</w:t>
      </w:r>
      <w:r>
        <w:rPr>
          <w:rFonts w:hint="eastAsia"/>
          <w:sz w:val="18"/>
          <w:szCs w:val="18"/>
        </w:rPr>
        <w:t>的法定权利；</w:t>
      </w:r>
    </w:p>
    <w:p w:rsidR="00A067C6" w:rsidRDefault="005C4966">
      <w:pPr>
        <w:pStyle w:val="a6"/>
        <w:spacing w:before="0" w:beforeAutospacing="0" w:after="0" w:afterAutospacing="0"/>
        <w:ind w:firstLine="360"/>
        <w:jc w:val="both"/>
      </w:pPr>
      <w:r>
        <w:rPr>
          <w:rFonts w:hint="eastAsia"/>
          <w:sz w:val="18"/>
          <w:szCs w:val="18"/>
        </w:rPr>
        <w:t>（</w:t>
      </w:r>
      <w:r>
        <w:rPr>
          <w:rFonts w:hint="eastAsia"/>
          <w:sz w:val="18"/>
          <w:szCs w:val="18"/>
        </w:rPr>
        <w:t>2</w:t>
      </w:r>
      <w:r>
        <w:rPr>
          <w:rFonts w:hint="eastAsia"/>
          <w:sz w:val="18"/>
          <w:szCs w:val="18"/>
        </w:rPr>
        <w:t>）递延所得税资产和递延所得税负债是与同一税收征管部门对同一纳税主体征收的所得税相关或者对不同的纳税主体相关，但在未来每一具有重要性的递延所得税资产和递延所得税负债转回的期间内，涉及的纳税主体体意图以净额结算当期所得税资产及当期所得税负债或是同时取得资产、清偿债务。</w:t>
      </w:r>
    </w:p>
    <w:p w:rsidR="00A067C6" w:rsidRDefault="005C4966">
      <w:pPr>
        <w:pStyle w:val="3"/>
        <w:spacing w:line="280" w:lineRule="exact"/>
        <w:jc w:val="left"/>
        <w:rPr>
          <w:rFonts w:ascii="宋体" w:hAnsi="宋体" w:cs="宋体"/>
          <w:b/>
          <w:bCs/>
        </w:rPr>
      </w:pPr>
      <w:bookmarkStart w:id="171" w:name="_Toc989059"/>
      <w:r>
        <w:rPr>
          <w:rFonts w:ascii="宋体" w:hAnsi="宋体" w:cs="宋体"/>
          <w:b/>
          <w:bCs/>
        </w:rPr>
        <w:t>42</w:t>
      </w:r>
      <w:r>
        <w:rPr>
          <w:rFonts w:ascii="宋体" w:hAnsi="宋体" w:cs="宋体"/>
          <w:b/>
          <w:bCs/>
        </w:rPr>
        <w:t>、租赁</w:t>
      </w:r>
      <w:bookmarkEnd w:id="171"/>
    </w:p>
    <w:p w:rsidR="00A067C6" w:rsidRDefault="005C4966">
      <w:pPr>
        <w:keepNext/>
        <w:keepLines/>
        <w:spacing w:before="300" w:after="300" w:line="280" w:lineRule="exact"/>
        <w:outlineLvl w:val="3"/>
        <w:rPr>
          <w:rFonts w:ascii="宋体" w:eastAsia="宋体" w:hAnsi="宋体" w:cs="宋体"/>
          <w:b/>
          <w:bCs/>
          <w:szCs w:val="21"/>
        </w:rPr>
      </w:pPr>
      <w:bookmarkStart w:id="172" w:name="_Toc989060"/>
      <w:r>
        <w:rPr>
          <w:rFonts w:ascii="宋体" w:eastAsia="宋体" w:hAnsi="宋体" w:cs="宋体"/>
          <w:b/>
          <w:bCs/>
          <w:szCs w:val="21"/>
        </w:rPr>
        <w:t>（</w:t>
      </w:r>
      <w:r>
        <w:rPr>
          <w:rFonts w:ascii="宋体" w:eastAsia="宋体" w:hAnsi="宋体" w:cs="宋体"/>
          <w:b/>
          <w:bCs/>
          <w:szCs w:val="21"/>
        </w:rPr>
        <w:t>1</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经营租赁的会计处理方法</w:t>
      </w:r>
      <w:bookmarkEnd w:id="172"/>
    </w:p>
    <w:p w:rsidR="00A067C6" w:rsidRDefault="005C4966">
      <w:pPr>
        <w:pStyle w:val="a6"/>
        <w:spacing w:before="0" w:beforeAutospacing="0" w:after="0" w:afterAutospacing="0"/>
        <w:ind w:firstLine="420"/>
      </w:pPr>
      <w:r>
        <w:rPr>
          <w:rFonts w:hint="eastAsia"/>
          <w:sz w:val="18"/>
          <w:szCs w:val="18"/>
        </w:rPr>
        <w:t>本公司在租赁期内各个期间采用直线法或其他系统合理的方法，将经营租赁的租赁收款额确认为租金收入；发生的与经营租赁有关的初始直接费用资本化，在租赁期内按照与租金收入确认相同的基础进行分摊，</w:t>
      </w:r>
      <w:r>
        <w:rPr>
          <w:rFonts w:hint="eastAsia"/>
          <w:sz w:val="18"/>
          <w:szCs w:val="18"/>
        </w:rPr>
        <w:t>分期计入当期损益；取得的与经营租赁有关的未计入租赁收款额的可变租赁付款额，在实际发生时计入当期损益。</w:t>
      </w:r>
    </w:p>
    <w:p w:rsidR="00A067C6" w:rsidRDefault="005C4966">
      <w:pPr>
        <w:keepNext/>
        <w:keepLines/>
        <w:spacing w:before="300" w:after="300" w:line="280" w:lineRule="exact"/>
        <w:outlineLvl w:val="3"/>
        <w:rPr>
          <w:rFonts w:ascii="宋体" w:eastAsia="宋体" w:hAnsi="宋体" w:cs="宋体"/>
          <w:b/>
          <w:bCs/>
          <w:szCs w:val="21"/>
        </w:rPr>
      </w:pPr>
      <w:bookmarkStart w:id="173" w:name="_Toc989061"/>
      <w:r>
        <w:rPr>
          <w:rFonts w:ascii="宋体" w:eastAsia="宋体" w:hAnsi="宋体" w:cs="宋体"/>
          <w:b/>
          <w:bCs/>
          <w:szCs w:val="21"/>
        </w:rPr>
        <w:t>（</w:t>
      </w:r>
      <w:r>
        <w:rPr>
          <w:rFonts w:ascii="宋体" w:eastAsia="宋体" w:hAnsi="宋体" w:cs="宋体"/>
          <w:b/>
          <w:bCs/>
          <w:szCs w:val="21"/>
        </w:rPr>
        <w:t>2</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融资租赁的会计处理方法</w:t>
      </w:r>
      <w:bookmarkEnd w:id="173"/>
    </w:p>
    <w:p w:rsidR="00A067C6" w:rsidRDefault="005C4966">
      <w:pPr>
        <w:pStyle w:val="a6"/>
        <w:spacing w:before="0" w:beforeAutospacing="0" w:after="0" w:afterAutospacing="0"/>
        <w:ind w:firstLine="420"/>
      </w:pPr>
      <w:r>
        <w:rPr>
          <w:rFonts w:hint="eastAsia"/>
          <w:sz w:val="18"/>
          <w:szCs w:val="18"/>
        </w:rPr>
        <w:t>在租赁期开始日，本公司对融资租赁确认应收融资租赁款，并终止确认融资租赁资产。</w:t>
      </w:r>
    </w:p>
    <w:p w:rsidR="00A067C6" w:rsidRDefault="005C4966">
      <w:pPr>
        <w:pStyle w:val="a6"/>
        <w:spacing w:before="0" w:beforeAutospacing="0" w:after="0" w:afterAutospacing="0"/>
        <w:ind w:firstLine="420"/>
      </w:pPr>
      <w:r>
        <w:rPr>
          <w:rFonts w:hint="eastAsia"/>
          <w:sz w:val="18"/>
          <w:szCs w:val="18"/>
        </w:rPr>
        <w:t>应收融资租赁款初始计量时，以未担保余值和租赁期开始日尚未收到的租赁收款额按照租赁内含利率折现的现值之和作为应收融资租赁款的入账价值。租赁收款额包括：</w:t>
      </w:r>
    </w:p>
    <w:p w:rsidR="00A067C6" w:rsidRDefault="005C4966">
      <w:pPr>
        <w:pStyle w:val="a6"/>
        <w:spacing w:before="0" w:beforeAutospacing="0" w:after="0" w:afterAutospacing="0"/>
        <w:ind w:firstLine="420"/>
      </w:pPr>
      <w:r>
        <w:rPr>
          <w:rFonts w:hint="eastAsia"/>
          <w:sz w:val="18"/>
          <w:szCs w:val="18"/>
        </w:rPr>
        <w:t>1</w:t>
      </w:r>
      <w:r>
        <w:rPr>
          <w:rFonts w:hint="eastAsia"/>
          <w:sz w:val="18"/>
          <w:szCs w:val="18"/>
        </w:rPr>
        <w:t>）扣除租赁激励相关金额后的固定付款额及实质固定付款额；</w:t>
      </w:r>
    </w:p>
    <w:p w:rsidR="00A067C6" w:rsidRDefault="005C4966">
      <w:pPr>
        <w:pStyle w:val="a6"/>
        <w:spacing w:before="0" w:beforeAutospacing="0" w:after="0" w:afterAutospacing="0"/>
        <w:ind w:firstLine="420"/>
      </w:pPr>
      <w:r>
        <w:rPr>
          <w:rFonts w:hint="eastAsia"/>
          <w:sz w:val="18"/>
          <w:szCs w:val="18"/>
        </w:rPr>
        <w:t>2</w:t>
      </w:r>
      <w:r>
        <w:rPr>
          <w:rFonts w:hint="eastAsia"/>
          <w:sz w:val="18"/>
          <w:szCs w:val="18"/>
        </w:rPr>
        <w:t>）取决于指数或比率的可变租赁付款额；</w:t>
      </w:r>
    </w:p>
    <w:p w:rsidR="00A067C6" w:rsidRDefault="005C4966">
      <w:pPr>
        <w:pStyle w:val="a6"/>
        <w:spacing w:before="0" w:beforeAutospacing="0" w:after="0" w:afterAutospacing="0"/>
        <w:ind w:firstLine="420"/>
      </w:pPr>
      <w:r>
        <w:rPr>
          <w:rFonts w:hint="eastAsia"/>
          <w:sz w:val="18"/>
          <w:szCs w:val="18"/>
        </w:rPr>
        <w:t>3</w:t>
      </w:r>
      <w:r>
        <w:rPr>
          <w:rFonts w:hint="eastAsia"/>
          <w:sz w:val="18"/>
          <w:szCs w:val="18"/>
        </w:rPr>
        <w:t>）合理确定承租人将行使购买选择权的情况下，租赁收款</w:t>
      </w:r>
      <w:r>
        <w:rPr>
          <w:rFonts w:hint="eastAsia"/>
          <w:sz w:val="18"/>
          <w:szCs w:val="18"/>
        </w:rPr>
        <w:t>额包括购买选择权的行权价格；</w:t>
      </w:r>
    </w:p>
    <w:p w:rsidR="00A067C6" w:rsidRDefault="005C4966">
      <w:pPr>
        <w:pStyle w:val="a6"/>
        <w:spacing w:before="0" w:beforeAutospacing="0" w:after="0" w:afterAutospacing="0"/>
        <w:ind w:firstLine="420"/>
      </w:pPr>
      <w:r>
        <w:rPr>
          <w:rFonts w:hint="eastAsia"/>
          <w:sz w:val="18"/>
          <w:szCs w:val="18"/>
        </w:rPr>
        <w:t>4</w:t>
      </w:r>
      <w:r>
        <w:rPr>
          <w:rFonts w:hint="eastAsia"/>
          <w:sz w:val="18"/>
          <w:szCs w:val="18"/>
        </w:rPr>
        <w:t>）租赁期反映出承租人将行使终止租赁选择权的情况下，租赁收款额包括承租人行使终止租赁选择权需支付的款项；</w:t>
      </w:r>
    </w:p>
    <w:p w:rsidR="00A067C6" w:rsidRDefault="005C4966">
      <w:pPr>
        <w:pStyle w:val="a6"/>
        <w:spacing w:before="0" w:beforeAutospacing="0" w:after="0" w:afterAutospacing="0"/>
        <w:ind w:firstLine="420"/>
      </w:pPr>
      <w:r>
        <w:rPr>
          <w:rFonts w:hint="eastAsia"/>
          <w:sz w:val="18"/>
          <w:szCs w:val="18"/>
        </w:rPr>
        <w:t>5</w:t>
      </w:r>
      <w:r>
        <w:rPr>
          <w:rFonts w:hint="eastAsia"/>
          <w:sz w:val="18"/>
          <w:szCs w:val="18"/>
        </w:rPr>
        <w:t>）由承租人、与承租人有关的一方以及有经济能力履行担保义务的独立第三方向出租人提供的担保余值。</w:t>
      </w:r>
    </w:p>
    <w:p w:rsidR="00A067C6" w:rsidRDefault="005C4966">
      <w:pPr>
        <w:pStyle w:val="a6"/>
        <w:spacing w:before="0" w:beforeAutospacing="0" w:after="0" w:afterAutospacing="0"/>
        <w:ind w:firstLineChars="200" w:firstLine="360"/>
        <w:rPr>
          <w:sz w:val="18"/>
          <w:szCs w:val="18"/>
        </w:rPr>
      </w:pPr>
      <w:r>
        <w:rPr>
          <w:rFonts w:hint="eastAsia"/>
          <w:sz w:val="18"/>
          <w:szCs w:val="18"/>
        </w:rPr>
        <w:t>本公司按照固定的租赁内含利率计算并确认租赁期内各个期间的利息收入，所取得的未纳入租赁投资净额计量的可变租赁付款额在实际发生时计入当期损益。</w:t>
      </w:r>
    </w:p>
    <w:p w:rsidR="00A067C6" w:rsidRDefault="005C4966">
      <w:pPr>
        <w:pStyle w:val="3"/>
        <w:spacing w:line="280" w:lineRule="exact"/>
        <w:jc w:val="left"/>
        <w:rPr>
          <w:rFonts w:ascii="宋体" w:hAnsi="宋体" w:cs="宋体"/>
          <w:b/>
          <w:bCs/>
        </w:rPr>
      </w:pPr>
      <w:bookmarkStart w:id="174" w:name="_Toc989062"/>
      <w:r>
        <w:rPr>
          <w:rFonts w:ascii="宋体" w:hAnsi="宋体" w:cs="宋体"/>
          <w:b/>
          <w:bCs/>
        </w:rPr>
        <w:t>43</w:t>
      </w:r>
      <w:r>
        <w:rPr>
          <w:rFonts w:ascii="宋体" w:hAnsi="宋体" w:cs="宋体"/>
          <w:b/>
          <w:bCs/>
        </w:rPr>
        <w:t>、其他重要的会计政策和会计估计</w:t>
      </w:r>
      <w:bookmarkEnd w:id="174"/>
    </w:p>
    <w:p w:rsidR="00A067C6" w:rsidRDefault="005C4966">
      <w:pPr>
        <w:widowControl/>
        <w:numPr>
          <w:ilvl w:val="0"/>
          <w:numId w:val="45"/>
        </w:numPr>
        <w:rPr>
          <w:rFonts w:ascii="Calibri" w:hAnsi="Calibri"/>
          <w:szCs w:val="21"/>
        </w:rPr>
      </w:pPr>
      <w:r>
        <w:rPr>
          <w:rFonts w:hint="eastAsia"/>
          <w:sz w:val="18"/>
          <w:szCs w:val="18"/>
        </w:rPr>
        <w:t>终止经营</w:t>
      </w:r>
    </w:p>
    <w:p w:rsidR="00A067C6" w:rsidRDefault="005C4966">
      <w:pPr>
        <w:pStyle w:val="a6"/>
        <w:spacing w:before="0" w:beforeAutospacing="0" w:after="0" w:afterAutospacing="0"/>
        <w:ind w:firstLine="420"/>
      </w:pPr>
      <w:r>
        <w:rPr>
          <w:rFonts w:hint="eastAsia"/>
          <w:sz w:val="18"/>
          <w:szCs w:val="18"/>
        </w:rPr>
        <w:t>本公司将满足下列条件之一的，且该组成部分已经处置或划归为持有待售类别的、能够单独区分的组成部分确认为终止经营组成部分：</w:t>
      </w:r>
    </w:p>
    <w:p w:rsidR="00A067C6" w:rsidRDefault="005C4966">
      <w:pPr>
        <w:pStyle w:val="a6"/>
        <w:spacing w:before="0" w:beforeAutospacing="0" w:after="0" w:afterAutospacing="0"/>
        <w:ind w:firstLine="420"/>
      </w:pPr>
      <w:r>
        <w:rPr>
          <w:rFonts w:hint="eastAsia"/>
          <w:sz w:val="18"/>
          <w:szCs w:val="18"/>
        </w:rPr>
        <w:t>（</w:t>
      </w:r>
      <w:r>
        <w:rPr>
          <w:rFonts w:hint="eastAsia"/>
          <w:sz w:val="18"/>
          <w:szCs w:val="18"/>
        </w:rPr>
        <w:t>1</w:t>
      </w:r>
      <w:r>
        <w:rPr>
          <w:rFonts w:hint="eastAsia"/>
          <w:sz w:val="18"/>
          <w:szCs w:val="18"/>
        </w:rPr>
        <w:t>）该组成部分代表一项独立的主要业务或一个单独的主要经营地区。</w:t>
      </w:r>
    </w:p>
    <w:p w:rsidR="00A067C6" w:rsidRDefault="005C4966">
      <w:pPr>
        <w:pStyle w:val="a6"/>
        <w:spacing w:before="0" w:beforeAutospacing="0" w:after="0" w:afterAutospacing="0"/>
        <w:ind w:firstLine="420"/>
      </w:pPr>
      <w:r>
        <w:rPr>
          <w:rFonts w:hint="eastAsia"/>
          <w:sz w:val="18"/>
          <w:szCs w:val="18"/>
        </w:rPr>
        <w:t>（</w:t>
      </w:r>
      <w:r>
        <w:rPr>
          <w:rFonts w:hint="eastAsia"/>
          <w:sz w:val="18"/>
          <w:szCs w:val="18"/>
        </w:rPr>
        <w:t>2</w:t>
      </w:r>
      <w:r>
        <w:rPr>
          <w:rFonts w:hint="eastAsia"/>
          <w:sz w:val="18"/>
          <w:szCs w:val="18"/>
        </w:rPr>
        <w:t>）该组成部分是拟对一项独立的主要业务或一个单独的主要经营地区进行处置的一项相关联计划的一部分。</w:t>
      </w:r>
    </w:p>
    <w:p w:rsidR="00A067C6" w:rsidRDefault="005C4966">
      <w:pPr>
        <w:pStyle w:val="a6"/>
        <w:spacing w:before="0" w:beforeAutospacing="0" w:after="0" w:afterAutospacing="0"/>
        <w:ind w:firstLine="420"/>
      </w:pPr>
      <w:r>
        <w:rPr>
          <w:rFonts w:hint="eastAsia"/>
          <w:sz w:val="18"/>
          <w:szCs w:val="18"/>
        </w:rPr>
        <w:t>（</w:t>
      </w:r>
      <w:r>
        <w:rPr>
          <w:rFonts w:hint="eastAsia"/>
          <w:sz w:val="18"/>
          <w:szCs w:val="18"/>
        </w:rPr>
        <w:t>3</w:t>
      </w:r>
      <w:r>
        <w:rPr>
          <w:rFonts w:hint="eastAsia"/>
          <w:sz w:val="18"/>
          <w:szCs w:val="18"/>
        </w:rPr>
        <w:t>）该组成部分是专为转售而取得的子公司。</w:t>
      </w:r>
    </w:p>
    <w:p w:rsidR="00A067C6" w:rsidRDefault="005C4966">
      <w:pPr>
        <w:pStyle w:val="a6"/>
        <w:spacing w:before="0" w:beforeAutospacing="0" w:after="0" w:afterAutospacing="0"/>
        <w:ind w:firstLine="420"/>
      </w:pPr>
      <w:r>
        <w:rPr>
          <w:rFonts w:hint="eastAsia"/>
          <w:sz w:val="18"/>
          <w:szCs w:val="18"/>
        </w:rPr>
        <w:t>终止经营的减值损失和转回金额等经营损益及处置损益作为终止经营损益在利润表中列示。</w:t>
      </w:r>
    </w:p>
    <w:p w:rsidR="00A067C6" w:rsidRDefault="005C4966">
      <w:pPr>
        <w:widowControl/>
        <w:numPr>
          <w:ilvl w:val="0"/>
          <w:numId w:val="46"/>
        </w:numPr>
        <w:rPr>
          <w:rFonts w:ascii="Calibri" w:hAnsi="Calibri"/>
          <w:szCs w:val="21"/>
        </w:rPr>
      </w:pPr>
      <w:r>
        <w:rPr>
          <w:rFonts w:hint="eastAsia"/>
          <w:sz w:val="18"/>
          <w:szCs w:val="18"/>
        </w:rPr>
        <w:t>套期会计</w:t>
      </w:r>
    </w:p>
    <w:p w:rsidR="00A067C6" w:rsidRDefault="005C4966">
      <w:pPr>
        <w:pStyle w:val="a6"/>
        <w:spacing w:before="0" w:beforeAutospacing="0" w:after="0" w:afterAutospacing="0"/>
        <w:ind w:firstLine="420"/>
      </w:pPr>
      <w:r>
        <w:rPr>
          <w:rFonts w:hint="eastAsia"/>
          <w:sz w:val="18"/>
          <w:szCs w:val="18"/>
        </w:rPr>
        <w:t>本公司按照套期关系，将套期保值划分为公允价值套期、现金流量套期和境外净投资套期。</w:t>
      </w:r>
    </w:p>
    <w:p w:rsidR="00A067C6" w:rsidRDefault="005C4966">
      <w:pPr>
        <w:widowControl/>
        <w:numPr>
          <w:ilvl w:val="0"/>
          <w:numId w:val="47"/>
        </w:numPr>
        <w:ind w:left="714" w:hanging="357"/>
        <w:rPr>
          <w:sz w:val="18"/>
          <w:szCs w:val="18"/>
        </w:rPr>
      </w:pPr>
      <w:r>
        <w:rPr>
          <w:rFonts w:ascii="Times New Roman" w:hAnsi="Times New Roman" w:cs="Times New Roman"/>
          <w:sz w:val="18"/>
          <w:szCs w:val="18"/>
        </w:rPr>
        <w:t> </w:t>
      </w:r>
      <w:r>
        <w:rPr>
          <w:rFonts w:hint="eastAsia"/>
          <w:sz w:val="18"/>
          <w:szCs w:val="18"/>
        </w:rPr>
        <w:t>对于同时满足下列条件的套期工具，运用套期会计方法进行处理</w:t>
      </w:r>
    </w:p>
    <w:p w:rsidR="00A067C6" w:rsidRDefault="005C4966">
      <w:pPr>
        <w:pStyle w:val="a6"/>
        <w:spacing w:before="0" w:beforeAutospacing="0" w:after="0" w:afterAutospacing="0"/>
        <w:ind w:firstLine="420"/>
      </w:pPr>
      <w:r>
        <w:rPr>
          <w:rFonts w:hint="eastAsia"/>
          <w:sz w:val="18"/>
          <w:szCs w:val="18"/>
        </w:rPr>
        <w:t>（</w:t>
      </w:r>
      <w:r>
        <w:rPr>
          <w:rFonts w:hint="eastAsia"/>
          <w:sz w:val="18"/>
          <w:szCs w:val="18"/>
        </w:rPr>
        <w:t>1</w:t>
      </w:r>
      <w:r>
        <w:rPr>
          <w:rFonts w:hint="eastAsia"/>
          <w:sz w:val="18"/>
          <w:szCs w:val="18"/>
        </w:rPr>
        <w:t>）套期关系仅由符合条件的套期工具和被套期项目组成。</w:t>
      </w:r>
    </w:p>
    <w:p w:rsidR="00A067C6" w:rsidRDefault="005C4966">
      <w:pPr>
        <w:pStyle w:val="a6"/>
        <w:spacing w:before="0" w:beforeAutospacing="0" w:after="0" w:afterAutospacing="0"/>
        <w:ind w:firstLine="420"/>
      </w:pPr>
      <w:r>
        <w:rPr>
          <w:rFonts w:hint="eastAsia"/>
          <w:sz w:val="18"/>
          <w:szCs w:val="18"/>
        </w:rPr>
        <w:t>（</w:t>
      </w:r>
      <w:r>
        <w:rPr>
          <w:rFonts w:hint="eastAsia"/>
          <w:sz w:val="18"/>
          <w:szCs w:val="18"/>
        </w:rPr>
        <w:t>2</w:t>
      </w:r>
      <w:r>
        <w:rPr>
          <w:rFonts w:hint="eastAsia"/>
          <w:sz w:val="18"/>
          <w:szCs w:val="18"/>
        </w:rPr>
        <w:t>）在套期开始时，本公司正式指定了套期工具和被套期项目，并准备了关于套期关系和从事套期的风险管理策略和风险管理目标的书面文件。</w:t>
      </w:r>
    </w:p>
    <w:p w:rsidR="00A067C6" w:rsidRDefault="005C4966">
      <w:pPr>
        <w:pStyle w:val="a6"/>
        <w:spacing w:before="0" w:beforeAutospacing="0" w:after="0" w:afterAutospacing="0"/>
        <w:ind w:firstLine="420"/>
      </w:pPr>
      <w:r>
        <w:rPr>
          <w:rFonts w:hint="eastAsia"/>
          <w:sz w:val="18"/>
          <w:szCs w:val="18"/>
        </w:rPr>
        <w:t>（</w:t>
      </w:r>
      <w:r>
        <w:rPr>
          <w:rFonts w:hint="eastAsia"/>
          <w:sz w:val="18"/>
          <w:szCs w:val="18"/>
        </w:rPr>
        <w:t>3</w:t>
      </w:r>
      <w:r>
        <w:rPr>
          <w:rFonts w:hint="eastAsia"/>
          <w:sz w:val="18"/>
          <w:szCs w:val="18"/>
        </w:rPr>
        <w:t>）套期关系符合套期有效性要求。</w:t>
      </w:r>
    </w:p>
    <w:p w:rsidR="00A067C6" w:rsidRDefault="005C4966">
      <w:pPr>
        <w:pStyle w:val="a6"/>
        <w:spacing w:before="0" w:beforeAutospacing="0" w:after="0" w:afterAutospacing="0"/>
        <w:ind w:firstLine="420"/>
      </w:pPr>
      <w:r>
        <w:rPr>
          <w:rFonts w:hint="eastAsia"/>
          <w:sz w:val="18"/>
          <w:szCs w:val="18"/>
        </w:rPr>
        <w:t>套期同时满足下列条件的，认定套期关系符合套期有效性要求：</w:t>
      </w:r>
    </w:p>
    <w:p w:rsidR="00A067C6" w:rsidRDefault="005C4966">
      <w:pPr>
        <w:pStyle w:val="a6"/>
        <w:spacing w:before="0" w:beforeAutospacing="0" w:after="0" w:afterAutospacing="0"/>
        <w:ind w:firstLine="420"/>
      </w:pPr>
      <w:r>
        <w:rPr>
          <w:rFonts w:hint="eastAsia"/>
          <w:sz w:val="18"/>
          <w:szCs w:val="18"/>
        </w:rPr>
        <w:t>1</w:t>
      </w:r>
      <w:r>
        <w:rPr>
          <w:rFonts w:hint="eastAsia"/>
          <w:sz w:val="18"/>
          <w:szCs w:val="18"/>
        </w:rPr>
        <w:t>）被套期项目和套期工具之间存在经济关系。该经济关系使得套期工具和被套期项目的价值因面临相同的被套期风险而发生方向相反的变动。</w:t>
      </w:r>
    </w:p>
    <w:p w:rsidR="00A067C6" w:rsidRDefault="005C4966">
      <w:pPr>
        <w:pStyle w:val="a6"/>
        <w:spacing w:before="0" w:beforeAutospacing="0" w:after="0" w:afterAutospacing="0"/>
        <w:ind w:firstLine="420"/>
      </w:pPr>
      <w:r>
        <w:rPr>
          <w:rFonts w:hint="eastAsia"/>
          <w:sz w:val="18"/>
          <w:szCs w:val="18"/>
        </w:rPr>
        <w:t>2</w:t>
      </w:r>
      <w:r>
        <w:rPr>
          <w:rFonts w:hint="eastAsia"/>
          <w:sz w:val="18"/>
          <w:szCs w:val="18"/>
        </w:rPr>
        <w:t>）被套期项目和套期工具经济关系产生的价值变动</w:t>
      </w:r>
      <w:r>
        <w:rPr>
          <w:rFonts w:hint="eastAsia"/>
          <w:sz w:val="18"/>
          <w:szCs w:val="18"/>
        </w:rPr>
        <w:t>中，信用风险的影响不占主导地位。</w:t>
      </w:r>
    </w:p>
    <w:p w:rsidR="00A067C6" w:rsidRDefault="005C4966">
      <w:pPr>
        <w:pStyle w:val="a6"/>
        <w:spacing w:before="0" w:beforeAutospacing="0" w:after="0" w:afterAutospacing="0"/>
        <w:ind w:firstLine="420"/>
      </w:pPr>
      <w:r>
        <w:rPr>
          <w:rFonts w:hint="eastAsia"/>
          <w:sz w:val="18"/>
          <w:szCs w:val="18"/>
        </w:rPr>
        <w:t>3</w:t>
      </w:r>
      <w:r>
        <w:rPr>
          <w:rFonts w:hint="eastAsia"/>
          <w:sz w:val="18"/>
          <w:szCs w:val="18"/>
        </w:rPr>
        <w:t>）套期关系的套期比率，等于公司实际套期的被套期项目数量与对其进行套期的套期工具实际数量之比，但不反映被套期项目和套期工具相对权重的失衡，这种失衡会导致套期无效，并可能产生与套期会计目标不一致的会计结果。</w:t>
      </w:r>
    </w:p>
    <w:p w:rsidR="00A067C6" w:rsidRDefault="005C4966">
      <w:pPr>
        <w:widowControl/>
        <w:numPr>
          <w:ilvl w:val="0"/>
          <w:numId w:val="48"/>
        </w:numPr>
        <w:ind w:left="714" w:hanging="357"/>
        <w:rPr>
          <w:sz w:val="18"/>
          <w:szCs w:val="18"/>
        </w:rPr>
      </w:pPr>
      <w:r>
        <w:rPr>
          <w:rFonts w:ascii="Times New Roman" w:hAnsi="Times New Roman" w:cs="Times New Roman"/>
          <w:sz w:val="18"/>
          <w:szCs w:val="18"/>
        </w:rPr>
        <w:t> </w:t>
      </w:r>
      <w:r>
        <w:rPr>
          <w:rFonts w:hint="eastAsia"/>
          <w:sz w:val="18"/>
          <w:szCs w:val="18"/>
        </w:rPr>
        <w:t>公允价值套期会计处理</w:t>
      </w:r>
    </w:p>
    <w:p w:rsidR="00A067C6" w:rsidRDefault="005C4966">
      <w:pPr>
        <w:pStyle w:val="a6"/>
        <w:spacing w:before="0" w:beforeAutospacing="0" w:after="0" w:afterAutospacing="0"/>
        <w:ind w:firstLine="420"/>
      </w:pPr>
      <w:r>
        <w:rPr>
          <w:rFonts w:hint="eastAsia"/>
          <w:sz w:val="18"/>
          <w:szCs w:val="18"/>
        </w:rPr>
        <w:t>（</w:t>
      </w:r>
      <w:r>
        <w:rPr>
          <w:rFonts w:hint="eastAsia"/>
          <w:sz w:val="18"/>
          <w:szCs w:val="18"/>
        </w:rPr>
        <w:t>1</w:t>
      </w:r>
      <w:r>
        <w:rPr>
          <w:rFonts w:hint="eastAsia"/>
          <w:sz w:val="18"/>
          <w:szCs w:val="18"/>
        </w:rPr>
        <w:t>）套期工具产生的利得或损失计入当期损益。如果套期工具是对选择以公允价值计量且其变动计入其他综合收益的非交易性权益工具投资（或其组成部分）进行套期的，套期工具产生的利得或损失计入其他综合收益。</w:t>
      </w:r>
    </w:p>
    <w:p w:rsidR="00A067C6" w:rsidRDefault="005C4966">
      <w:pPr>
        <w:pStyle w:val="a6"/>
        <w:spacing w:before="0" w:beforeAutospacing="0" w:after="0" w:afterAutospacing="0"/>
        <w:ind w:firstLine="420"/>
      </w:pPr>
      <w:r>
        <w:rPr>
          <w:rFonts w:hint="eastAsia"/>
          <w:sz w:val="18"/>
          <w:szCs w:val="18"/>
        </w:rPr>
        <w:t>（</w:t>
      </w:r>
      <w:r>
        <w:rPr>
          <w:rFonts w:hint="eastAsia"/>
          <w:sz w:val="18"/>
          <w:szCs w:val="18"/>
        </w:rPr>
        <w:t>2</w:t>
      </w:r>
      <w:r>
        <w:rPr>
          <w:rFonts w:hint="eastAsia"/>
          <w:sz w:val="18"/>
          <w:szCs w:val="18"/>
        </w:rPr>
        <w:t>）被套期项目因被套期风险敞口形成的利得或损失计入当期损益，同时调整未以公允价值计量的已确认被套期项目的账面价值。被套期项目为以公允价值计量且其变动计入其他综合收益的金融资产（或其组成部分）的，其因被套期风险敞口形成的利得或损失计入当期损益，其账面价值已经按公允价值计量，不需要调整；被套期项目为公司选择以公允价值计量且其变动计入其他综合收益的非交易性权益工具投资（或其组成部分）的，其因被套期风险敞口形成的利得或损失计入其他综合收益，其账面价值已经按公允价值计量，不需要调整。</w:t>
      </w:r>
    </w:p>
    <w:p w:rsidR="00A067C6" w:rsidRDefault="005C4966">
      <w:pPr>
        <w:pStyle w:val="a6"/>
        <w:spacing w:before="0" w:beforeAutospacing="0" w:after="0" w:afterAutospacing="0"/>
        <w:ind w:firstLine="420"/>
      </w:pPr>
      <w:r>
        <w:rPr>
          <w:rFonts w:hint="eastAsia"/>
          <w:sz w:val="18"/>
          <w:szCs w:val="18"/>
        </w:rPr>
        <w:t>被套期项目为尚未确认的确定承诺</w:t>
      </w:r>
      <w:r>
        <w:rPr>
          <w:rFonts w:hint="eastAsia"/>
          <w:sz w:val="18"/>
          <w:szCs w:val="18"/>
        </w:rPr>
        <w:t>（或其组成部分）的，其在套期关系指定后因被套期风险引起的公允价值累计变动额确认为一项资产或负债，相关的利得或损失计入各相关期间损益。当履行确定承诺而取得资产或承担负债时，调整该资产或负债的初始确认金额，以包括已确认的被套期项目的公允价值累计变动额。</w:t>
      </w:r>
    </w:p>
    <w:p w:rsidR="00A067C6" w:rsidRDefault="005C4966">
      <w:pPr>
        <w:pStyle w:val="a6"/>
        <w:spacing w:before="0" w:beforeAutospacing="0" w:after="0" w:afterAutospacing="0"/>
        <w:ind w:firstLine="420"/>
      </w:pPr>
      <w:r>
        <w:rPr>
          <w:rFonts w:hint="eastAsia"/>
          <w:sz w:val="18"/>
          <w:szCs w:val="18"/>
        </w:rPr>
        <w:t>（</w:t>
      </w:r>
      <w:r>
        <w:rPr>
          <w:rFonts w:hint="eastAsia"/>
          <w:sz w:val="18"/>
          <w:szCs w:val="18"/>
        </w:rPr>
        <w:t>3</w:t>
      </w:r>
      <w:r>
        <w:rPr>
          <w:rFonts w:hint="eastAsia"/>
          <w:sz w:val="18"/>
          <w:szCs w:val="18"/>
        </w:rPr>
        <w:t>）被套期项目为以摊余成本计量的金融工具（或其组成部分）的，对被套期项目账面价值所作的调整按照开始摊销日重新计算的实际利率进行摊销，并计入当期损益。该摊销可以自调整日开始，但不晚于对被套期项目终止进行套期利得和损失调整的时点。被套期项目为以公允价值计量且其变动</w:t>
      </w:r>
      <w:r>
        <w:rPr>
          <w:rFonts w:hint="eastAsia"/>
          <w:sz w:val="18"/>
          <w:szCs w:val="18"/>
        </w:rPr>
        <w:t>计入其他综合收益的金融资产（或其组成部分）的，则按照相同的方式对累计已确认的套期利得或损失进行摊销，并计入当期损益，但不调整金融资产（或其组成部分）的账面价值。</w:t>
      </w:r>
    </w:p>
    <w:p w:rsidR="00A067C6" w:rsidRDefault="005C4966">
      <w:pPr>
        <w:widowControl/>
        <w:numPr>
          <w:ilvl w:val="0"/>
          <w:numId w:val="49"/>
        </w:numPr>
        <w:ind w:left="714" w:hanging="357"/>
        <w:rPr>
          <w:sz w:val="18"/>
          <w:szCs w:val="18"/>
        </w:rPr>
      </w:pPr>
      <w:r>
        <w:rPr>
          <w:rFonts w:hint="eastAsia"/>
          <w:sz w:val="18"/>
          <w:szCs w:val="18"/>
        </w:rPr>
        <w:t>现金流量套期会计处理</w:t>
      </w:r>
    </w:p>
    <w:p w:rsidR="00A067C6" w:rsidRDefault="005C4966">
      <w:pPr>
        <w:pStyle w:val="a6"/>
        <w:spacing w:before="0" w:beforeAutospacing="0" w:after="0" w:afterAutospacing="0"/>
        <w:ind w:firstLine="420"/>
      </w:pPr>
      <w:r>
        <w:rPr>
          <w:rFonts w:hint="eastAsia"/>
          <w:sz w:val="18"/>
          <w:szCs w:val="18"/>
        </w:rPr>
        <w:t>（</w:t>
      </w:r>
      <w:r>
        <w:rPr>
          <w:rFonts w:hint="eastAsia"/>
          <w:sz w:val="18"/>
          <w:szCs w:val="18"/>
        </w:rPr>
        <w:t>1</w:t>
      </w:r>
      <w:r>
        <w:rPr>
          <w:rFonts w:hint="eastAsia"/>
          <w:sz w:val="18"/>
          <w:szCs w:val="18"/>
        </w:rPr>
        <w:t>）套期工具产生的利得或损失中属于套期有效的部分，作为现金流量套期储备，计入其他综合收益。现金流量套期储备的金额，按照下列两项的绝对额中较低者确定：</w:t>
      </w:r>
    </w:p>
    <w:p w:rsidR="00A067C6" w:rsidRDefault="005C4966">
      <w:pPr>
        <w:pStyle w:val="a6"/>
        <w:spacing w:before="0" w:beforeAutospacing="0" w:after="0" w:afterAutospacing="0"/>
        <w:ind w:firstLine="420"/>
      </w:pPr>
      <w:r>
        <w:rPr>
          <w:rFonts w:hint="eastAsia"/>
          <w:sz w:val="18"/>
          <w:szCs w:val="18"/>
        </w:rPr>
        <w:t>1</w:t>
      </w:r>
      <w:r>
        <w:rPr>
          <w:rFonts w:hint="eastAsia"/>
          <w:sz w:val="18"/>
          <w:szCs w:val="18"/>
        </w:rPr>
        <w:t>）套期工具自套期开始的累计利得或损失；</w:t>
      </w:r>
    </w:p>
    <w:p w:rsidR="00A067C6" w:rsidRDefault="005C4966">
      <w:pPr>
        <w:pStyle w:val="a6"/>
        <w:spacing w:before="0" w:beforeAutospacing="0" w:after="0" w:afterAutospacing="0"/>
        <w:ind w:firstLine="420"/>
      </w:pPr>
      <w:r>
        <w:rPr>
          <w:rFonts w:hint="eastAsia"/>
          <w:sz w:val="18"/>
          <w:szCs w:val="18"/>
        </w:rPr>
        <w:t>2</w:t>
      </w:r>
      <w:r>
        <w:rPr>
          <w:rFonts w:hint="eastAsia"/>
          <w:sz w:val="18"/>
          <w:szCs w:val="18"/>
        </w:rPr>
        <w:t>）被套期项目自套期开始的预计未来现金流量现值的累计变动额。每期计入其他综合收益的现金流量套期储备的金额为当期现金流量套期储备的变动额</w:t>
      </w:r>
      <w:r>
        <w:rPr>
          <w:rFonts w:hint="eastAsia"/>
          <w:sz w:val="18"/>
          <w:szCs w:val="18"/>
        </w:rPr>
        <w:t>。</w:t>
      </w:r>
    </w:p>
    <w:p w:rsidR="00A067C6" w:rsidRDefault="005C4966">
      <w:pPr>
        <w:pStyle w:val="a6"/>
        <w:spacing w:before="0" w:beforeAutospacing="0" w:after="0" w:afterAutospacing="0"/>
        <w:ind w:firstLine="420"/>
      </w:pPr>
      <w:r>
        <w:rPr>
          <w:rFonts w:hint="eastAsia"/>
          <w:sz w:val="18"/>
          <w:szCs w:val="18"/>
        </w:rPr>
        <w:t>（</w:t>
      </w:r>
      <w:r>
        <w:rPr>
          <w:rFonts w:hint="eastAsia"/>
          <w:sz w:val="18"/>
          <w:szCs w:val="18"/>
        </w:rPr>
        <w:t>2</w:t>
      </w:r>
      <w:r>
        <w:rPr>
          <w:rFonts w:hint="eastAsia"/>
          <w:sz w:val="18"/>
          <w:szCs w:val="18"/>
        </w:rPr>
        <w:t>）套期工具产生的利得或损失中属于套期无效的部分（即扣除计入其他综合收益后的其他利得或损失），计入当期损益。</w:t>
      </w:r>
    </w:p>
    <w:p w:rsidR="00A067C6" w:rsidRDefault="005C4966">
      <w:pPr>
        <w:pStyle w:val="a6"/>
        <w:spacing w:before="0" w:beforeAutospacing="0" w:after="0" w:afterAutospacing="0"/>
        <w:ind w:firstLine="420"/>
      </w:pPr>
      <w:r>
        <w:rPr>
          <w:rFonts w:hint="eastAsia"/>
          <w:sz w:val="18"/>
          <w:szCs w:val="18"/>
        </w:rPr>
        <w:t>（</w:t>
      </w:r>
      <w:r>
        <w:rPr>
          <w:rFonts w:hint="eastAsia"/>
          <w:sz w:val="18"/>
          <w:szCs w:val="18"/>
        </w:rPr>
        <w:t>3</w:t>
      </w:r>
      <w:r>
        <w:rPr>
          <w:rFonts w:hint="eastAsia"/>
          <w:sz w:val="18"/>
          <w:szCs w:val="18"/>
        </w:rPr>
        <w:t>）现金流量套期储备的金额，按照下列规定处理：</w:t>
      </w:r>
    </w:p>
    <w:p w:rsidR="00A067C6" w:rsidRDefault="005C4966">
      <w:pPr>
        <w:pStyle w:val="a6"/>
        <w:spacing w:before="0" w:beforeAutospacing="0" w:after="0" w:afterAutospacing="0"/>
        <w:ind w:firstLine="420"/>
      </w:pPr>
      <w:r>
        <w:rPr>
          <w:rFonts w:hint="eastAsia"/>
          <w:sz w:val="18"/>
          <w:szCs w:val="18"/>
        </w:rPr>
        <w:t>1</w:t>
      </w:r>
      <w:r>
        <w:rPr>
          <w:rFonts w:hint="eastAsia"/>
          <w:sz w:val="18"/>
          <w:szCs w:val="18"/>
        </w:rPr>
        <w:t>）被套期项目为预期交易，且该预期交易使公司随后确认一项非金融资产或非金融负债的，或者非金融资产或非金融负债的预期交易形成一项适用于公允价值套期会计的确定承诺时，则将原在其他综合收益中确认的现金流量套期储备金额转出，计入该资产或负债的初始确认金额。</w:t>
      </w:r>
    </w:p>
    <w:p w:rsidR="00A067C6" w:rsidRDefault="005C4966">
      <w:pPr>
        <w:pStyle w:val="a6"/>
        <w:spacing w:before="0" w:beforeAutospacing="0" w:after="0" w:afterAutospacing="0"/>
        <w:ind w:firstLine="420"/>
      </w:pPr>
      <w:r>
        <w:rPr>
          <w:rFonts w:hint="eastAsia"/>
          <w:sz w:val="18"/>
          <w:szCs w:val="18"/>
        </w:rPr>
        <w:t>2</w:t>
      </w:r>
      <w:r>
        <w:rPr>
          <w:rFonts w:hint="eastAsia"/>
          <w:sz w:val="18"/>
          <w:szCs w:val="18"/>
        </w:rPr>
        <w:t>）对于不属于前一条涉及的现金流量套期，在被套期的预期现金流量影响损益的相同期间，将原在其他综合</w:t>
      </w:r>
      <w:r>
        <w:rPr>
          <w:rFonts w:hint="eastAsia"/>
          <w:sz w:val="18"/>
          <w:szCs w:val="18"/>
        </w:rPr>
        <w:t>收益中确认的现金流量套期储备金额转出，计入当期损益。</w:t>
      </w:r>
    </w:p>
    <w:p w:rsidR="00A067C6" w:rsidRDefault="005C4966">
      <w:pPr>
        <w:pStyle w:val="a6"/>
        <w:spacing w:before="0" w:beforeAutospacing="0" w:after="0" w:afterAutospacing="0"/>
        <w:ind w:firstLine="420"/>
      </w:pPr>
      <w:r>
        <w:rPr>
          <w:rFonts w:hint="eastAsia"/>
          <w:sz w:val="18"/>
          <w:szCs w:val="18"/>
        </w:rPr>
        <w:t>3</w:t>
      </w:r>
      <w:r>
        <w:rPr>
          <w:rFonts w:hint="eastAsia"/>
          <w:sz w:val="18"/>
          <w:szCs w:val="18"/>
        </w:rPr>
        <w:t>）如果在其他综合收益中确认的现金流量套期储备金额是一项损失，且该损失全部或部分预计在未来会计期间不能弥补的，则在预计不能弥补时，将预计不能弥补的部分从其他综合收益中转出，计入当期损益。</w:t>
      </w:r>
    </w:p>
    <w:p w:rsidR="00A067C6" w:rsidRDefault="005C4966">
      <w:pPr>
        <w:widowControl/>
        <w:numPr>
          <w:ilvl w:val="0"/>
          <w:numId w:val="50"/>
        </w:numPr>
        <w:ind w:left="714" w:hanging="357"/>
        <w:rPr>
          <w:sz w:val="18"/>
          <w:szCs w:val="18"/>
        </w:rPr>
      </w:pPr>
      <w:r>
        <w:rPr>
          <w:rFonts w:hint="eastAsia"/>
          <w:sz w:val="18"/>
          <w:szCs w:val="18"/>
        </w:rPr>
        <w:t>境外经营净投资套期</w:t>
      </w:r>
    </w:p>
    <w:p w:rsidR="00A067C6" w:rsidRDefault="005C4966">
      <w:pPr>
        <w:pStyle w:val="a6"/>
        <w:spacing w:before="0" w:beforeAutospacing="0" w:after="0" w:afterAutospacing="0"/>
        <w:ind w:firstLine="420"/>
      </w:pPr>
      <w:r>
        <w:rPr>
          <w:rFonts w:hint="eastAsia"/>
          <w:sz w:val="18"/>
          <w:szCs w:val="18"/>
        </w:rPr>
        <w:t>对境外经营净投资的套期，包括对作为净投资的一部分进行会计处理的货币性项目的套期，本公司按照类似于现金流量套期会计的规定处理</w:t>
      </w:r>
      <w:r>
        <w:rPr>
          <w:rFonts w:hint="eastAsia"/>
          <w:sz w:val="18"/>
          <w:szCs w:val="18"/>
        </w:rPr>
        <w:t>:</w:t>
      </w:r>
    </w:p>
    <w:p w:rsidR="00A067C6" w:rsidRDefault="005C4966">
      <w:pPr>
        <w:widowControl/>
        <w:numPr>
          <w:ilvl w:val="0"/>
          <w:numId w:val="51"/>
        </w:numPr>
        <w:rPr>
          <w:rFonts w:ascii="Calibri" w:hAnsi="Calibri"/>
          <w:szCs w:val="21"/>
        </w:rPr>
      </w:pPr>
      <w:r>
        <w:rPr>
          <w:rFonts w:hint="eastAsia"/>
          <w:sz w:val="18"/>
          <w:szCs w:val="18"/>
        </w:rPr>
        <w:t>套期工具形成的利得或损失中属于套期有效的部分，应当计入其他综合收益。</w:t>
      </w:r>
    </w:p>
    <w:p w:rsidR="00A067C6" w:rsidRDefault="005C4966">
      <w:pPr>
        <w:pStyle w:val="a6"/>
        <w:spacing w:before="0" w:beforeAutospacing="0" w:after="0" w:afterAutospacing="0"/>
        <w:ind w:firstLine="420"/>
      </w:pPr>
      <w:r>
        <w:rPr>
          <w:rFonts w:hint="eastAsia"/>
          <w:sz w:val="18"/>
          <w:szCs w:val="18"/>
        </w:rPr>
        <w:t>全部或部分处置境外经营时，上述计入其他综合收益的套期工</w:t>
      </w:r>
      <w:r>
        <w:rPr>
          <w:rFonts w:hint="eastAsia"/>
          <w:sz w:val="18"/>
          <w:szCs w:val="18"/>
        </w:rPr>
        <w:t>具利得或损失应当相应转出，计入当期损益。</w:t>
      </w:r>
    </w:p>
    <w:p w:rsidR="00A067C6" w:rsidRDefault="005C4966">
      <w:pPr>
        <w:widowControl/>
        <w:numPr>
          <w:ilvl w:val="0"/>
          <w:numId w:val="52"/>
        </w:numPr>
        <w:rPr>
          <w:rFonts w:ascii="Calibri" w:hAnsi="Calibri"/>
          <w:szCs w:val="21"/>
        </w:rPr>
      </w:pPr>
      <w:r>
        <w:rPr>
          <w:rFonts w:hint="eastAsia"/>
          <w:sz w:val="18"/>
          <w:szCs w:val="18"/>
        </w:rPr>
        <w:t>套期工具形成的利得或损失中属于套期无效的部分，应当计入当期损益。</w:t>
      </w:r>
    </w:p>
    <w:p w:rsidR="00A067C6" w:rsidRDefault="005C4966">
      <w:pPr>
        <w:widowControl/>
        <w:numPr>
          <w:ilvl w:val="0"/>
          <w:numId w:val="53"/>
        </w:numPr>
        <w:ind w:left="714" w:hanging="357"/>
        <w:rPr>
          <w:rFonts w:ascii="宋体" w:hAnsi="宋体"/>
          <w:sz w:val="18"/>
          <w:szCs w:val="18"/>
        </w:rPr>
      </w:pPr>
      <w:r>
        <w:rPr>
          <w:rFonts w:ascii="Times New Roman" w:hAnsi="Times New Roman" w:cs="Times New Roman"/>
          <w:sz w:val="18"/>
          <w:szCs w:val="18"/>
        </w:rPr>
        <w:t xml:space="preserve">  </w:t>
      </w:r>
      <w:r>
        <w:rPr>
          <w:rFonts w:hint="eastAsia"/>
          <w:sz w:val="18"/>
          <w:szCs w:val="18"/>
        </w:rPr>
        <w:t>终止运用套期会计</w:t>
      </w:r>
    </w:p>
    <w:p w:rsidR="00A067C6" w:rsidRDefault="005C4966">
      <w:pPr>
        <w:pStyle w:val="a6"/>
        <w:spacing w:before="0" w:beforeAutospacing="0" w:after="0" w:afterAutospacing="0"/>
        <w:ind w:firstLine="420"/>
      </w:pPr>
      <w:r>
        <w:rPr>
          <w:rFonts w:hint="eastAsia"/>
          <w:sz w:val="18"/>
          <w:szCs w:val="18"/>
        </w:rPr>
        <w:t>对于发生下列情形之一的，则终止运用套期会计：</w:t>
      </w:r>
    </w:p>
    <w:p w:rsidR="00A067C6" w:rsidRDefault="005C4966">
      <w:pPr>
        <w:pStyle w:val="a6"/>
        <w:spacing w:before="0" w:beforeAutospacing="0" w:after="0" w:afterAutospacing="0"/>
        <w:ind w:firstLine="420"/>
      </w:pPr>
      <w:r>
        <w:rPr>
          <w:rFonts w:hint="eastAsia"/>
          <w:sz w:val="18"/>
          <w:szCs w:val="18"/>
        </w:rPr>
        <w:t>（</w:t>
      </w:r>
      <w:r>
        <w:rPr>
          <w:rFonts w:hint="eastAsia"/>
          <w:sz w:val="18"/>
          <w:szCs w:val="18"/>
        </w:rPr>
        <w:t>1</w:t>
      </w:r>
      <w:r>
        <w:rPr>
          <w:rFonts w:hint="eastAsia"/>
          <w:sz w:val="18"/>
          <w:szCs w:val="18"/>
        </w:rPr>
        <w:t>）因风险管理目标发生变化，导致套期关系不再满足风险管理目标。</w:t>
      </w:r>
    </w:p>
    <w:p w:rsidR="00A067C6" w:rsidRDefault="005C4966">
      <w:pPr>
        <w:pStyle w:val="a6"/>
        <w:spacing w:before="0" w:beforeAutospacing="0" w:after="0" w:afterAutospacing="0"/>
        <w:ind w:firstLine="420"/>
      </w:pPr>
      <w:r>
        <w:rPr>
          <w:rFonts w:hint="eastAsia"/>
          <w:sz w:val="18"/>
          <w:szCs w:val="18"/>
        </w:rPr>
        <w:t>（</w:t>
      </w:r>
      <w:r>
        <w:rPr>
          <w:rFonts w:hint="eastAsia"/>
          <w:sz w:val="18"/>
          <w:szCs w:val="18"/>
        </w:rPr>
        <w:t>2</w:t>
      </w:r>
      <w:r>
        <w:rPr>
          <w:rFonts w:hint="eastAsia"/>
          <w:sz w:val="18"/>
          <w:szCs w:val="18"/>
        </w:rPr>
        <w:t>）套期工具已到期、被出售、合同终止或已行使。</w:t>
      </w:r>
    </w:p>
    <w:p w:rsidR="00A067C6" w:rsidRDefault="005C4966">
      <w:pPr>
        <w:pStyle w:val="a6"/>
        <w:spacing w:before="0" w:beforeAutospacing="0" w:after="0" w:afterAutospacing="0"/>
        <w:ind w:firstLine="420"/>
      </w:pPr>
      <w:r>
        <w:rPr>
          <w:rFonts w:hint="eastAsia"/>
          <w:sz w:val="18"/>
          <w:szCs w:val="18"/>
        </w:rPr>
        <w:t>（</w:t>
      </w:r>
      <w:r>
        <w:rPr>
          <w:rFonts w:hint="eastAsia"/>
          <w:sz w:val="18"/>
          <w:szCs w:val="18"/>
        </w:rPr>
        <w:t>3</w:t>
      </w:r>
      <w:r>
        <w:rPr>
          <w:rFonts w:hint="eastAsia"/>
          <w:sz w:val="18"/>
          <w:szCs w:val="18"/>
        </w:rPr>
        <w:t>）被套期项目与套期工具之间不再存在经济关系，或者被套期项目和套期工具经济关系产生的价值变动中，信用风险的影响开始占主导地位。</w:t>
      </w:r>
    </w:p>
    <w:p w:rsidR="00A067C6" w:rsidRDefault="005C4966">
      <w:pPr>
        <w:pStyle w:val="a6"/>
        <w:spacing w:before="0" w:beforeAutospacing="0" w:after="0" w:afterAutospacing="0"/>
        <w:ind w:firstLine="420"/>
      </w:pPr>
      <w:r>
        <w:rPr>
          <w:rFonts w:hint="eastAsia"/>
          <w:sz w:val="18"/>
          <w:szCs w:val="18"/>
        </w:rPr>
        <w:t>（</w:t>
      </w:r>
      <w:r>
        <w:rPr>
          <w:rFonts w:hint="eastAsia"/>
          <w:sz w:val="18"/>
          <w:szCs w:val="18"/>
        </w:rPr>
        <w:t>4</w:t>
      </w:r>
      <w:r>
        <w:rPr>
          <w:rFonts w:hint="eastAsia"/>
          <w:sz w:val="18"/>
          <w:szCs w:val="18"/>
        </w:rPr>
        <w:t>）套期关系不再满足本准则所规定的运用套期会计方法的其他条件。在适用套期关系再平衡的情况下，企业应当首先考虑套期关系再平衡，然后评估套期关系是否满足本准则所规定的运用套期会计方法的条件。</w:t>
      </w:r>
    </w:p>
    <w:p w:rsidR="00A067C6" w:rsidRDefault="005C4966">
      <w:pPr>
        <w:pStyle w:val="a6"/>
        <w:spacing w:before="0" w:beforeAutospacing="0" w:after="0" w:afterAutospacing="0"/>
        <w:ind w:firstLine="420"/>
      </w:pPr>
      <w:r>
        <w:rPr>
          <w:rFonts w:hint="eastAsia"/>
          <w:sz w:val="18"/>
          <w:szCs w:val="18"/>
        </w:rPr>
        <w:t>终止套期会计可能会影响套期关系的整体或其中一部分，在仅影响其中一部分时，剩余未受影响的部分仍适用套期会计。</w:t>
      </w:r>
    </w:p>
    <w:p w:rsidR="00A067C6" w:rsidRDefault="005C4966">
      <w:pPr>
        <w:widowControl/>
        <w:numPr>
          <w:ilvl w:val="0"/>
          <w:numId w:val="54"/>
        </w:numPr>
        <w:ind w:left="714" w:hanging="357"/>
        <w:rPr>
          <w:sz w:val="18"/>
          <w:szCs w:val="18"/>
        </w:rPr>
      </w:pPr>
      <w:r>
        <w:rPr>
          <w:rFonts w:ascii="Times New Roman" w:hAnsi="Times New Roman" w:cs="Times New Roman"/>
          <w:sz w:val="18"/>
          <w:szCs w:val="18"/>
        </w:rPr>
        <w:t> </w:t>
      </w:r>
      <w:r>
        <w:rPr>
          <w:rFonts w:hint="eastAsia"/>
          <w:sz w:val="18"/>
          <w:szCs w:val="18"/>
        </w:rPr>
        <w:t>信用风险敞口的公允价值选择</w:t>
      </w:r>
    </w:p>
    <w:p w:rsidR="00A067C6" w:rsidRDefault="005C4966">
      <w:pPr>
        <w:pStyle w:val="a6"/>
        <w:spacing w:before="0" w:beforeAutospacing="0" w:after="0" w:afterAutospacing="0"/>
        <w:ind w:firstLine="420"/>
      </w:pPr>
      <w:r>
        <w:rPr>
          <w:rFonts w:hint="eastAsia"/>
          <w:sz w:val="18"/>
          <w:szCs w:val="18"/>
        </w:rPr>
        <w:t>当使用以公允价值计量且其变动计入当期损益的信用衍生工具管理金融工具（或其组成部分）的信用风险敞口时，可以在该金融工具（或其组成部分）初始确认时、后续计量中或尚未确认时，将其指定为以公允价值计量且其变动计入当期损益的金融工具，并同时作出书面记录，但应同时满足下列条件：</w:t>
      </w:r>
    </w:p>
    <w:p w:rsidR="00A067C6" w:rsidRDefault="005C4966">
      <w:pPr>
        <w:pStyle w:val="a6"/>
        <w:spacing w:before="0" w:beforeAutospacing="0" w:after="0" w:afterAutospacing="0"/>
        <w:ind w:firstLine="420"/>
      </w:pPr>
      <w:r>
        <w:rPr>
          <w:rFonts w:hint="eastAsia"/>
          <w:sz w:val="18"/>
          <w:szCs w:val="18"/>
        </w:rPr>
        <w:t>（</w:t>
      </w:r>
      <w:r>
        <w:rPr>
          <w:rFonts w:hint="eastAsia"/>
          <w:sz w:val="18"/>
          <w:szCs w:val="18"/>
        </w:rPr>
        <w:t>1</w:t>
      </w:r>
      <w:r>
        <w:rPr>
          <w:rFonts w:hint="eastAsia"/>
          <w:sz w:val="18"/>
          <w:szCs w:val="18"/>
        </w:rPr>
        <w:t>）金融工具信用风险敞口的主体（如借款人或贷款承诺持有人）与信用衍生工具涉及的主体相一致；</w:t>
      </w:r>
    </w:p>
    <w:p w:rsidR="00A067C6" w:rsidRDefault="005C4966">
      <w:pPr>
        <w:pStyle w:val="a6"/>
        <w:spacing w:before="0" w:beforeAutospacing="0" w:after="0" w:afterAutospacing="0"/>
        <w:ind w:firstLine="420"/>
      </w:pPr>
      <w:r>
        <w:rPr>
          <w:rFonts w:hint="eastAsia"/>
          <w:sz w:val="18"/>
          <w:szCs w:val="18"/>
        </w:rPr>
        <w:t>（</w:t>
      </w:r>
      <w:r>
        <w:rPr>
          <w:rFonts w:hint="eastAsia"/>
          <w:sz w:val="18"/>
          <w:szCs w:val="18"/>
        </w:rPr>
        <w:t>2</w:t>
      </w:r>
      <w:r>
        <w:rPr>
          <w:rFonts w:hint="eastAsia"/>
          <w:sz w:val="18"/>
          <w:szCs w:val="18"/>
        </w:rPr>
        <w:t>）金融工具的偿付级次与根据信用衍生工具条款须交付的工具的偿付级次相一致。</w:t>
      </w:r>
    </w:p>
    <w:p w:rsidR="00A067C6" w:rsidRDefault="005C4966">
      <w:pPr>
        <w:pStyle w:val="3"/>
        <w:spacing w:line="280" w:lineRule="exact"/>
        <w:jc w:val="left"/>
        <w:rPr>
          <w:rFonts w:ascii="宋体" w:hAnsi="宋体" w:cs="宋体"/>
          <w:b/>
          <w:bCs/>
        </w:rPr>
      </w:pPr>
      <w:bookmarkStart w:id="175" w:name="_Toc989063"/>
      <w:r>
        <w:rPr>
          <w:rFonts w:ascii="宋体" w:hAnsi="宋体" w:cs="宋体"/>
          <w:b/>
          <w:bCs/>
        </w:rPr>
        <w:t>44</w:t>
      </w:r>
      <w:r>
        <w:rPr>
          <w:rFonts w:ascii="宋体" w:hAnsi="宋体" w:cs="宋体"/>
          <w:b/>
          <w:bCs/>
        </w:rPr>
        <w:t>、重要会计政策和会计估计变更</w:t>
      </w:r>
      <w:bookmarkEnd w:id="175"/>
    </w:p>
    <w:p w:rsidR="00A067C6" w:rsidRDefault="005C4966">
      <w:pPr>
        <w:keepNext/>
        <w:keepLines/>
        <w:spacing w:before="300" w:after="300" w:line="280" w:lineRule="exact"/>
        <w:outlineLvl w:val="3"/>
        <w:rPr>
          <w:rFonts w:ascii="宋体" w:eastAsia="宋体" w:hAnsi="宋体" w:cs="宋体"/>
          <w:b/>
          <w:bCs/>
          <w:sz w:val="18"/>
          <w:szCs w:val="18"/>
        </w:rPr>
      </w:pPr>
      <w:bookmarkStart w:id="176" w:name="_Toc989064"/>
      <w:r>
        <w:rPr>
          <w:rFonts w:ascii="宋体" w:eastAsia="宋体" w:hAnsi="宋体" w:cs="宋体"/>
          <w:b/>
          <w:bCs/>
          <w:sz w:val="18"/>
          <w:szCs w:val="18"/>
        </w:rPr>
        <w:t>（</w:t>
      </w:r>
      <w:r>
        <w:rPr>
          <w:rFonts w:ascii="宋体" w:eastAsia="宋体" w:hAnsi="宋体" w:cs="宋体"/>
          <w:b/>
          <w:bCs/>
          <w:sz w:val="18"/>
          <w:szCs w:val="18"/>
        </w:rPr>
        <w:t>1</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重要会计政策变更</w:t>
      </w:r>
      <w:bookmarkEnd w:id="176"/>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w:t>
      </w:r>
      <w:r>
        <w:rPr>
          <w:rFonts w:ascii="宋体" w:eastAsia="宋体" w:hAnsi="宋体" w:cs="宋体"/>
          <w:sz w:val="18"/>
          <w:szCs w:val="18"/>
        </w:rPr>
        <w:t>适用</w:t>
      </w:r>
    </w:p>
    <w:p w:rsidR="00A067C6" w:rsidRDefault="005C4966">
      <w:pPr>
        <w:keepNext/>
        <w:keepLines/>
        <w:spacing w:before="300" w:after="300" w:line="280" w:lineRule="exact"/>
        <w:outlineLvl w:val="3"/>
        <w:rPr>
          <w:rFonts w:ascii="宋体" w:eastAsia="宋体" w:hAnsi="宋体" w:cs="宋体"/>
          <w:b/>
          <w:bCs/>
          <w:sz w:val="18"/>
          <w:szCs w:val="18"/>
        </w:rPr>
      </w:pPr>
      <w:bookmarkStart w:id="177" w:name="_Toc989065"/>
      <w:r>
        <w:rPr>
          <w:rFonts w:ascii="宋体" w:eastAsia="宋体" w:hAnsi="宋体" w:cs="宋体"/>
          <w:b/>
          <w:bCs/>
          <w:sz w:val="18"/>
          <w:szCs w:val="18"/>
        </w:rPr>
        <w:t>（</w:t>
      </w:r>
      <w:r>
        <w:rPr>
          <w:rFonts w:ascii="宋体" w:eastAsia="宋体" w:hAnsi="宋体" w:cs="宋体"/>
          <w:b/>
          <w:bCs/>
          <w:sz w:val="18"/>
          <w:szCs w:val="18"/>
        </w:rPr>
        <w:t>2</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重要会计估计变更</w:t>
      </w:r>
      <w:bookmarkEnd w:id="177"/>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keepNext/>
        <w:keepLines/>
        <w:spacing w:before="300" w:after="300" w:line="280" w:lineRule="exact"/>
        <w:outlineLvl w:val="3"/>
        <w:rPr>
          <w:rFonts w:ascii="宋体" w:eastAsia="宋体" w:hAnsi="宋体" w:cs="宋体"/>
          <w:b/>
          <w:bCs/>
          <w:sz w:val="18"/>
          <w:szCs w:val="18"/>
        </w:rPr>
      </w:pPr>
      <w:bookmarkStart w:id="178" w:name="_Toc989066"/>
      <w:r>
        <w:rPr>
          <w:rFonts w:ascii="宋体" w:eastAsia="宋体" w:hAnsi="宋体" w:cs="宋体"/>
          <w:b/>
          <w:bCs/>
          <w:sz w:val="18"/>
          <w:szCs w:val="18"/>
        </w:rPr>
        <w:t>（</w:t>
      </w:r>
      <w:r>
        <w:rPr>
          <w:rFonts w:ascii="宋体" w:eastAsia="宋体" w:hAnsi="宋体" w:cs="宋体"/>
          <w:b/>
          <w:bCs/>
          <w:sz w:val="18"/>
          <w:szCs w:val="18"/>
        </w:rPr>
        <w:t>3</w:t>
      </w:r>
      <w:r>
        <w:rPr>
          <w:rFonts w:ascii="宋体" w:eastAsia="宋体" w:hAnsi="宋体" w:cs="宋体"/>
          <w:b/>
          <w:bCs/>
          <w:sz w:val="18"/>
          <w:szCs w:val="18"/>
        </w:rPr>
        <w:t>）</w:t>
      </w:r>
      <w:r>
        <w:rPr>
          <w:rFonts w:ascii="宋体" w:eastAsia="宋体" w:hAnsi="宋体" w:cs="宋体"/>
          <w:b/>
          <w:bCs/>
          <w:sz w:val="18"/>
          <w:szCs w:val="18"/>
        </w:rPr>
        <w:t xml:space="preserve"> 2023</w:t>
      </w:r>
      <w:r>
        <w:rPr>
          <w:rFonts w:ascii="宋体" w:eastAsia="宋体" w:hAnsi="宋体" w:cs="宋体"/>
          <w:b/>
          <w:bCs/>
          <w:sz w:val="18"/>
          <w:szCs w:val="18"/>
        </w:rPr>
        <w:t>年起首次执行新会计准则调整首次执行当年年初财务报表相关项目情况</w:t>
      </w:r>
      <w:bookmarkEnd w:id="178"/>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pStyle w:val="3"/>
        <w:spacing w:line="280" w:lineRule="exact"/>
        <w:jc w:val="left"/>
        <w:rPr>
          <w:rFonts w:ascii="宋体" w:hAnsi="宋体" w:cs="宋体"/>
          <w:b/>
          <w:bCs/>
        </w:rPr>
      </w:pPr>
      <w:bookmarkStart w:id="179" w:name="_Toc989067"/>
      <w:r>
        <w:rPr>
          <w:rFonts w:ascii="宋体" w:hAnsi="宋体" w:cs="宋体"/>
          <w:b/>
          <w:bCs/>
        </w:rPr>
        <w:t>45</w:t>
      </w:r>
      <w:r>
        <w:rPr>
          <w:rFonts w:ascii="宋体" w:hAnsi="宋体" w:cs="宋体"/>
          <w:b/>
          <w:bCs/>
        </w:rPr>
        <w:t>、其他</w:t>
      </w:r>
      <w:bookmarkEnd w:id="179"/>
    </w:p>
    <w:p w:rsidR="00A067C6" w:rsidRDefault="005C4966">
      <w:pPr>
        <w:pStyle w:val="a6"/>
        <w:rPr>
          <w:sz w:val="18"/>
          <w:szCs w:val="18"/>
        </w:rPr>
      </w:pPr>
      <w:r>
        <w:rPr>
          <w:rFonts w:hint="eastAsia"/>
          <w:sz w:val="18"/>
          <w:szCs w:val="18"/>
        </w:rPr>
        <w:t>无。</w:t>
      </w:r>
    </w:p>
    <w:p w:rsidR="00A067C6" w:rsidRDefault="005C4966">
      <w:pPr>
        <w:pStyle w:val="2"/>
        <w:spacing w:before="300" w:after="300" w:line="320" w:lineRule="exact"/>
        <w:rPr>
          <w:rFonts w:ascii="宋体" w:eastAsia="宋体" w:hAnsi="宋体" w:cs="宋体"/>
          <w:b/>
          <w:bCs/>
          <w:sz w:val="24"/>
          <w:szCs w:val="24"/>
        </w:rPr>
      </w:pPr>
      <w:bookmarkStart w:id="180" w:name="_Toc989068"/>
      <w:r>
        <w:rPr>
          <w:rFonts w:ascii="宋体" w:eastAsia="宋体" w:hAnsi="宋体" w:cs="宋体"/>
          <w:b/>
          <w:bCs/>
          <w:sz w:val="24"/>
          <w:szCs w:val="24"/>
        </w:rPr>
        <w:t>六、税项</w:t>
      </w:r>
      <w:bookmarkEnd w:id="180"/>
    </w:p>
    <w:p w:rsidR="00A067C6" w:rsidRDefault="005C4966">
      <w:pPr>
        <w:pStyle w:val="3"/>
        <w:spacing w:line="280" w:lineRule="exact"/>
        <w:jc w:val="left"/>
        <w:rPr>
          <w:rFonts w:ascii="宋体" w:hAnsi="宋体" w:cs="宋体"/>
          <w:b/>
          <w:bCs/>
        </w:rPr>
      </w:pPr>
      <w:bookmarkStart w:id="181" w:name="_Toc989069"/>
      <w:r>
        <w:rPr>
          <w:rFonts w:ascii="宋体" w:hAnsi="宋体" w:cs="宋体"/>
          <w:b/>
          <w:bCs/>
        </w:rPr>
        <w:t>1</w:t>
      </w:r>
      <w:r>
        <w:rPr>
          <w:rFonts w:ascii="宋体" w:hAnsi="宋体" w:cs="宋体"/>
          <w:b/>
          <w:bCs/>
        </w:rPr>
        <w:t>、主要税种及税率</w:t>
      </w:r>
      <w:bookmarkEnd w:id="181"/>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802"/>
        <w:gridCol w:w="3827"/>
        <w:gridCol w:w="3010"/>
      </w:tblGrid>
      <w:tr w:rsidR="00A067C6">
        <w:trPr>
          <w:trHeight w:val="20"/>
        </w:trPr>
        <w:tc>
          <w:tcPr>
            <w:tcW w:w="2802"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税种</w:t>
            </w:r>
          </w:p>
        </w:tc>
        <w:tc>
          <w:tcPr>
            <w:tcW w:w="38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计税依据</w:t>
            </w:r>
          </w:p>
        </w:tc>
        <w:tc>
          <w:tcPr>
            <w:tcW w:w="30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税率</w:t>
            </w:r>
          </w:p>
        </w:tc>
      </w:tr>
      <w:tr w:rsidR="00A067C6">
        <w:trPr>
          <w:trHeight w:val="20"/>
        </w:trPr>
        <w:tc>
          <w:tcPr>
            <w:tcW w:w="2802"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增值税</w:t>
            </w:r>
          </w:p>
        </w:tc>
        <w:tc>
          <w:tcPr>
            <w:tcW w:w="382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销售货物、应税劳务收入和应税服务收入</w:t>
            </w:r>
          </w:p>
        </w:tc>
        <w:tc>
          <w:tcPr>
            <w:tcW w:w="30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13%</w:t>
            </w:r>
            <w:r>
              <w:rPr>
                <w:rFonts w:ascii="宋体" w:eastAsia="宋体" w:hAnsi="宋体" w:cs="宋体"/>
                <w:sz w:val="18"/>
                <w:szCs w:val="18"/>
              </w:rPr>
              <w:t>、</w:t>
            </w:r>
            <w:r>
              <w:rPr>
                <w:rFonts w:ascii="宋体" w:eastAsia="宋体" w:hAnsi="宋体" w:cs="宋体"/>
                <w:sz w:val="18"/>
                <w:szCs w:val="18"/>
              </w:rPr>
              <w:t>10%</w:t>
            </w:r>
            <w:r>
              <w:rPr>
                <w:rFonts w:ascii="宋体" w:eastAsia="宋体" w:hAnsi="宋体" w:cs="宋体"/>
                <w:sz w:val="18"/>
                <w:szCs w:val="18"/>
              </w:rPr>
              <w:t>、</w:t>
            </w:r>
            <w:r>
              <w:rPr>
                <w:rFonts w:ascii="宋体" w:eastAsia="宋体" w:hAnsi="宋体" w:cs="宋体"/>
                <w:sz w:val="18"/>
                <w:szCs w:val="18"/>
              </w:rPr>
              <w:t>9%</w:t>
            </w:r>
            <w:r>
              <w:rPr>
                <w:rFonts w:ascii="宋体" w:eastAsia="宋体" w:hAnsi="宋体" w:cs="宋体"/>
                <w:sz w:val="18"/>
                <w:szCs w:val="18"/>
              </w:rPr>
              <w:t>、</w:t>
            </w:r>
            <w:r>
              <w:rPr>
                <w:rFonts w:ascii="宋体" w:eastAsia="宋体" w:hAnsi="宋体" w:cs="宋体"/>
                <w:sz w:val="18"/>
                <w:szCs w:val="18"/>
              </w:rPr>
              <w:t>6%</w:t>
            </w:r>
          </w:p>
        </w:tc>
      </w:tr>
      <w:tr w:rsidR="00A067C6">
        <w:trPr>
          <w:trHeight w:val="20"/>
        </w:trPr>
        <w:tc>
          <w:tcPr>
            <w:tcW w:w="2802"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城市维护建设税</w:t>
            </w:r>
          </w:p>
        </w:tc>
        <w:tc>
          <w:tcPr>
            <w:tcW w:w="382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实缴流转税税额</w:t>
            </w:r>
          </w:p>
        </w:tc>
        <w:tc>
          <w:tcPr>
            <w:tcW w:w="30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7%</w:t>
            </w:r>
            <w:r>
              <w:rPr>
                <w:rFonts w:ascii="宋体" w:eastAsia="宋体" w:hAnsi="宋体" w:cs="宋体"/>
                <w:sz w:val="18"/>
                <w:szCs w:val="18"/>
              </w:rPr>
              <w:t>、</w:t>
            </w:r>
            <w:r>
              <w:rPr>
                <w:rFonts w:ascii="宋体" w:eastAsia="宋体" w:hAnsi="宋体" w:cs="宋体"/>
                <w:sz w:val="18"/>
                <w:szCs w:val="18"/>
              </w:rPr>
              <w:t>5%</w:t>
            </w:r>
            <w:r>
              <w:rPr>
                <w:rFonts w:ascii="宋体" w:eastAsia="宋体" w:hAnsi="宋体" w:cs="宋体"/>
                <w:sz w:val="18"/>
                <w:szCs w:val="18"/>
              </w:rPr>
              <w:t>、</w:t>
            </w:r>
            <w:r>
              <w:rPr>
                <w:rFonts w:ascii="宋体" w:eastAsia="宋体" w:hAnsi="宋体" w:cs="宋体"/>
                <w:sz w:val="18"/>
                <w:szCs w:val="18"/>
              </w:rPr>
              <w:t>3%</w:t>
            </w:r>
          </w:p>
        </w:tc>
      </w:tr>
      <w:tr w:rsidR="00A067C6">
        <w:trPr>
          <w:trHeight w:val="20"/>
        </w:trPr>
        <w:tc>
          <w:tcPr>
            <w:tcW w:w="2802"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企业所得税</w:t>
            </w:r>
          </w:p>
        </w:tc>
        <w:tc>
          <w:tcPr>
            <w:tcW w:w="382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实缴流转税税额</w:t>
            </w:r>
          </w:p>
        </w:tc>
        <w:tc>
          <w:tcPr>
            <w:tcW w:w="30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25%</w:t>
            </w:r>
            <w:r>
              <w:rPr>
                <w:rFonts w:ascii="宋体" w:eastAsia="宋体" w:hAnsi="宋体" w:cs="宋体"/>
                <w:sz w:val="18"/>
                <w:szCs w:val="18"/>
              </w:rPr>
              <w:t>、</w:t>
            </w:r>
            <w:r>
              <w:rPr>
                <w:rFonts w:ascii="宋体" w:eastAsia="宋体" w:hAnsi="宋体" w:cs="宋体"/>
                <w:sz w:val="18"/>
                <w:szCs w:val="18"/>
              </w:rPr>
              <w:t>20%</w:t>
            </w:r>
            <w:r>
              <w:rPr>
                <w:rFonts w:ascii="宋体" w:eastAsia="宋体" w:hAnsi="宋体" w:cs="宋体"/>
                <w:sz w:val="18"/>
                <w:szCs w:val="18"/>
              </w:rPr>
              <w:t>、</w:t>
            </w:r>
            <w:r>
              <w:rPr>
                <w:rFonts w:ascii="宋体" w:eastAsia="宋体" w:hAnsi="宋体" w:cs="宋体"/>
                <w:sz w:val="18"/>
                <w:szCs w:val="18"/>
              </w:rPr>
              <w:t>16.5%</w:t>
            </w:r>
            <w:r>
              <w:rPr>
                <w:rFonts w:ascii="宋体" w:eastAsia="宋体" w:hAnsi="宋体" w:cs="宋体"/>
                <w:sz w:val="18"/>
                <w:szCs w:val="18"/>
              </w:rPr>
              <w:t>、</w:t>
            </w:r>
            <w:r>
              <w:rPr>
                <w:rFonts w:ascii="宋体" w:eastAsia="宋体" w:hAnsi="宋体" w:cs="宋体"/>
                <w:sz w:val="18"/>
                <w:szCs w:val="18"/>
              </w:rPr>
              <w:t>15%</w:t>
            </w:r>
            <w:r>
              <w:rPr>
                <w:rFonts w:ascii="宋体" w:eastAsia="宋体" w:hAnsi="宋体" w:cs="宋体"/>
                <w:sz w:val="18"/>
                <w:szCs w:val="18"/>
              </w:rPr>
              <w:t>、</w:t>
            </w:r>
            <w:r>
              <w:rPr>
                <w:rFonts w:ascii="宋体" w:eastAsia="宋体" w:hAnsi="宋体" w:cs="宋体"/>
                <w:sz w:val="18"/>
                <w:szCs w:val="18"/>
              </w:rPr>
              <w:t>10%</w:t>
            </w:r>
            <w:r>
              <w:rPr>
                <w:rFonts w:ascii="宋体" w:eastAsia="宋体" w:hAnsi="宋体" w:cs="宋体"/>
                <w:sz w:val="18"/>
                <w:szCs w:val="18"/>
              </w:rPr>
              <w:t>、</w:t>
            </w:r>
            <w:r>
              <w:rPr>
                <w:rFonts w:ascii="宋体" w:eastAsia="宋体" w:hAnsi="宋体" w:cs="宋体"/>
                <w:sz w:val="18"/>
                <w:szCs w:val="18"/>
              </w:rPr>
              <w:t>5%</w:t>
            </w:r>
          </w:p>
        </w:tc>
      </w:tr>
      <w:tr w:rsidR="00A067C6">
        <w:trPr>
          <w:trHeight w:val="20"/>
        </w:trPr>
        <w:tc>
          <w:tcPr>
            <w:tcW w:w="280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教育费附加</w:t>
            </w:r>
          </w:p>
        </w:tc>
        <w:tc>
          <w:tcPr>
            <w:tcW w:w="382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实缴流转税税额</w:t>
            </w:r>
          </w:p>
        </w:tc>
        <w:tc>
          <w:tcPr>
            <w:tcW w:w="30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3%</w:t>
            </w:r>
          </w:p>
        </w:tc>
      </w:tr>
      <w:tr w:rsidR="00A067C6">
        <w:trPr>
          <w:trHeight w:val="20"/>
        </w:trPr>
        <w:tc>
          <w:tcPr>
            <w:tcW w:w="280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地方教育费附加</w:t>
            </w:r>
          </w:p>
        </w:tc>
        <w:tc>
          <w:tcPr>
            <w:tcW w:w="382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实缴流转税税额</w:t>
            </w:r>
          </w:p>
        </w:tc>
        <w:tc>
          <w:tcPr>
            <w:tcW w:w="30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w:t>
            </w:r>
          </w:p>
        </w:tc>
      </w:tr>
      <w:tr w:rsidR="00A067C6">
        <w:trPr>
          <w:trHeight w:val="20"/>
        </w:trPr>
        <w:tc>
          <w:tcPr>
            <w:tcW w:w="280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水利基金</w:t>
            </w:r>
          </w:p>
        </w:tc>
        <w:tc>
          <w:tcPr>
            <w:tcW w:w="382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营业收入</w:t>
            </w:r>
          </w:p>
        </w:tc>
        <w:tc>
          <w:tcPr>
            <w:tcW w:w="30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0.1%</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存在不同企业所得税税率纳税主体的，披露情况说明</w:t>
      </w:r>
      <w:r>
        <w:rPr>
          <w:rFonts w:ascii="宋体" w:eastAsia="宋体" w:hAnsi="宋体" w:cs="宋体" w:hint="eastAsia"/>
          <w:sz w:val="18"/>
          <w:szCs w:val="18"/>
        </w:rPr>
        <w:t>:</w:t>
      </w:r>
    </w:p>
    <w:p w:rsidR="00A067C6" w:rsidRDefault="00A067C6">
      <w:pPr>
        <w:spacing w:before="100" w:after="100" w:line="240" w:lineRule="exact"/>
        <w:rPr>
          <w:rFonts w:ascii="宋体" w:eastAsia="宋体" w:hAnsi="宋体" w:cs="宋体"/>
          <w:sz w:val="18"/>
          <w:szCs w:val="18"/>
        </w:rPr>
      </w:pP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A067C6">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纳税主体名称</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所得税税率</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本公司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15%</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香港华孚贸易有限公司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16.50%</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香港华孚有限公司</w:t>
            </w:r>
            <w:r>
              <w:rPr>
                <w:rFonts w:ascii="宋体" w:eastAsia="宋体" w:hAnsi="宋体" w:cs="宋体"/>
                <w:sz w:val="18"/>
                <w:szCs w:val="18"/>
              </w:rPr>
              <w:t>(1)</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16.50%</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香港天成贸易有限公司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16.50%</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浙江华孚色纺有限公司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15%</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阿克苏华孚色纺有限公司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15%</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奎屯锦孚纺织有限公司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15%</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新疆六孚纺织工业园有限公司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15%</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阿克苏标信纤维有限公司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15%</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顺道（越南）实业独资有限公司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越南隆安英鸿投资股份有限公司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新疆棉花产业集团伽师棉业有限公司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新疆棉花产业集团岳普湖棉业有限公司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新疆棉花产业集团泽普棉业有限公司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新疆棉花产业（集团）叶城棉业有限责任公司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奎屯锦孚棉业有限公司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阿瓦提银花棉业有限责任公司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库车银花棉业有限责任公司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沙雅银花棉业有限责任公司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新和银花棉业有限责任公司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库车纵横棉业有限责任公司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库车恒丰棉业有限责任公司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呼图壁县宏盛棉业有限公司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新疆华孚恒丰棉业有限公司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石河子华孚宏盛棉业有限公司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胡杨河华孚宏盛棉业有限公司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石河子市华孚宏丰棉业有限公司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新疆科宁针纺科技有限公司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新加坡耀佳国际贸易有限公司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17%</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诸暨市卡拉美拉科技有限公司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15%</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其他子公司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25%</w:t>
            </w:r>
          </w:p>
        </w:tc>
      </w:tr>
    </w:tbl>
    <w:p w:rsidR="00A067C6" w:rsidRDefault="005C4966">
      <w:pPr>
        <w:pStyle w:val="3"/>
        <w:spacing w:line="280" w:lineRule="exact"/>
        <w:jc w:val="left"/>
        <w:rPr>
          <w:rFonts w:ascii="宋体" w:hAnsi="宋体" w:cs="宋体"/>
          <w:b/>
          <w:bCs/>
        </w:rPr>
      </w:pPr>
      <w:bookmarkStart w:id="182" w:name="_Toc989070"/>
      <w:r>
        <w:rPr>
          <w:rFonts w:ascii="宋体" w:hAnsi="宋体" w:cs="宋体"/>
          <w:b/>
          <w:bCs/>
        </w:rPr>
        <w:t>2</w:t>
      </w:r>
      <w:r>
        <w:rPr>
          <w:rFonts w:ascii="宋体" w:hAnsi="宋体" w:cs="宋体"/>
          <w:b/>
          <w:bCs/>
        </w:rPr>
        <w:t>、税收优惠</w:t>
      </w:r>
      <w:bookmarkEnd w:id="182"/>
    </w:p>
    <w:p w:rsidR="00A067C6" w:rsidRDefault="005C4966">
      <w:pPr>
        <w:pStyle w:val="a6"/>
        <w:spacing w:before="0" w:beforeAutospacing="0" w:after="0" w:afterAutospacing="0"/>
        <w:ind w:firstLine="420"/>
        <w:jc w:val="both"/>
        <w:rPr>
          <w:rFonts w:asciiTheme="minorEastAsia" w:eastAsiaTheme="minorEastAsia" w:hAnsiTheme="minorEastAsia"/>
        </w:rPr>
      </w:pPr>
      <w:r>
        <w:rPr>
          <w:rFonts w:asciiTheme="minorEastAsia" w:eastAsiaTheme="minorEastAsia" w:hAnsiTheme="minorEastAsia"/>
          <w:sz w:val="18"/>
          <w:szCs w:val="18"/>
        </w:rPr>
        <w:t>1</w:t>
      </w:r>
      <w:r>
        <w:rPr>
          <w:rFonts w:asciiTheme="minorEastAsia" w:eastAsiaTheme="minorEastAsia" w:hAnsiTheme="minorEastAsia" w:hint="eastAsia"/>
          <w:sz w:val="18"/>
          <w:szCs w:val="18"/>
        </w:rPr>
        <w:t>、本公司取得了安徽省科学技术厅、安徽省财政厅、国家税务总局安徽省税务局于</w:t>
      </w:r>
      <w:r>
        <w:rPr>
          <w:rFonts w:asciiTheme="minorEastAsia" w:eastAsiaTheme="minorEastAsia" w:hAnsiTheme="minorEastAsia"/>
          <w:sz w:val="18"/>
          <w:szCs w:val="18"/>
        </w:rPr>
        <w:t>2021</w:t>
      </w:r>
      <w:r>
        <w:rPr>
          <w:rFonts w:asciiTheme="minorEastAsia" w:eastAsiaTheme="minorEastAsia" w:hAnsiTheme="minorEastAsia" w:hint="eastAsia"/>
          <w:sz w:val="18"/>
          <w:szCs w:val="18"/>
        </w:rPr>
        <w:t>年</w:t>
      </w:r>
      <w:r>
        <w:rPr>
          <w:rFonts w:asciiTheme="minorEastAsia" w:eastAsiaTheme="minorEastAsia" w:hAnsiTheme="minorEastAsia"/>
          <w:sz w:val="18"/>
          <w:szCs w:val="18"/>
        </w:rPr>
        <w:t>9</w:t>
      </w:r>
      <w:r>
        <w:rPr>
          <w:rFonts w:asciiTheme="minorEastAsia" w:eastAsiaTheme="minorEastAsia" w:hAnsiTheme="minorEastAsia" w:hint="eastAsia"/>
          <w:sz w:val="18"/>
          <w:szCs w:val="18"/>
        </w:rPr>
        <w:t>月</w:t>
      </w:r>
      <w:r>
        <w:rPr>
          <w:rFonts w:asciiTheme="minorEastAsia" w:eastAsiaTheme="minorEastAsia" w:hAnsiTheme="minorEastAsia"/>
          <w:sz w:val="18"/>
          <w:szCs w:val="18"/>
        </w:rPr>
        <w:t>18</w:t>
      </w:r>
      <w:r>
        <w:rPr>
          <w:rFonts w:asciiTheme="minorEastAsia" w:eastAsiaTheme="minorEastAsia" w:hAnsiTheme="minorEastAsia" w:hint="eastAsia"/>
          <w:sz w:val="18"/>
          <w:szCs w:val="18"/>
        </w:rPr>
        <w:t>日联合颁发的证书编号</w:t>
      </w:r>
      <w:r>
        <w:rPr>
          <w:rFonts w:asciiTheme="minorEastAsia" w:eastAsiaTheme="minorEastAsia" w:hAnsiTheme="minorEastAsia"/>
          <w:sz w:val="18"/>
          <w:szCs w:val="18"/>
        </w:rPr>
        <w:t>GR202134002871</w:t>
      </w:r>
      <w:r>
        <w:rPr>
          <w:rFonts w:asciiTheme="minorEastAsia" w:eastAsiaTheme="minorEastAsia" w:hAnsiTheme="minorEastAsia" w:hint="eastAsia"/>
          <w:sz w:val="18"/>
          <w:szCs w:val="18"/>
        </w:rPr>
        <w:t>的《高新技术企业证书》，有效期为</w:t>
      </w:r>
      <w:r>
        <w:rPr>
          <w:rFonts w:asciiTheme="minorEastAsia" w:eastAsiaTheme="minorEastAsia" w:hAnsiTheme="minorEastAsia"/>
          <w:sz w:val="18"/>
          <w:szCs w:val="18"/>
        </w:rPr>
        <w:t>3</w:t>
      </w:r>
      <w:r>
        <w:rPr>
          <w:rFonts w:asciiTheme="minorEastAsia" w:eastAsiaTheme="minorEastAsia" w:hAnsiTheme="minorEastAsia" w:hint="eastAsia"/>
          <w:sz w:val="18"/>
          <w:szCs w:val="18"/>
        </w:rPr>
        <w:t>年。本公司自</w:t>
      </w:r>
      <w:r>
        <w:rPr>
          <w:rFonts w:asciiTheme="minorEastAsia" w:eastAsiaTheme="minorEastAsia" w:hAnsiTheme="minorEastAsia"/>
          <w:sz w:val="18"/>
          <w:szCs w:val="18"/>
        </w:rPr>
        <w:t>2021</w:t>
      </w:r>
      <w:r>
        <w:rPr>
          <w:rFonts w:asciiTheme="minorEastAsia" w:eastAsiaTheme="minorEastAsia" w:hAnsiTheme="minorEastAsia" w:hint="eastAsia"/>
          <w:sz w:val="18"/>
          <w:szCs w:val="18"/>
        </w:rPr>
        <w:t>年度起享受高新技术企业税收优惠税率，即享受</w:t>
      </w:r>
      <w:r>
        <w:rPr>
          <w:rFonts w:asciiTheme="minorEastAsia" w:eastAsiaTheme="minorEastAsia" w:hAnsiTheme="minorEastAsia"/>
          <w:sz w:val="18"/>
          <w:szCs w:val="18"/>
        </w:rPr>
        <w:t>15%</w:t>
      </w:r>
      <w:r>
        <w:rPr>
          <w:rFonts w:asciiTheme="minorEastAsia" w:eastAsiaTheme="minorEastAsia" w:hAnsiTheme="minorEastAsia" w:hint="eastAsia"/>
          <w:sz w:val="18"/>
          <w:szCs w:val="18"/>
        </w:rPr>
        <w:t>的企业所得税优惠税率。</w:t>
      </w:r>
    </w:p>
    <w:p w:rsidR="00A067C6" w:rsidRDefault="005C4966">
      <w:pPr>
        <w:pStyle w:val="a6"/>
        <w:spacing w:before="0" w:beforeAutospacing="0" w:after="0" w:afterAutospacing="0"/>
        <w:ind w:firstLine="420"/>
        <w:jc w:val="both"/>
        <w:rPr>
          <w:rFonts w:asciiTheme="minorEastAsia" w:eastAsiaTheme="minorEastAsia" w:hAnsiTheme="minorEastAsia"/>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、根据</w:t>
      </w:r>
      <w:r>
        <w:rPr>
          <w:rFonts w:asciiTheme="minorEastAsia" w:eastAsiaTheme="minorEastAsia" w:hAnsiTheme="minorEastAsia"/>
          <w:sz w:val="18"/>
          <w:szCs w:val="18"/>
        </w:rPr>
        <w:t>2021</w:t>
      </w:r>
      <w:r>
        <w:rPr>
          <w:rFonts w:asciiTheme="minorEastAsia" w:eastAsiaTheme="minorEastAsia" w:hAnsiTheme="minorEastAsia" w:hint="eastAsia"/>
          <w:sz w:val="18"/>
          <w:szCs w:val="18"/>
        </w:rPr>
        <w:t>年</w:t>
      </w:r>
      <w:r>
        <w:rPr>
          <w:rFonts w:asciiTheme="minorEastAsia" w:eastAsiaTheme="minorEastAsia" w:hAnsiTheme="minorEastAsia"/>
          <w:sz w:val="18"/>
          <w:szCs w:val="18"/>
        </w:rPr>
        <w:t>12</w:t>
      </w:r>
      <w:r>
        <w:rPr>
          <w:rFonts w:asciiTheme="minorEastAsia" w:eastAsiaTheme="minorEastAsia" w:hAnsiTheme="minorEastAsia" w:hint="eastAsia"/>
          <w:sz w:val="18"/>
          <w:szCs w:val="18"/>
        </w:rPr>
        <w:t>月</w:t>
      </w:r>
      <w:r>
        <w:rPr>
          <w:rFonts w:asciiTheme="minorEastAsia" w:eastAsiaTheme="minorEastAsia" w:hAnsiTheme="minorEastAsia"/>
          <w:sz w:val="18"/>
          <w:szCs w:val="18"/>
        </w:rPr>
        <w:t>16</w:t>
      </w:r>
      <w:r>
        <w:rPr>
          <w:rFonts w:asciiTheme="minorEastAsia" w:eastAsiaTheme="minorEastAsia" w:hAnsiTheme="minorEastAsia" w:hint="eastAsia"/>
          <w:sz w:val="18"/>
          <w:szCs w:val="18"/>
        </w:rPr>
        <w:t>日浙江省科学技术厅、浙江省财政厅、国家税务总局浙江省税务局联合颁发的证书编号</w:t>
      </w:r>
      <w:r>
        <w:rPr>
          <w:rFonts w:asciiTheme="minorEastAsia" w:eastAsiaTheme="minorEastAsia" w:hAnsiTheme="minorEastAsia"/>
          <w:sz w:val="18"/>
          <w:szCs w:val="18"/>
        </w:rPr>
        <w:t>GR202133001040</w:t>
      </w:r>
      <w:r>
        <w:rPr>
          <w:rFonts w:asciiTheme="minorEastAsia" w:eastAsiaTheme="minorEastAsia" w:hAnsiTheme="minorEastAsia" w:hint="eastAsia"/>
          <w:sz w:val="18"/>
          <w:szCs w:val="18"/>
        </w:rPr>
        <w:t>的《高新技术企业证书》，有效期为</w:t>
      </w:r>
      <w:r>
        <w:rPr>
          <w:rFonts w:asciiTheme="minorEastAsia" w:eastAsiaTheme="minorEastAsia" w:hAnsiTheme="minorEastAsia"/>
          <w:sz w:val="18"/>
          <w:szCs w:val="18"/>
        </w:rPr>
        <w:t>3</w:t>
      </w:r>
      <w:r>
        <w:rPr>
          <w:rFonts w:asciiTheme="minorEastAsia" w:eastAsiaTheme="minorEastAsia" w:hAnsiTheme="minorEastAsia" w:hint="eastAsia"/>
          <w:sz w:val="18"/>
          <w:szCs w:val="18"/>
        </w:rPr>
        <w:t>年。浙江色纺自</w:t>
      </w:r>
      <w:r>
        <w:rPr>
          <w:rFonts w:asciiTheme="minorEastAsia" w:eastAsiaTheme="minorEastAsia" w:hAnsiTheme="minorEastAsia"/>
          <w:sz w:val="18"/>
          <w:szCs w:val="18"/>
        </w:rPr>
        <w:t>2021</w:t>
      </w:r>
      <w:r>
        <w:rPr>
          <w:rFonts w:asciiTheme="minorEastAsia" w:eastAsiaTheme="minorEastAsia" w:hAnsiTheme="minorEastAsia" w:hint="eastAsia"/>
          <w:sz w:val="18"/>
          <w:szCs w:val="18"/>
        </w:rPr>
        <w:t>年度起享受高新技术企业税收优惠税率，即享受</w:t>
      </w:r>
      <w:r>
        <w:rPr>
          <w:rFonts w:asciiTheme="minorEastAsia" w:eastAsiaTheme="minorEastAsia" w:hAnsiTheme="minorEastAsia"/>
          <w:sz w:val="18"/>
          <w:szCs w:val="18"/>
        </w:rPr>
        <w:t>15%</w:t>
      </w:r>
      <w:r>
        <w:rPr>
          <w:rFonts w:asciiTheme="minorEastAsia" w:eastAsiaTheme="minorEastAsia" w:hAnsiTheme="minorEastAsia" w:hint="eastAsia"/>
          <w:sz w:val="18"/>
          <w:szCs w:val="18"/>
        </w:rPr>
        <w:t>的企业所得税优惠税率。</w:t>
      </w:r>
    </w:p>
    <w:p w:rsidR="00A067C6" w:rsidRDefault="005C4966">
      <w:pPr>
        <w:pStyle w:val="a6"/>
        <w:spacing w:before="0" w:beforeAutospacing="0" w:after="0" w:afterAutospacing="0"/>
        <w:ind w:firstLine="420"/>
        <w:jc w:val="both"/>
        <w:rPr>
          <w:rFonts w:asciiTheme="minorEastAsia" w:eastAsiaTheme="minorEastAsia" w:hAnsiTheme="minorEastAsia"/>
        </w:rPr>
      </w:pPr>
      <w:r>
        <w:rPr>
          <w:rFonts w:asciiTheme="minorEastAsia" w:eastAsiaTheme="minorEastAsia" w:hAnsiTheme="minorEastAsia"/>
          <w:sz w:val="18"/>
          <w:szCs w:val="18"/>
        </w:rPr>
        <w:t>3</w:t>
      </w:r>
      <w:r>
        <w:rPr>
          <w:rFonts w:asciiTheme="minorEastAsia" w:eastAsiaTheme="minorEastAsia" w:hAnsiTheme="minorEastAsia" w:hint="eastAsia"/>
          <w:sz w:val="18"/>
          <w:szCs w:val="18"/>
        </w:rPr>
        <w:t>、根据财政部公告</w:t>
      </w:r>
      <w:r>
        <w:rPr>
          <w:rFonts w:asciiTheme="minorEastAsia" w:eastAsiaTheme="minorEastAsia" w:hAnsiTheme="minorEastAsia"/>
          <w:sz w:val="18"/>
          <w:szCs w:val="18"/>
        </w:rPr>
        <w:t>2020</w:t>
      </w:r>
      <w:r>
        <w:rPr>
          <w:rFonts w:asciiTheme="minorEastAsia" w:eastAsiaTheme="minorEastAsia" w:hAnsiTheme="minorEastAsia" w:hint="eastAsia"/>
          <w:sz w:val="18"/>
          <w:szCs w:val="18"/>
        </w:rPr>
        <w:t>年第</w:t>
      </w:r>
      <w:r>
        <w:rPr>
          <w:rFonts w:asciiTheme="minorEastAsia" w:eastAsiaTheme="minorEastAsia" w:hAnsiTheme="minorEastAsia"/>
          <w:sz w:val="18"/>
          <w:szCs w:val="18"/>
        </w:rPr>
        <w:t>23</w:t>
      </w:r>
      <w:r>
        <w:rPr>
          <w:rFonts w:asciiTheme="minorEastAsia" w:eastAsiaTheme="minorEastAsia" w:hAnsiTheme="minorEastAsia" w:hint="eastAsia"/>
          <w:sz w:val="18"/>
          <w:szCs w:val="18"/>
        </w:rPr>
        <w:t>号文件《财政部</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税务总局</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国家发展改革委关于延续西部大开发企业所得税政策的公告》的规定，对符合</w:t>
      </w:r>
      <w:r>
        <w:rPr>
          <w:rFonts w:asciiTheme="minorEastAsia" w:eastAsiaTheme="minorEastAsia" w:hAnsiTheme="minorEastAsia"/>
          <w:sz w:val="18"/>
          <w:szCs w:val="18"/>
        </w:rPr>
        <w:t>[</w:t>
      </w:r>
      <w:r>
        <w:rPr>
          <w:rFonts w:asciiTheme="minorEastAsia" w:eastAsiaTheme="minorEastAsia" w:hAnsiTheme="minorEastAsia" w:hint="eastAsia"/>
          <w:sz w:val="18"/>
          <w:szCs w:val="18"/>
        </w:rPr>
        <w:t>西部地区鼓励类产业目录</w:t>
      </w:r>
      <w:r>
        <w:rPr>
          <w:rFonts w:asciiTheme="minorEastAsia" w:eastAsiaTheme="minorEastAsia" w:hAnsiTheme="minorEastAsia"/>
          <w:sz w:val="18"/>
          <w:szCs w:val="18"/>
        </w:rPr>
        <w:t>]</w:t>
      </w:r>
      <w:r>
        <w:rPr>
          <w:rFonts w:asciiTheme="minorEastAsia" w:eastAsiaTheme="minorEastAsia" w:hAnsiTheme="minorEastAsia" w:hint="eastAsia"/>
          <w:sz w:val="18"/>
          <w:szCs w:val="18"/>
        </w:rPr>
        <w:t>第二十大类中的第六项的新疆自治区境内的纺织企业，自</w:t>
      </w:r>
      <w:r>
        <w:rPr>
          <w:rFonts w:asciiTheme="minorEastAsia" w:eastAsiaTheme="minorEastAsia" w:hAnsiTheme="minorEastAsia"/>
          <w:sz w:val="18"/>
          <w:szCs w:val="18"/>
        </w:rPr>
        <w:t>2020</w:t>
      </w:r>
      <w:r>
        <w:rPr>
          <w:rFonts w:asciiTheme="minorEastAsia" w:eastAsiaTheme="minorEastAsia" w:hAnsiTheme="minorEastAsia" w:hint="eastAsia"/>
          <w:sz w:val="18"/>
          <w:szCs w:val="18"/>
        </w:rPr>
        <w:t>年至</w:t>
      </w:r>
      <w:r>
        <w:rPr>
          <w:rFonts w:asciiTheme="minorEastAsia" w:eastAsiaTheme="minorEastAsia" w:hAnsiTheme="minorEastAsia"/>
          <w:sz w:val="18"/>
          <w:szCs w:val="18"/>
        </w:rPr>
        <w:t>2030</w:t>
      </w:r>
      <w:r>
        <w:rPr>
          <w:rFonts w:asciiTheme="minorEastAsia" w:eastAsiaTheme="minorEastAsia" w:hAnsiTheme="minorEastAsia" w:hint="eastAsia"/>
          <w:sz w:val="18"/>
          <w:szCs w:val="18"/>
        </w:rPr>
        <w:t>年，对设在西部地区的鼓励类产业企业减按</w:t>
      </w:r>
      <w:r>
        <w:rPr>
          <w:rFonts w:asciiTheme="minorEastAsia" w:eastAsiaTheme="minorEastAsia" w:hAnsiTheme="minorEastAsia"/>
          <w:sz w:val="18"/>
          <w:szCs w:val="18"/>
        </w:rPr>
        <w:t>15%</w:t>
      </w:r>
      <w:r>
        <w:rPr>
          <w:rFonts w:asciiTheme="minorEastAsia" w:eastAsiaTheme="minorEastAsia" w:hAnsiTheme="minorEastAsia" w:hint="eastAsia"/>
          <w:sz w:val="18"/>
          <w:szCs w:val="18"/>
        </w:rPr>
        <w:t>的税率征收企</w:t>
      </w:r>
      <w:r>
        <w:rPr>
          <w:rFonts w:asciiTheme="minorEastAsia" w:eastAsiaTheme="minorEastAsia" w:hAnsiTheme="minorEastAsia" w:hint="eastAsia"/>
          <w:sz w:val="18"/>
          <w:szCs w:val="18"/>
        </w:rPr>
        <w:t>业所得税。据此，本公司之子公司阿克苏华孚、奎屯锦孚纺织、新疆六孚纺织享受</w:t>
      </w:r>
      <w:r>
        <w:rPr>
          <w:rFonts w:asciiTheme="minorEastAsia" w:eastAsiaTheme="minorEastAsia" w:hAnsiTheme="minorEastAsia"/>
          <w:sz w:val="18"/>
          <w:szCs w:val="18"/>
        </w:rPr>
        <w:t>15%</w:t>
      </w:r>
      <w:r>
        <w:rPr>
          <w:rFonts w:asciiTheme="minorEastAsia" w:eastAsiaTheme="minorEastAsia" w:hAnsiTheme="minorEastAsia" w:hint="eastAsia"/>
          <w:sz w:val="18"/>
          <w:szCs w:val="18"/>
        </w:rPr>
        <w:t>的企业所得税率。</w:t>
      </w:r>
    </w:p>
    <w:p w:rsidR="00A067C6" w:rsidRDefault="005C4966">
      <w:pPr>
        <w:pStyle w:val="a6"/>
        <w:spacing w:before="0" w:beforeAutospacing="0" w:after="0" w:afterAutospacing="0"/>
        <w:ind w:firstLine="420"/>
        <w:jc w:val="both"/>
        <w:rPr>
          <w:rFonts w:asciiTheme="minorEastAsia" w:eastAsiaTheme="minorEastAsia" w:hAnsiTheme="minorEastAsia"/>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、根据越南现行的</w:t>
      </w:r>
      <w:r>
        <w:rPr>
          <w:rFonts w:asciiTheme="minorEastAsia" w:eastAsiaTheme="minorEastAsia" w:hAnsiTheme="minorEastAsia"/>
          <w:sz w:val="18"/>
          <w:szCs w:val="18"/>
        </w:rPr>
        <w:t xml:space="preserve">78/2014/TT-BTC </w:t>
      </w:r>
      <w:r>
        <w:rPr>
          <w:rFonts w:asciiTheme="minorEastAsia" w:eastAsiaTheme="minorEastAsia" w:hAnsiTheme="minorEastAsia" w:hint="eastAsia"/>
          <w:sz w:val="18"/>
          <w:szCs w:val="18"/>
        </w:rPr>
        <w:t>和</w:t>
      </w:r>
      <w:r>
        <w:rPr>
          <w:rFonts w:asciiTheme="minorEastAsia" w:eastAsiaTheme="minorEastAsia" w:hAnsiTheme="minorEastAsia"/>
          <w:sz w:val="18"/>
          <w:szCs w:val="18"/>
        </w:rPr>
        <w:t xml:space="preserve">96/2015/TT-BTC </w:t>
      </w:r>
      <w:r>
        <w:rPr>
          <w:rFonts w:asciiTheme="minorEastAsia" w:eastAsiaTheme="minorEastAsia" w:hAnsiTheme="minorEastAsia" w:hint="eastAsia"/>
          <w:sz w:val="18"/>
          <w:szCs w:val="18"/>
        </w:rPr>
        <w:t>法规以及</w:t>
      </w:r>
      <w:r>
        <w:rPr>
          <w:rFonts w:asciiTheme="minorEastAsia" w:eastAsiaTheme="minorEastAsia" w:hAnsiTheme="minorEastAsia"/>
          <w:sz w:val="18"/>
          <w:szCs w:val="18"/>
        </w:rPr>
        <w:t xml:space="preserve">57/2021/ND-CP </w:t>
      </w:r>
      <w:r>
        <w:rPr>
          <w:rFonts w:asciiTheme="minorEastAsia" w:eastAsiaTheme="minorEastAsia" w:hAnsiTheme="minorEastAsia" w:hint="eastAsia"/>
          <w:sz w:val="18"/>
          <w:szCs w:val="18"/>
        </w:rPr>
        <w:t>和</w:t>
      </w:r>
      <w:r>
        <w:rPr>
          <w:rFonts w:asciiTheme="minorEastAsia" w:eastAsiaTheme="minorEastAsia" w:hAnsiTheme="minorEastAsia"/>
          <w:sz w:val="18"/>
          <w:szCs w:val="18"/>
        </w:rPr>
        <w:t xml:space="preserve"> 218/2013/ND-CP</w:t>
      </w:r>
      <w:r>
        <w:rPr>
          <w:rFonts w:asciiTheme="minorEastAsia" w:eastAsiaTheme="minorEastAsia" w:hAnsiTheme="minorEastAsia" w:hint="eastAsia"/>
          <w:sz w:val="18"/>
          <w:szCs w:val="18"/>
        </w:rPr>
        <w:t>补充条例的规定，对符合越南国家发展战略需求的制造工业支持产品的投资项目实行一定的企业所得税优惠激励措施。</w:t>
      </w:r>
      <w:r>
        <w:rPr>
          <w:rFonts w:asciiTheme="minorEastAsia" w:eastAsiaTheme="minorEastAsia" w:hAnsiTheme="minorEastAsia"/>
          <w:sz w:val="18"/>
          <w:szCs w:val="18"/>
        </w:rPr>
        <w:t>2021</w:t>
      </w:r>
      <w:r>
        <w:rPr>
          <w:rFonts w:asciiTheme="minorEastAsia" w:eastAsiaTheme="minorEastAsia" w:hAnsiTheme="minorEastAsia" w:hint="eastAsia"/>
          <w:sz w:val="18"/>
          <w:szCs w:val="18"/>
        </w:rPr>
        <w:t>年根据越南相关政策规定，越南华孚又获得政府部门批准的“四免九减半”企业所得税优惠政策，据此，按照新税收优惠政策，越南华孚</w:t>
      </w:r>
      <w:r>
        <w:rPr>
          <w:rFonts w:asciiTheme="minorEastAsia" w:eastAsiaTheme="minorEastAsia" w:hAnsiTheme="minorEastAsia"/>
          <w:sz w:val="18"/>
          <w:szCs w:val="18"/>
        </w:rPr>
        <w:t>2023</w:t>
      </w:r>
      <w:r>
        <w:rPr>
          <w:rFonts w:asciiTheme="minorEastAsia" w:eastAsiaTheme="minorEastAsia" w:hAnsiTheme="minorEastAsia" w:hint="eastAsia"/>
          <w:sz w:val="18"/>
          <w:szCs w:val="18"/>
        </w:rPr>
        <w:t>年免征纱线产品自产自销业务的</w:t>
      </w:r>
      <w:r>
        <w:rPr>
          <w:rFonts w:asciiTheme="minorEastAsia" w:eastAsiaTheme="minorEastAsia" w:hAnsiTheme="minorEastAsia" w:hint="eastAsia"/>
          <w:sz w:val="18"/>
          <w:szCs w:val="18"/>
        </w:rPr>
        <w:t>企业所得税。</w:t>
      </w:r>
      <w:r>
        <w:rPr>
          <w:rFonts w:asciiTheme="minorEastAsia" w:eastAsiaTheme="minorEastAsia" w:hAnsiTheme="minorEastAsia"/>
          <w:sz w:val="18"/>
          <w:szCs w:val="18"/>
        </w:rPr>
        <w:t xml:space="preserve"> </w:t>
      </w:r>
    </w:p>
    <w:p w:rsidR="00A067C6" w:rsidRDefault="005C4966">
      <w:pPr>
        <w:pStyle w:val="a6"/>
        <w:spacing w:before="0" w:beforeAutospacing="0" w:after="0" w:afterAutospacing="0"/>
        <w:ind w:firstLine="420"/>
        <w:jc w:val="both"/>
        <w:rPr>
          <w:rFonts w:asciiTheme="minorEastAsia" w:eastAsiaTheme="minorEastAsia" w:hAnsiTheme="minorEastAsia"/>
        </w:rPr>
      </w:pPr>
      <w:r>
        <w:rPr>
          <w:rFonts w:asciiTheme="minorEastAsia" w:eastAsiaTheme="minorEastAsia" w:hAnsiTheme="minorEastAsia"/>
          <w:sz w:val="18"/>
          <w:szCs w:val="18"/>
        </w:rPr>
        <w:t>5</w:t>
      </w:r>
      <w:r>
        <w:rPr>
          <w:rFonts w:asciiTheme="minorEastAsia" w:eastAsiaTheme="minorEastAsia" w:hAnsiTheme="minorEastAsia" w:hint="eastAsia"/>
          <w:sz w:val="18"/>
          <w:szCs w:val="18"/>
        </w:rPr>
        <w:t>、根据《中华人民共和国企业所得税法》第二十七条第（一）项及《中华人民共和国企业所得税法实施条例》第二十七条第八十六条第一款之规定，通过轧花、剥绒等脱绒工序简单加工处理，制成的产品（皮棉、短绒、棉籽）的收入免征企业所得税。据此，本公司之子公司伽师棉业、岳普湖棉业、泽普棉业、叶城棉业、沙雅银花、库车纵横、库车恒丰、呼图壁宏盛、华孚恒丰、石河子宏盛棉业、胡杨河宏盛棉业、石河子宏丰棉业免征企业所得税。</w:t>
      </w:r>
    </w:p>
    <w:p w:rsidR="00A067C6" w:rsidRDefault="005C4966">
      <w:pPr>
        <w:pStyle w:val="a6"/>
        <w:spacing w:before="0" w:beforeAutospacing="0" w:after="0" w:afterAutospacing="0"/>
        <w:ind w:firstLine="420"/>
        <w:jc w:val="both"/>
        <w:rPr>
          <w:rFonts w:asciiTheme="minorEastAsia" w:eastAsiaTheme="minorEastAsia" w:hAnsiTheme="minorEastAsia"/>
        </w:rPr>
      </w:pPr>
      <w:r>
        <w:rPr>
          <w:rFonts w:asciiTheme="minorEastAsia" w:eastAsiaTheme="minorEastAsia" w:hAnsiTheme="minorEastAsia"/>
          <w:sz w:val="18"/>
          <w:szCs w:val="18"/>
        </w:rPr>
        <w:t>6</w:t>
      </w:r>
      <w:r>
        <w:rPr>
          <w:rFonts w:asciiTheme="minorEastAsia" w:eastAsiaTheme="minorEastAsia" w:hAnsiTheme="minorEastAsia" w:hint="eastAsia"/>
          <w:sz w:val="18"/>
          <w:szCs w:val="18"/>
        </w:rPr>
        <w:t>、根据</w:t>
      </w:r>
      <w:r>
        <w:rPr>
          <w:rFonts w:asciiTheme="minorEastAsia" w:eastAsiaTheme="minorEastAsia" w:hAnsiTheme="minorEastAsia"/>
          <w:sz w:val="18"/>
          <w:szCs w:val="18"/>
        </w:rPr>
        <w:t>2022</w:t>
      </w:r>
      <w:r>
        <w:rPr>
          <w:rFonts w:asciiTheme="minorEastAsia" w:eastAsiaTheme="minorEastAsia" w:hAnsiTheme="minorEastAsia" w:hint="eastAsia"/>
          <w:sz w:val="18"/>
          <w:szCs w:val="18"/>
        </w:rPr>
        <w:t>年</w:t>
      </w:r>
      <w:r>
        <w:rPr>
          <w:rFonts w:asciiTheme="minorEastAsia" w:eastAsiaTheme="minorEastAsia" w:hAnsiTheme="minorEastAsia"/>
          <w:sz w:val="18"/>
          <w:szCs w:val="18"/>
        </w:rPr>
        <w:t>11</w:t>
      </w:r>
      <w:r>
        <w:rPr>
          <w:rFonts w:asciiTheme="minorEastAsia" w:eastAsiaTheme="minorEastAsia" w:hAnsiTheme="minorEastAsia" w:hint="eastAsia"/>
          <w:sz w:val="18"/>
          <w:szCs w:val="18"/>
        </w:rPr>
        <w:t>月</w:t>
      </w:r>
      <w:r>
        <w:rPr>
          <w:rFonts w:asciiTheme="minorEastAsia" w:eastAsiaTheme="minorEastAsia" w:hAnsiTheme="minorEastAsia"/>
          <w:sz w:val="18"/>
          <w:szCs w:val="18"/>
        </w:rPr>
        <w:t>28</w:t>
      </w:r>
      <w:r>
        <w:rPr>
          <w:rFonts w:asciiTheme="minorEastAsia" w:eastAsiaTheme="minorEastAsia" w:hAnsiTheme="minorEastAsia" w:hint="eastAsia"/>
          <w:sz w:val="18"/>
          <w:szCs w:val="18"/>
        </w:rPr>
        <w:t>日新疆维吾尔自治区科学技术厅、新疆维吾尔自治区财政厅、国家税务总局新</w:t>
      </w:r>
      <w:r>
        <w:rPr>
          <w:rFonts w:asciiTheme="minorEastAsia" w:eastAsiaTheme="minorEastAsia" w:hAnsiTheme="minorEastAsia" w:hint="eastAsia"/>
          <w:sz w:val="18"/>
          <w:szCs w:val="18"/>
        </w:rPr>
        <w:t>疆维吾尔自治区税务局联合颁发的证书编号</w:t>
      </w:r>
      <w:r>
        <w:rPr>
          <w:rFonts w:asciiTheme="minorEastAsia" w:eastAsiaTheme="minorEastAsia" w:hAnsiTheme="minorEastAsia"/>
          <w:sz w:val="18"/>
          <w:szCs w:val="18"/>
        </w:rPr>
        <w:t>GR202265000504</w:t>
      </w:r>
      <w:r>
        <w:rPr>
          <w:rFonts w:asciiTheme="minorEastAsia" w:eastAsiaTheme="minorEastAsia" w:hAnsiTheme="minorEastAsia" w:hint="eastAsia"/>
          <w:sz w:val="18"/>
          <w:szCs w:val="18"/>
        </w:rPr>
        <w:t>的《高新技术企业证书》，有效期为</w:t>
      </w:r>
      <w:r>
        <w:rPr>
          <w:rFonts w:asciiTheme="minorEastAsia" w:eastAsiaTheme="minorEastAsia" w:hAnsiTheme="minorEastAsia"/>
          <w:sz w:val="18"/>
          <w:szCs w:val="18"/>
        </w:rPr>
        <w:t>3</w:t>
      </w:r>
      <w:r>
        <w:rPr>
          <w:rFonts w:asciiTheme="minorEastAsia" w:eastAsiaTheme="minorEastAsia" w:hAnsiTheme="minorEastAsia" w:hint="eastAsia"/>
          <w:sz w:val="18"/>
          <w:szCs w:val="18"/>
        </w:rPr>
        <w:t>年。阿克苏标信自</w:t>
      </w:r>
      <w:r>
        <w:rPr>
          <w:rFonts w:asciiTheme="minorEastAsia" w:eastAsiaTheme="minorEastAsia" w:hAnsiTheme="minorEastAsia"/>
          <w:sz w:val="18"/>
          <w:szCs w:val="18"/>
        </w:rPr>
        <w:t>2022</w:t>
      </w:r>
      <w:r>
        <w:rPr>
          <w:rFonts w:asciiTheme="minorEastAsia" w:eastAsiaTheme="minorEastAsia" w:hAnsiTheme="minorEastAsia" w:hint="eastAsia"/>
          <w:sz w:val="18"/>
          <w:szCs w:val="18"/>
        </w:rPr>
        <w:t>年度起享受高新技术企业税收优惠税率，即享受</w:t>
      </w:r>
      <w:r>
        <w:rPr>
          <w:rFonts w:asciiTheme="minorEastAsia" w:eastAsiaTheme="minorEastAsia" w:hAnsiTheme="minorEastAsia"/>
          <w:sz w:val="18"/>
          <w:szCs w:val="18"/>
        </w:rPr>
        <w:t>15%</w:t>
      </w:r>
      <w:r>
        <w:rPr>
          <w:rFonts w:asciiTheme="minorEastAsia" w:eastAsiaTheme="minorEastAsia" w:hAnsiTheme="minorEastAsia" w:hint="eastAsia"/>
          <w:sz w:val="18"/>
          <w:szCs w:val="18"/>
        </w:rPr>
        <w:t>的企业所得税优惠税率。</w:t>
      </w:r>
    </w:p>
    <w:p w:rsidR="00A067C6" w:rsidRDefault="005C4966">
      <w:pPr>
        <w:pStyle w:val="a6"/>
        <w:spacing w:before="0" w:beforeAutospacing="0" w:after="0" w:afterAutospacing="0"/>
        <w:ind w:firstLine="420"/>
        <w:jc w:val="both"/>
        <w:rPr>
          <w:rFonts w:asciiTheme="minorEastAsia" w:eastAsiaTheme="minorEastAsia" w:hAnsiTheme="minorEastAsia"/>
        </w:rPr>
      </w:pPr>
      <w:r>
        <w:rPr>
          <w:rFonts w:asciiTheme="minorEastAsia" w:eastAsiaTheme="minorEastAsia" w:hAnsiTheme="minorEastAsia"/>
          <w:sz w:val="18"/>
          <w:szCs w:val="18"/>
        </w:rPr>
        <w:t>7</w:t>
      </w:r>
      <w:r>
        <w:rPr>
          <w:rFonts w:asciiTheme="minorEastAsia" w:eastAsiaTheme="minorEastAsia" w:hAnsiTheme="minorEastAsia" w:hint="eastAsia"/>
          <w:sz w:val="18"/>
          <w:szCs w:val="18"/>
        </w:rPr>
        <w:t>、新加坡注册企业首</w:t>
      </w:r>
      <w:r>
        <w:rPr>
          <w:rFonts w:asciiTheme="minorEastAsia" w:eastAsiaTheme="minorEastAsia" w:hAnsiTheme="minorEastAsia"/>
          <w:sz w:val="18"/>
          <w:szCs w:val="18"/>
        </w:rPr>
        <w:t>1</w:t>
      </w:r>
      <w:r>
        <w:rPr>
          <w:rFonts w:asciiTheme="minorEastAsia" w:eastAsiaTheme="minorEastAsia" w:hAnsiTheme="minorEastAsia" w:hint="eastAsia"/>
          <w:sz w:val="18"/>
          <w:szCs w:val="18"/>
        </w:rPr>
        <w:t>万新币利润，减免税务</w:t>
      </w:r>
      <w:r>
        <w:rPr>
          <w:rFonts w:asciiTheme="minorEastAsia" w:eastAsiaTheme="minorEastAsia" w:hAnsiTheme="minorEastAsia"/>
          <w:sz w:val="18"/>
          <w:szCs w:val="18"/>
        </w:rPr>
        <w:t>75%</w:t>
      </w:r>
      <w:r>
        <w:rPr>
          <w:rFonts w:asciiTheme="minorEastAsia" w:eastAsiaTheme="minorEastAsia" w:hAnsiTheme="minorEastAsia" w:hint="eastAsia"/>
          <w:sz w:val="18"/>
          <w:szCs w:val="18"/>
        </w:rPr>
        <w:t>，税率为</w:t>
      </w:r>
      <w:r>
        <w:rPr>
          <w:rFonts w:asciiTheme="minorEastAsia" w:eastAsiaTheme="minorEastAsia" w:hAnsiTheme="minorEastAsia"/>
          <w:sz w:val="18"/>
          <w:szCs w:val="18"/>
        </w:rPr>
        <w:t>4.25%</w:t>
      </w:r>
      <w:r>
        <w:rPr>
          <w:rFonts w:asciiTheme="minorEastAsia" w:eastAsiaTheme="minorEastAsia" w:hAnsiTheme="minorEastAsia" w:hint="eastAsia"/>
          <w:sz w:val="18"/>
          <w:szCs w:val="18"/>
        </w:rPr>
        <w:t>；企业后续</w:t>
      </w:r>
      <w:r>
        <w:rPr>
          <w:rFonts w:asciiTheme="minorEastAsia" w:eastAsiaTheme="minorEastAsia" w:hAnsiTheme="minorEastAsia"/>
          <w:sz w:val="18"/>
          <w:szCs w:val="18"/>
        </w:rPr>
        <w:t>19</w:t>
      </w:r>
      <w:r>
        <w:rPr>
          <w:rFonts w:asciiTheme="minorEastAsia" w:eastAsiaTheme="minorEastAsia" w:hAnsiTheme="minorEastAsia" w:hint="eastAsia"/>
          <w:sz w:val="18"/>
          <w:szCs w:val="18"/>
        </w:rPr>
        <w:t>万新币利润，享有减免税务</w:t>
      </w:r>
      <w:r>
        <w:rPr>
          <w:rFonts w:asciiTheme="minorEastAsia" w:eastAsiaTheme="minorEastAsia" w:hAnsiTheme="minorEastAsia"/>
          <w:sz w:val="18"/>
          <w:szCs w:val="18"/>
        </w:rPr>
        <w:t>50%</w:t>
      </w:r>
      <w:r>
        <w:rPr>
          <w:rFonts w:asciiTheme="minorEastAsia" w:eastAsiaTheme="minorEastAsia" w:hAnsiTheme="minorEastAsia" w:hint="eastAsia"/>
          <w:sz w:val="18"/>
          <w:szCs w:val="18"/>
        </w:rPr>
        <w:t>；企业超出</w:t>
      </w:r>
      <w:r>
        <w:rPr>
          <w:rFonts w:asciiTheme="minorEastAsia" w:eastAsiaTheme="minorEastAsia" w:hAnsiTheme="minorEastAsia"/>
          <w:sz w:val="18"/>
          <w:szCs w:val="18"/>
        </w:rPr>
        <w:t>20</w:t>
      </w:r>
      <w:r>
        <w:rPr>
          <w:rFonts w:asciiTheme="minorEastAsia" w:eastAsiaTheme="minorEastAsia" w:hAnsiTheme="minorEastAsia" w:hint="eastAsia"/>
          <w:sz w:val="18"/>
          <w:szCs w:val="18"/>
        </w:rPr>
        <w:t>万新币的利润部分，按照</w:t>
      </w:r>
      <w:r>
        <w:rPr>
          <w:rFonts w:asciiTheme="minorEastAsia" w:eastAsiaTheme="minorEastAsia" w:hAnsiTheme="minorEastAsia"/>
          <w:sz w:val="18"/>
          <w:szCs w:val="18"/>
        </w:rPr>
        <w:t>17%</w:t>
      </w:r>
      <w:r>
        <w:rPr>
          <w:rFonts w:asciiTheme="minorEastAsia" w:eastAsiaTheme="minorEastAsia" w:hAnsiTheme="minorEastAsia" w:hint="eastAsia"/>
          <w:sz w:val="18"/>
          <w:szCs w:val="18"/>
        </w:rPr>
        <w:t>的税率正常征收。</w:t>
      </w:r>
    </w:p>
    <w:p w:rsidR="00A067C6" w:rsidRDefault="005C4966">
      <w:pPr>
        <w:pStyle w:val="a6"/>
        <w:spacing w:before="0" w:beforeAutospacing="0" w:after="0" w:afterAutospacing="0"/>
        <w:ind w:firstLine="420"/>
        <w:jc w:val="both"/>
        <w:rPr>
          <w:rFonts w:asciiTheme="minorEastAsia" w:eastAsiaTheme="minorEastAsia" w:hAnsiTheme="minorEastAsia"/>
        </w:rPr>
      </w:pPr>
      <w:r>
        <w:rPr>
          <w:rFonts w:asciiTheme="minorEastAsia" w:eastAsiaTheme="minorEastAsia" w:hAnsiTheme="minorEastAsia"/>
          <w:sz w:val="18"/>
          <w:szCs w:val="18"/>
        </w:rPr>
        <w:t>8</w:t>
      </w:r>
      <w:r>
        <w:rPr>
          <w:rFonts w:asciiTheme="minorEastAsia" w:eastAsiaTheme="minorEastAsia" w:hAnsiTheme="minorEastAsia" w:hint="eastAsia"/>
          <w:sz w:val="18"/>
          <w:szCs w:val="18"/>
        </w:rPr>
        <w:t>、根据</w:t>
      </w:r>
      <w:r>
        <w:rPr>
          <w:rFonts w:asciiTheme="minorEastAsia" w:eastAsiaTheme="minorEastAsia" w:hAnsiTheme="minorEastAsia"/>
          <w:sz w:val="18"/>
          <w:szCs w:val="18"/>
        </w:rPr>
        <w:t>2022</w:t>
      </w:r>
      <w:r>
        <w:rPr>
          <w:rFonts w:asciiTheme="minorEastAsia" w:eastAsiaTheme="minorEastAsia" w:hAnsiTheme="minorEastAsia" w:hint="eastAsia"/>
          <w:sz w:val="18"/>
          <w:szCs w:val="18"/>
        </w:rPr>
        <w:t>年</w:t>
      </w:r>
      <w:r>
        <w:rPr>
          <w:rFonts w:asciiTheme="minorEastAsia" w:eastAsiaTheme="minorEastAsia" w:hAnsiTheme="minorEastAsia"/>
          <w:sz w:val="18"/>
          <w:szCs w:val="18"/>
        </w:rPr>
        <w:t>12</w:t>
      </w:r>
      <w:r>
        <w:rPr>
          <w:rFonts w:asciiTheme="minorEastAsia" w:eastAsiaTheme="minorEastAsia" w:hAnsiTheme="minorEastAsia" w:hint="eastAsia"/>
          <w:sz w:val="18"/>
          <w:szCs w:val="18"/>
        </w:rPr>
        <w:t>月</w:t>
      </w:r>
      <w:r>
        <w:rPr>
          <w:rFonts w:asciiTheme="minorEastAsia" w:eastAsiaTheme="minorEastAsia" w:hAnsiTheme="minorEastAsia"/>
          <w:sz w:val="18"/>
          <w:szCs w:val="18"/>
        </w:rPr>
        <w:t>24</w:t>
      </w:r>
      <w:r>
        <w:rPr>
          <w:rFonts w:asciiTheme="minorEastAsia" w:eastAsiaTheme="minorEastAsia" w:hAnsiTheme="minorEastAsia" w:hint="eastAsia"/>
          <w:sz w:val="18"/>
          <w:szCs w:val="18"/>
        </w:rPr>
        <w:t>日浙江省科学技术厅、浙江省财政厅、国家税务总局浙江省税务局联合颁发的证书编号</w:t>
      </w:r>
      <w:r>
        <w:rPr>
          <w:rFonts w:asciiTheme="minorEastAsia" w:eastAsiaTheme="minorEastAsia" w:hAnsiTheme="minorEastAsia"/>
          <w:sz w:val="18"/>
          <w:szCs w:val="18"/>
        </w:rPr>
        <w:t>GR202233000592</w:t>
      </w:r>
      <w:r>
        <w:rPr>
          <w:rFonts w:asciiTheme="minorEastAsia" w:eastAsiaTheme="minorEastAsia" w:hAnsiTheme="minorEastAsia" w:hint="eastAsia"/>
          <w:sz w:val="18"/>
          <w:szCs w:val="18"/>
        </w:rPr>
        <w:t>的《高新技术企业证书》，有效期为</w:t>
      </w:r>
      <w:r>
        <w:rPr>
          <w:rFonts w:asciiTheme="minorEastAsia" w:eastAsiaTheme="minorEastAsia" w:hAnsiTheme="minorEastAsia"/>
          <w:sz w:val="18"/>
          <w:szCs w:val="18"/>
        </w:rPr>
        <w:t>3</w:t>
      </w:r>
      <w:r>
        <w:rPr>
          <w:rFonts w:asciiTheme="minorEastAsia" w:eastAsiaTheme="minorEastAsia" w:hAnsiTheme="minorEastAsia" w:hint="eastAsia"/>
          <w:sz w:val="18"/>
          <w:szCs w:val="18"/>
        </w:rPr>
        <w:t>年。卡拉美拉自</w:t>
      </w:r>
      <w:r>
        <w:rPr>
          <w:rFonts w:asciiTheme="minorEastAsia" w:eastAsiaTheme="minorEastAsia" w:hAnsiTheme="minorEastAsia"/>
          <w:sz w:val="18"/>
          <w:szCs w:val="18"/>
        </w:rPr>
        <w:t>2022</w:t>
      </w:r>
      <w:r>
        <w:rPr>
          <w:rFonts w:asciiTheme="minorEastAsia" w:eastAsiaTheme="minorEastAsia" w:hAnsiTheme="minorEastAsia" w:hint="eastAsia"/>
          <w:sz w:val="18"/>
          <w:szCs w:val="18"/>
        </w:rPr>
        <w:t>年度起享受高新技术企业税收优惠税率，即享受</w:t>
      </w:r>
      <w:r>
        <w:rPr>
          <w:rFonts w:asciiTheme="minorEastAsia" w:eastAsiaTheme="minorEastAsia" w:hAnsiTheme="minorEastAsia"/>
          <w:sz w:val="18"/>
          <w:szCs w:val="18"/>
        </w:rPr>
        <w:t>15%</w:t>
      </w:r>
      <w:r>
        <w:rPr>
          <w:rFonts w:asciiTheme="minorEastAsia" w:eastAsiaTheme="minorEastAsia" w:hAnsiTheme="minorEastAsia" w:hint="eastAsia"/>
          <w:sz w:val="18"/>
          <w:szCs w:val="18"/>
        </w:rPr>
        <w:t>的企业所得税优惠税率。</w:t>
      </w:r>
    </w:p>
    <w:p w:rsidR="00A067C6" w:rsidRDefault="005C4966">
      <w:pPr>
        <w:pStyle w:val="a6"/>
        <w:spacing w:before="0" w:beforeAutospacing="0" w:after="0" w:afterAutospacing="0"/>
        <w:ind w:firstLine="420"/>
        <w:jc w:val="both"/>
        <w:rPr>
          <w:rFonts w:asciiTheme="minorEastAsia" w:eastAsiaTheme="minorEastAsia" w:hAnsiTheme="minorEastAsia"/>
        </w:rPr>
      </w:pPr>
      <w:r>
        <w:rPr>
          <w:rFonts w:asciiTheme="minorEastAsia" w:eastAsiaTheme="minorEastAsia" w:hAnsiTheme="minorEastAsia"/>
          <w:sz w:val="18"/>
          <w:szCs w:val="18"/>
        </w:rPr>
        <w:t>9</w:t>
      </w:r>
      <w:r>
        <w:rPr>
          <w:rFonts w:asciiTheme="minorEastAsia" w:eastAsiaTheme="minorEastAsia" w:hAnsiTheme="minorEastAsia" w:hint="eastAsia"/>
          <w:sz w:val="18"/>
          <w:szCs w:val="18"/>
        </w:rPr>
        <w:t>、根据《财政部税务总局关于实施小微企业和个体工商户所得税优惠政策的公告》（</w:t>
      </w:r>
      <w:r>
        <w:rPr>
          <w:rFonts w:asciiTheme="minorEastAsia" w:eastAsiaTheme="minorEastAsia" w:hAnsiTheme="minorEastAsia"/>
          <w:sz w:val="18"/>
          <w:szCs w:val="18"/>
        </w:rPr>
        <w:t>2021</w:t>
      </w:r>
      <w:r>
        <w:rPr>
          <w:rFonts w:asciiTheme="minorEastAsia" w:eastAsiaTheme="minorEastAsia" w:hAnsiTheme="minorEastAsia" w:hint="eastAsia"/>
          <w:sz w:val="18"/>
          <w:szCs w:val="18"/>
        </w:rPr>
        <w:t>年第</w:t>
      </w:r>
      <w:r>
        <w:rPr>
          <w:rFonts w:asciiTheme="minorEastAsia" w:eastAsiaTheme="minorEastAsia" w:hAnsiTheme="minorEastAsia"/>
          <w:sz w:val="18"/>
          <w:szCs w:val="18"/>
        </w:rPr>
        <w:t>12</w:t>
      </w:r>
      <w:r>
        <w:rPr>
          <w:rFonts w:asciiTheme="minorEastAsia" w:eastAsiaTheme="minorEastAsia" w:hAnsiTheme="minorEastAsia" w:hint="eastAsia"/>
          <w:sz w:val="18"/>
          <w:szCs w:val="18"/>
        </w:rPr>
        <w:t>号）的规定，自</w:t>
      </w:r>
      <w:r>
        <w:rPr>
          <w:rFonts w:asciiTheme="minorEastAsia" w:eastAsiaTheme="minorEastAsia" w:hAnsiTheme="minorEastAsia"/>
          <w:sz w:val="18"/>
          <w:szCs w:val="18"/>
        </w:rPr>
        <w:t>2021</w:t>
      </w:r>
      <w:r>
        <w:rPr>
          <w:rFonts w:asciiTheme="minorEastAsia" w:eastAsiaTheme="minorEastAsia" w:hAnsiTheme="minorEastAsia" w:hint="eastAsia"/>
          <w:sz w:val="18"/>
          <w:szCs w:val="18"/>
        </w:rPr>
        <w:t>年</w:t>
      </w:r>
      <w:r>
        <w:rPr>
          <w:rFonts w:asciiTheme="minorEastAsia" w:eastAsiaTheme="minorEastAsia" w:hAnsiTheme="minorEastAsia"/>
          <w:sz w:val="18"/>
          <w:szCs w:val="18"/>
        </w:rPr>
        <w:t>1</w:t>
      </w:r>
      <w:r>
        <w:rPr>
          <w:rFonts w:asciiTheme="minorEastAsia" w:eastAsiaTheme="minorEastAsia" w:hAnsiTheme="minorEastAsia" w:hint="eastAsia"/>
          <w:sz w:val="18"/>
          <w:szCs w:val="18"/>
        </w:rPr>
        <w:t>月</w:t>
      </w:r>
      <w:r>
        <w:rPr>
          <w:rFonts w:asciiTheme="minorEastAsia" w:eastAsiaTheme="minorEastAsia" w:hAnsiTheme="minorEastAsia"/>
          <w:sz w:val="18"/>
          <w:szCs w:val="18"/>
        </w:rPr>
        <w:t>1</w:t>
      </w:r>
      <w:r>
        <w:rPr>
          <w:rFonts w:asciiTheme="minorEastAsia" w:eastAsiaTheme="minorEastAsia" w:hAnsiTheme="minorEastAsia" w:hint="eastAsia"/>
          <w:sz w:val="18"/>
          <w:szCs w:val="18"/>
        </w:rPr>
        <w:t>日至</w:t>
      </w:r>
      <w:r>
        <w:rPr>
          <w:rFonts w:asciiTheme="minorEastAsia" w:eastAsiaTheme="minorEastAsia" w:hAnsiTheme="minorEastAsia"/>
          <w:sz w:val="18"/>
          <w:szCs w:val="18"/>
        </w:rPr>
        <w:t>2022</w:t>
      </w:r>
      <w:r>
        <w:rPr>
          <w:rFonts w:asciiTheme="minorEastAsia" w:eastAsiaTheme="minorEastAsia" w:hAnsiTheme="minorEastAsia" w:hint="eastAsia"/>
          <w:sz w:val="18"/>
          <w:szCs w:val="18"/>
        </w:rPr>
        <w:t>年</w:t>
      </w:r>
      <w:r>
        <w:rPr>
          <w:rFonts w:asciiTheme="minorEastAsia" w:eastAsiaTheme="minorEastAsia" w:hAnsiTheme="minorEastAsia"/>
          <w:sz w:val="18"/>
          <w:szCs w:val="18"/>
        </w:rPr>
        <w:t>12</w:t>
      </w:r>
      <w:r>
        <w:rPr>
          <w:rFonts w:asciiTheme="minorEastAsia" w:eastAsiaTheme="minorEastAsia" w:hAnsiTheme="minorEastAsia" w:hint="eastAsia"/>
          <w:sz w:val="18"/>
          <w:szCs w:val="18"/>
        </w:rPr>
        <w:t>月</w:t>
      </w:r>
      <w:r>
        <w:rPr>
          <w:rFonts w:asciiTheme="minorEastAsia" w:eastAsiaTheme="minorEastAsia" w:hAnsiTheme="minorEastAsia"/>
          <w:sz w:val="18"/>
          <w:szCs w:val="18"/>
        </w:rPr>
        <w:t>31</w:t>
      </w:r>
      <w:r>
        <w:rPr>
          <w:rFonts w:asciiTheme="minorEastAsia" w:eastAsiaTheme="minorEastAsia" w:hAnsiTheme="minorEastAsia" w:hint="eastAsia"/>
          <w:sz w:val="18"/>
          <w:szCs w:val="18"/>
        </w:rPr>
        <w:t>日，对小型微利企业年应纳税所得额不超过</w:t>
      </w:r>
      <w:r>
        <w:rPr>
          <w:rFonts w:asciiTheme="minorEastAsia" w:eastAsiaTheme="minorEastAsia" w:hAnsiTheme="minorEastAsia"/>
          <w:sz w:val="18"/>
          <w:szCs w:val="18"/>
        </w:rPr>
        <w:t>100</w:t>
      </w:r>
      <w:r>
        <w:rPr>
          <w:rFonts w:asciiTheme="minorEastAsia" w:eastAsiaTheme="minorEastAsia" w:hAnsiTheme="minorEastAsia" w:hint="eastAsia"/>
          <w:sz w:val="18"/>
          <w:szCs w:val="18"/>
        </w:rPr>
        <w:t>万元的部分，减按</w:t>
      </w:r>
      <w:r>
        <w:rPr>
          <w:rFonts w:asciiTheme="minorEastAsia" w:eastAsiaTheme="minorEastAsia" w:hAnsiTheme="minorEastAsia"/>
          <w:sz w:val="18"/>
          <w:szCs w:val="18"/>
        </w:rPr>
        <w:t>12.5%</w:t>
      </w:r>
      <w:r>
        <w:rPr>
          <w:rFonts w:asciiTheme="minorEastAsia" w:eastAsiaTheme="minorEastAsia" w:hAnsiTheme="minorEastAsia" w:hint="eastAsia"/>
          <w:sz w:val="18"/>
          <w:szCs w:val="18"/>
        </w:rPr>
        <w:t>计入应纳税所得额，按</w:t>
      </w:r>
      <w:r>
        <w:rPr>
          <w:rFonts w:asciiTheme="minorEastAsia" w:eastAsiaTheme="minorEastAsia" w:hAnsiTheme="minorEastAsia"/>
          <w:sz w:val="18"/>
          <w:szCs w:val="18"/>
        </w:rPr>
        <w:t>20%</w:t>
      </w:r>
      <w:r>
        <w:rPr>
          <w:rFonts w:asciiTheme="minorEastAsia" w:eastAsiaTheme="minorEastAsia" w:hAnsiTheme="minorEastAsia" w:hint="eastAsia"/>
          <w:sz w:val="18"/>
          <w:szCs w:val="18"/>
        </w:rPr>
        <w:t>的税率缴纳企业所得税。根据《关于实施小微企业普惠性税收减免政策的通知》，对年应纳税所得额超过</w:t>
      </w:r>
      <w:r>
        <w:rPr>
          <w:rFonts w:asciiTheme="minorEastAsia" w:eastAsiaTheme="minorEastAsia" w:hAnsiTheme="minorEastAsia"/>
          <w:sz w:val="18"/>
          <w:szCs w:val="18"/>
        </w:rPr>
        <w:t>100</w:t>
      </w:r>
      <w:r>
        <w:rPr>
          <w:rFonts w:asciiTheme="minorEastAsia" w:eastAsiaTheme="minorEastAsia" w:hAnsiTheme="minorEastAsia" w:hint="eastAsia"/>
          <w:sz w:val="18"/>
          <w:szCs w:val="18"/>
        </w:rPr>
        <w:t>万元但不超过</w:t>
      </w:r>
      <w:r>
        <w:rPr>
          <w:rFonts w:asciiTheme="minorEastAsia" w:eastAsiaTheme="minorEastAsia" w:hAnsiTheme="minorEastAsia"/>
          <w:sz w:val="18"/>
          <w:szCs w:val="18"/>
        </w:rPr>
        <w:t>300</w:t>
      </w:r>
      <w:r>
        <w:rPr>
          <w:rFonts w:asciiTheme="minorEastAsia" w:eastAsiaTheme="minorEastAsia" w:hAnsiTheme="minorEastAsia" w:hint="eastAsia"/>
          <w:sz w:val="18"/>
          <w:szCs w:val="18"/>
        </w:rPr>
        <w:t>万元的部分，减按</w:t>
      </w:r>
      <w:r>
        <w:rPr>
          <w:rFonts w:asciiTheme="minorEastAsia" w:eastAsiaTheme="minorEastAsia" w:hAnsiTheme="minorEastAsia"/>
          <w:sz w:val="18"/>
          <w:szCs w:val="18"/>
        </w:rPr>
        <w:t>50%</w:t>
      </w:r>
      <w:r>
        <w:rPr>
          <w:rFonts w:asciiTheme="minorEastAsia" w:eastAsiaTheme="minorEastAsia" w:hAnsiTheme="minorEastAsia" w:hint="eastAsia"/>
          <w:sz w:val="18"/>
          <w:szCs w:val="18"/>
        </w:rPr>
        <w:t>计入应纳税所得额，按</w:t>
      </w:r>
      <w:r>
        <w:rPr>
          <w:rFonts w:asciiTheme="minorEastAsia" w:eastAsiaTheme="minorEastAsia" w:hAnsiTheme="minorEastAsia"/>
          <w:sz w:val="18"/>
          <w:szCs w:val="18"/>
        </w:rPr>
        <w:t>20%</w:t>
      </w:r>
      <w:r>
        <w:rPr>
          <w:rFonts w:asciiTheme="minorEastAsia" w:eastAsiaTheme="minorEastAsia" w:hAnsiTheme="minorEastAsia" w:hint="eastAsia"/>
          <w:sz w:val="18"/>
          <w:szCs w:val="18"/>
        </w:rPr>
        <w:t>的税率缴纳企业所得税。本公司存在上海清澄、阿克苏新能源、安徽博忆、江苏清澄、上虞华孚物流、浙江阿大互联、上海华孚色纺、菁英电商、菁英创业、新疆天路、浙江名鲲、浙江铭孚等子公司按照政策适用该税收优惠政策。</w:t>
      </w:r>
    </w:p>
    <w:p w:rsidR="00A067C6" w:rsidRDefault="005C4966">
      <w:pPr>
        <w:pStyle w:val="3"/>
        <w:spacing w:line="280" w:lineRule="exact"/>
        <w:jc w:val="left"/>
        <w:rPr>
          <w:rFonts w:ascii="宋体" w:hAnsi="宋体" w:cs="宋体"/>
          <w:b/>
          <w:bCs/>
        </w:rPr>
      </w:pPr>
      <w:bookmarkStart w:id="183" w:name="_Toc989071"/>
      <w:r>
        <w:rPr>
          <w:rFonts w:ascii="宋体" w:hAnsi="宋体" w:cs="宋体"/>
          <w:b/>
          <w:bCs/>
        </w:rPr>
        <w:t>3</w:t>
      </w:r>
      <w:r>
        <w:rPr>
          <w:rFonts w:ascii="宋体" w:hAnsi="宋体" w:cs="宋体"/>
          <w:b/>
          <w:bCs/>
        </w:rPr>
        <w:t>、其他</w:t>
      </w:r>
      <w:bookmarkEnd w:id="183"/>
    </w:p>
    <w:p w:rsidR="00A067C6" w:rsidRDefault="005C4966">
      <w:pPr>
        <w:pStyle w:val="a6"/>
        <w:spacing w:before="0" w:beforeAutospacing="0" w:after="120" w:afterAutospacing="0"/>
        <w:ind w:firstLine="420"/>
        <w:jc w:val="both"/>
      </w:pPr>
      <w:r>
        <w:rPr>
          <w:rFonts w:hint="eastAsia"/>
          <w:sz w:val="18"/>
          <w:szCs w:val="18"/>
        </w:rPr>
        <w:t>无。</w:t>
      </w:r>
    </w:p>
    <w:p w:rsidR="00A067C6" w:rsidRDefault="005C4966">
      <w:pPr>
        <w:pStyle w:val="2"/>
        <w:spacing w:before="300" w:after="300" w:line="320" w:lineRule="exact"/>
        <w:rPr>
          <w:rFonts w:ascii="宋体" w:eastAsia="宋体" w:hAnsi="宋体" w:cs="宋体"/>
          <w:b/>
          <w:bCs/>
          <w:sz w:val="24"/>
          <w:szCs w:val="24"/>
        </w:rPr>
      </w:pPr>
      <w:bookmarkStart w:id="184" w:name="_Toc989072"/>
      <w:r>
        <w:rPr>
          <w:rFonts w:ascii="宋体" w:eastAsia="宋体" w:hAnsi="宋体" w:cs="宋体"/>
          <w:b/>
          <w:bCs/>
          <w:sz w:val="24"/>
          <w:szCs w:val="24"/>
        </w:rPr>
        <w:t>七、合并财务报表项目注释</w:t>
      </w:r>
      <w:bookmarkEnd w:id="184"/>
    </w:p>
    <w:p w:rsidR="00A067C6" w:rsidRDefault="005C4966">
      <w:pPr>
        <w:pStyle w:val="3"/>
        <w:spacing w:line="280" w:lineRule="exact"/>
        <w:jc w:val="left"/>
        <w:rPr>
          <w:rFonts w:ascii="宋体" w:hAnsi="宋体" w:cs="宋体"/>
          <w:b/>
          <w:bCs/>
        </w:rPr>
      </w:pPr>
      <w:bookmarkStart w:id="185" w:name="_Toc989073"/>
      <w:r>
        <w:rPr>
          <w:rFonts w:ascii="宋体" w:hAnsi="宋体" w:cs="宋体"/>
          <w:b/>
          <w:bCs/>
        </w:rPr>
        <w:t>1</w:t>
      </w:r>
      <w:r>
        <w:rPr>
          <w:rFonts w:ascii="宋体" w:hAnsi="宋体" w:cs="宋体"/>
          <w:b/>
          <w:bCs/>
        </w:rPr>
        <w:t>、货币资金</w:t>
      </w:r>
      <w:bookmarkEnd w:id="185"/>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37"/>
        <w:gridCol w:w="2001"/>
        <w:gridCol w:w="2001"/>
      </w:tblGrid>
      <w:tr w:rsidR="00A067C6">
        <w:trPr>
          <w:trHeight w:val="240"/>
        </w:trPr>
        <w:tc>
          <w:tcPr>
            <w:tcW w:w="563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00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200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A067C6">
        <w:trPr>
          <w:trHeight w:val="240"/>
        </w:trPr>
        <w:tc>
          <w:tcPr>
            <w:tcW w:w="563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库存现金</w:t>
            </w:r>
          </w:p>
        </w:tc>
        <w:tc>
          <w:tcPr>
            <w:tcW w:w="20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190,184.64</w:t>
            </w:r>
          </w:p>
        </w:tc>
        <w:tc>
          <w:tcPr>
            <w:tcW w:w="20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325,552.70</w:t>
            </w:r>
          </w:p>
        </w:tc>
      </w:tr>
      <w:tr w:rsidR="00A067C6">
        <w:trPr>
          <w:trHeight w:val="240"/>
        </w:trPr>
        <w:tc>
          <w:tcPr>
            <w:tcW w:w="563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银行存款</w:t>
            </w:r>
          </w:p>
        </w:tc>
        <w:tc>
          <w:tcPr>
            <w:tcW w:w="20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1,914,649,588.90</w:t>
            </w:r>
          </w:p>
        </w:tc>
        <w:tc>
          <w:tcPr>
            <w:tcW w:w="20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1,498,354,671.03</w:t>
            </w:r>
          </w:p>
        </w:tc>
      </w:tr>
      <w:tr w:rsidR="00A067C6">
        <w:trPr>
          <w:trHeight w:val="240"/>
        </w:trPr>
        <w:tc>
          <w:tcPr>
            <w:tcW w:w="563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其他货币资金</w:t>
            </w:r>
          </w:p>
        </w:tc>
        <w:tc>
          <w:tcPr>
            <w:tcW w:w="20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2,388,201,589.09</w:t>
            </w:r>
          </w:p>
        </w:tc>
        <w:tc>
          <w:tcPr>
            <w:tcW w:w="20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1,220,195,237.83</w:t>
            </w:r>
          </w:p>
        </w:tc>
      </w:tr>
      <w:tr w:rsidR="00A067C6">
        <w:trPr>
          <w:trHeight w:val="240"/>
        </w:trPr>
        <w:tc>
          <w:tcPr>
            <w:tcW w:w="563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0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4,303,041,362.63</w:t>
            </w:r>
          </w:p>
        </w:tc>
        <w:tc>
          <w:tcPr>
            <w:tcW w:w="20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2,718,875,461.56</w:t>
            </w:r>
          </w:p>
        </w:tc>
      </w:tr>
      <w:tr w:rsidR="00A067C6">
        <w:trPr>
          <w:trHeight w:val="240"/>
        </w:trPr>
        <w:tc>
          <w:tcPr>
            <w:tcW w:w="563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其中：存放在境外的款项总额</w:t>
            </w:r>
          </w:p>
        </w:tc>
        <w:tc>
          <w:tcPr>
            <w:tcW w:w="20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168,936,542.55</w:t>
            </w:r>
          </w:p>
        </w:tc>
        <w:tc>
          <w:tcPr>
            <w:tcW w:w="20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156,163,601.57</w:t>
            </w:r>
          </w:p>
        </w:tc>
      </w:tr>
      <w:tr w:rsidR="00A067C6">
        <w:trPr>
          <w:trHeight w:val="240"/>
        </w:trPr>
        <w:tc>
          <w:tcPr>
            <w:tcW w:w="563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因抵押、质押或冻结等对使用有限制的款项总额</w:t>
            </w:r>
          </w:p>
        </w:tc>
        <w:tc>
          <w:tcPr>
            <w:tcW w:w="20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2,068,052,845.75</w:t>
            </w:r>
          </w:p>
        </w:tc>
        <w:tc>
          <w:tcPr>
            <w:tcW w:w="20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872,999,804.51</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ascii="宋体" w:eastAsia="宋体" w:hAnsi="宋体" w:cs="宋体" w:hint="eastAsia"/>
          <w:sz w:val="18"/>
          <w:szCs w:val="18"/>
        </w:rPr>
        <w:t>:</w:t>
      </w:r>
      <w:r>
        <w:rPr>
          <w:rFonts w:hint="eastAsia"/>
          <w:sz w:val="18"/>
          <w:szCs w:val="18"/>
        </w:rPr>
        <w:t>无。</w:t>
      </w:r>
    </w:p>
    <w:p w:rsidR="00A067C6" w:rsidRDefault="005C4966">
      <w:pPr>
        <w:pStyle w:val="3"/>
        <w:spacing w:line="280" w:lineRule="exact"/>
        <w:jc w:val="left"/>
        <w:rPr>
          <w:rFonts w:ascii="宋体" w:hAnsi="宋体" w:cs="宋体"/>
          <w:b/>
          <w:bCs/>
        </w:rPr>
      </w:pPr>
      <w:bookmarkStart w:id="186" w:name="_Toc989074"/>
      <w:r>
        <w:rPr>
          <w:rFonts w:ascii="宋体" w:hAnsi="宋体" w:cs="宋体"/>
          <w:b/>
          <w:bCs/>
        </w:rPr>
        <w:t>2</w:t>
      </w:r>
      <w:r>
        <w:rPr>
          <w:rFonts w:ascii="宋体" w:hAnsi="宋体" w:cs="宋体"/>
          <w:b/>
          <w:bCs/>
        </w:rPr>
        <w:t>、交易性金融资产</w:t>
      </w:r>
      <w:bookmarkEnd w:id="186"/>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920"/>
        <w:gridCol w:w="1859"/>
        <w:gridCol w:w="1860"/>
      </w:tblGrid>
      <w:tr w:rsidR="00A067C6">
        <w:trPr>
          <w:trHeight w:val="240"/>
        </w:trPr>
        <w:tc>
          <w:tcPr>
            <w:tcW w:w="59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85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86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A067C6">
        <w:trPr>
          <w:trHeight w:val="240"/>
        </w:trPr>
        <w:tc>
          <w:tcPr>
            <w:tcW w:w="59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以公允价值计量且其变动计入当期损益的金融资产</w:t>
            </w:r>
          </w:p>
        </w:tc>
        <w:tc>
          <w:tcPr>
            <w:tcW w:w="18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125,140,310.80</w:t>
            </w:r>
          </w:p>
        </w:tc>
        <w:tc>
          <w:tcPr>
            <w:tcW w:w="186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608,564,083.66</w:t>
            </w:r>
          </w:p>
        </w:tc>
      </w:tr>
      <w:tr w:rsidR="00A067C6">
        <w:trPr>
          <w:trHeight w:val="240"/>
        </w:trPr>
        <w:tc>
          <w:tcPr>
            <w:tcW w:w="59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w:t>
            </w:r>
          </w:p>
        </w:tc>
        <w:tc>
          <w:tcPr>
            <w:tcW w:w="185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86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59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xml:space="preserve"> </w:t>
            </w:r>
            <w:r>
              <w:rPr>
                <w:rFonts w:ascii="宋体" w:eastAsia="宋体" w:hAnsi="宋体" w:cs="宋体"/>
                <w:sz w:val="18"/>
                <w:szCs w:val="18"/>
              </w:rPr>
              <w:t>衍生金融资产</w:t>
            </w:r>
          </w:p>
        </w:tc>
        <w:tc>
          <w:tcPr>
            <w:tcW w:w="18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50,719,140.14</w:t>
            </w:r>
          </w:p>
        </w:tc>
        <w:tc>
          <w:tcPr>
            <w:tcW w:w="186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108,631,285.26</w:t>
            </w:r>
          </w:p>
        </w:tc>
      </w:tr>
      <w:tr w:rsidR="00A067C6">
        <w:trPr>
          <w:trHeight w:val="240"/>
        </w:trPr>
        <w:tc>
          <w:tcPr>
            <w:tcW w:w="59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xml:space="preserve"> </w:t>
            </w:r>
            <w:r>
              <w:rPr>
                <w:rFonts w:ascii="宋体" w:eastAsia="宋体" w:hAnsi="宋体" w:cs="宋体"/>
                <w:sz w:val="18"/>
                <w:szCs w:val="18"/>
              </w:rPr>
              <w:t>理财产品</w:t>
            </w:r>
          </w:p>
        </w:tc>
        <w:tc>
          <w:tcPr>
            <w:tcW w:w="18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74,421,170.66</w:t>
            </w:r>
          </w:p>
        </w:tc>
        <w:tc>
          <w:tcPr>
            <w:tcW w:w="186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499,932,798.40</w:t>
            </w:r>
          </w:p>
        </w:tc>
      </w:tr>
      <w:tr w:rsidR="00A067C6">
        <w:trPr>
          <w:trHeight w:val="240"/>
        </w:trPr>
        <w:tc>
          <w:tcPr>
            <w:tcW w:w="59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指定以公允价值计量且其变动计入当期损益的金融资产</w:t>
            </w:r>
          </w:p>
        </w:tc>
        <w:tc>
          <w:tcPr>
            <w:tcW w:w="18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86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A067C6">
        <w:trPr>
          <w:trHeight w:val="240"/>
        </w:trPr>
        <w:tc>
          <w:tcPr>
            <w:tcW w:w="59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w:t>
            </w:r>
          </w:p>
        </w:tc>
        <w:tc>
          <w:tcPr>
            <w:tcW w:w="185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86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59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8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125,140,310.80</w:t>
            </w:r>
          </w:p>
        </w:tc>
        <w:tc>
          <w:tcPr>
            <w:tcW w:w="186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608,564,083.66</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ascii="宋体" w:eastAsia="宋体" w:hAnsi="宋体" w:cs="宋体" w:hint="eastAsia"/>
          <w:sz w:val="18"/>
          <w:szCs w:val="18"/>
        </w:rPr>
        <w:t>:</w:t>
      </w:r>
      <w:r>
        <w:rPr>
          <w:rFonts w:ascii="宋体" w:eastAsia="宋体" w:hAnsi="宋体" w:cs="宋体" w:hint="eastAsia"/>
          <w:sz w:val="18"/>
          <w:szCs w:val="18"/>
        </w:rPr>
        <w:t>无</w:t>
      </w:r>
    </w:p>
    <w:p w:rsidR="00A067C6" w:rsidRDefault="005C4966">
      <w:pPr>
        <w:pStyle w:val="3"/>
        <w:spacing w:line="280" w:lineRule="exact"/>
        <w:jc w:val="left"/>
        <w:rPr>
          <w:rFonts w:ascii="宋体" w:hAnsi="宋体" w:cs="宋体"/>
          <w:b/>
          <w:bCs/>
        </w:rPr>
      </w:pPr>
      <w:bookmarkStart w:id="187" w:name="_Toc989075"/>
      <w:r>
        <w:rPr>
          <w:rFonts w:ascii="宋体" w:hAnsi="宋体" w:cs="宋体"/>
          <w:b/>
          <w:bCs/>
        </w:rPr>
        <w:t>3</w:t>
      </w:r>
      <w:r>
        <w:rPr>
          <w:rFonts w:ascii="宋体" w:hAnsi="宋体" w:cs="宋体"/>
          <w:b/>
          <w:bCs/>
        </w:rPr>
        <w:t>、衍生金融资产</w:t>
      </w:r>
      <w:bookmarkEnd w:id="187"/>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ascii="宋体" w:eastAsia="宋体" w:hAnsi="宋体" w:cs="宋体" w:hint="eastAsia"/>
          <w:sz w:val="18"/>
          <w:szCs w:val="18"/>
        </w:rPr>
        <w:t>：无</w:t>
      </w:r>
    </w:p>
    <w:p w:rsidR="00A067C6" w:rsidRDefault="005C4966">
      <w:pPr>
        <w:pStyle w:val="3"/>
        <w:spacing w:line="280" w:lineRule="exact"/>
        <w:jc w:val="left"/>
        <w:rPr>
          <w:rFonts w:ascii="宋体" w:hAnsi="宋体" w:cs="宋体"/>
          <w:b/>
          <w:bCs/>
        </w:rPr>
      </w:pPr>
      <w:bookmarkStart w:id="188" w:name="_Toc989076"/>
      <w:r>
        <w:rPr>
          <w:rFonts w:ascii="宋体" w:hAnsi="宋体" w:cs="宋体"/>
          <w:b/>
          <w:bCs/>
        </w:rPr>
        <w:t>4</w:t>
      </w:r>
      <w:r>
        <w:rPr>
          <w:rFonts w:ascii="宋体" w:hAnsi="宋体" w:cs="宋体"/>
          <w:b/>
          <w:bCs/>
        </w:rPr>
        <w:t>、应收票据</w:t>
      </w:r>
      <w:bookmarkEnd w:id="188"/>
    </w:p>
    <w:p w:rsidR="00A067C6" w:rsidRDefault="005C4966">
      <w:pPr>
        <w:keepNext/>
        <w:keepLines/>
        <w:spacing w:before="300" w:after="300" w:line="280" w:lineRule="exact"/>
        <w:outlineLvl w:val="3"/>
        <w:rPr>
          <w:rFonts w:ascii="宋体" w:eastAsia="宋体" w:hAnsi="宋体" w:cs="宋体"/>
          <w:b/>
          <w:bCs/>
          <w:szCs w:val="21"/>
        </w:rPr>
      </w:pPr>
      <w:bookmarkStart w:id="189" w:name="_Toc989077"/>
      <w:r>
        <w:rPr>
          <w:rFonts w:ascii="宋体" w:eastAsia="宋体" w:hAnsi="宋体" w:cs="宋体"/>
          <w:b/>
          <w:bCs/>
          <w:szCs w:val="21"/>
        </w:rPr>
        <w:t>（</w:t>
      </w:r>
      <w:r>
        <w:rPr>
          <w:rFonts w:ascii="宋体" w:eastAsia="宋体" w:hAnsi="宋体" w:cs="宋体"/>
          <w:b/>
          <w:bCs/>
          <w:szCs w:val="21"/>
        </w:rPr>
        <w:t>1</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应收票据分类列示</w:t>
      </w:r>
      <w:bookmarkEnd w:id="189"/>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银行承兑票据</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548,068,656.25</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79,501,976.58</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商业承兑票据</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7,351,148.42</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548,068,656.25</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86,853,125.00</w:t>
            </w:r>
          </w:p>
        </w:tc>
      </w:tr>
    </w:tbl>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75"/>
        <w:gridCol w:w="876"/>
        <w:gridCol w:w="877"/>
        <w:gridCol w:w="876"/>
        <w:gridCol w:w="877"/>
        <w:gridCol w:w="876"/>
        <w:gridCol w:w="876"/>
        <w:gridCol w:w="877"/>
        <w:gridCol w:w="876"/>
        <w:gridCol w:w="877"/>
        <w:gridCol w:w="876"/>
      </w:tblGrid>
      <w:tr w:rsidR="00A067C6">
        <w:trPr>
          <w:trHeight w:val="240"/>
        </w:trPr>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A067C6">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A067C6">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按组合计提坏账准备的应收票据</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548,068,656.25</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548,068,656.25</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87,240,027.55</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386,902.55</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86,853,125.00</w:t>
            </w:r>
          </w:p>
        </w:tc>
      </w:tr>
      <w:tr w:rsidR="00A067C6">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银行承兑汇票组合</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548,068,656.25</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548,068,656.25</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79,501,976.58</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91.13%</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44.00%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79,501,976.58</w:t>
            </w:r>
          </w:p>
        </w:tc>
      </w:tr>
      <w:tr w:rsidR="00A067C6">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商业承兑汇票组合</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7,738,050.97</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8.87%</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386,902.55</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7,351,148.42</w:t>
            </w:r>
          </w:p>
        </w:tc>
      </w:tr>
      <w:tr w:rsidR="00A067C6">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548,068,656.25</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548,068,656.25</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87,240,027.55</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386,902.55</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44.00%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86,853,125.00</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如是按照预期信用损失一般模型计提应收票据坏账准备，请参照其他应收款的披露方式披露坏账准备的相关信息：</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keepNext/>
        <w:keepLines/>
        <w:spacing w:before="300" w:after="300" w:line="280" w:lineRule="exact"/>
        <w:outlineLvl w:val="3"/>
        <w:rPr>
          <w:rFonts w:ascii="宋体" w:eastAsia="宋体" w:hAnsi="宋体" w:cs="宋体"/>
          <w:b/>
          <w:bCs/>
          <w:szCs w:val="21"/>
        </w:rPr>
      </w:pPr>
      <w:bookmarkStart w:id="190" w:name="_Toc989078"/>
      <w:r>
        <w:rPr>
          <w:rFonts w:ascii="宋体" w:eastAsia="宋体" w:hAnsi="宋体" w:cs="宋体"/>
          <w:b/>
          <w:bCs/>
          <w:szCs w:val="21"/>
        </w:rPr>
        <w:t>（</w:t>
      </w:r>
      <w:r>
        <w:rPr>
          <w:rFonts w:ascii="宋体" w:eastAsia="宋体" w:hAnsi="宋体" w:cs="宋体"/>
          <w:b/>
          <w:bCs/>
          <w:szCs w:val="21"/>
        </w:rPr>
        <w:t>2</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本期计提、收回或转回的坏账准备情况</w:t>
      </w:r>
      <w:bookmarkEnd w:id="190"/>
    </w:p>
    <w:p w:rsidR="00A067C6" w:rsidRDefault="005C4966">
      <w:pPr>
        <w:spacing w:line="240" w:lineRule="exact"/>
        <w:rPr>
          <w:rFonts w:ascii="宋体" w:eastAsia="宋体" w:hAnsi="宋体" w:cs="宋体"/>
          <w:sz w:val="18"/>
          <w:szCs w:val="18"/>
        </w:rPr>
      </w:pPr>
      <w:r>
        <w:rPr>
          <w:rFonts w:ascii="宋体" w:eastAsia="宋体" w:hAnsi="宋体" w:cs="宋体"/>
          <w:sz w:val="18"/>
          <w:szCs w:val="18"/>
        </w:rPr>
        <w:t>本期计提坏账准备情况：</w:t>
      </w:r>
    </w:p>
    <w:p w:rsidR="00A067C6" w:rsidRDefault="005C4966">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A067C6">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A067C6">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商业承兑汇票组合</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386,902.55</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386,902.55</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386,902.55</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386,902.55</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0.00</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其中本期坏账准备收回或转回金额重要的：</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keepNext/>
        <w:keepLines/>
        <w:spacing w:before="300" w:after="300" w:line="280" w:lineRule="exact"/>
        <w:outlineLvl w:val="3"/>
        <w:rPr>
          <w:rFonts w:ascii="宋体" w:eastAsia="宋体" w:hAnsi="宋体" w:cs="宋体"/>
          <w:b/>
          <w:bCs/>
          <w:szCs w:val="21"/>
        </w:rPr>
      </w:pPr>
      <w:bookmarkStart w:id="191" w:name="_Toc989079"/>
      <w:r>
        <w:rPr>
          <w:rFonts w:ascii="宋体" w:eastAsia="宋体" w:hAnsi="宋体" w:cs="宋体"/>
          <w:b/>
          <w:bCs/>
          <w:szCs w:val="21"/>
        </w:rPr>
        <w:t>（</w:t>
      </w:r>
      <w:r>
        <w:rPr>
          <w:rFonts w:ascii="宋体" w:eastAsia="宋体" w:hAnsi="宋体" w:cs="宋体"/>
          <w:b/>
          <w:bCs/>
          <w:szCs w:val="21"/>
        </w:rPr>
        <w:t>3</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期末公司已质押的应收票据</w:t>
      </w:r>
      <w:bookmarkEnd w:id="191"/>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A067C6">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期末已质押金额</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银行承兑票据</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50,631,456.32</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商业承兑票据</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50,631,456.32</w:t>
            </w:r>
          </w:p>
        </w:tc>
      </w:tr>
    </w:tbl>
    <w:p w:rsidR="00A067C6" w:rsidRDefault="005C4966">
      <w:pPr>
        <w:keepNext/>
        <w:keepLines/>
        <w:spacing w:before="300" w:after="300" w:line="280" w:lineRule="exact"/>
        <w:outlineLvl w:val="3"/>
        <w:rPr>
          <w:rFonts w:ascii="宋体" w:eastAsia="宋体" w:hAnsi="宋体" w:cs="宋体"/>
          <w:b/>
          <w:bCs/>
          <w:szCs w:val="21"/>
        </w:rPr>
      </w:pPr>
      <w:bookmarkStart w:id="192" w:name="_Toc989080"/>
      <w:r>
        <w:rPr>
          <w:rFonts w:ascii="宋体" w:eastAsia="宋体" w:hAnsi="宋体" w:cs="宋体"/>
          <w:b/>
          <w:bCs/>
          <w:szCs w:val="21"/>
        </w:rPr>
        <w:t>（</w:t>
      </w:r>
      <w:r>
        <w:rPr>
          <w:rFonts w:ascii="宋体" w:eastAsia="宋体" w:hAnsi="宋体" w:cs="宋体"/>
          <w:b/>
          <w:bCs/>
          <w:szCs w:val="21"/>
        </w:rPr>
        <w:t>4</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期末公司已背书或贴现且在资产负债表日尚未到期的应收票据</w:t>
      </w:r>
      <w:bookmarkEnd w:id="192"/>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期末终止确认金额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期末未终止确认金额</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银行承兑票据</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2,510,820,385.79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商业承兑票据</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40,000,000.00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2,550,820,385.79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0.00</w:t>
            </w:r>
          </w:p>
        </w:tc>
      </w:tr>
    </w:tbl>
    <w:p w:rsidR="00A067C6" w:rsidRDefault="005C4966">
      <w:pPr>
        <w:keepNext/>
        <w:keepLines/>
        <w:spacing w:before="300" w:after="300" w:line="280" w:lineRule="exact"/>
        <w:outlineLvl w:val="3"/>
        <w:rPr>
          <w:rFonts w:ascii="宋体" w:eastAsia="宋体" w:hAnsi="宋体" w:cs="宋体"/>
          <w:b/>
          <w:bCs/>
          <w:szCs w:val="21"/>
        </w:rPr>
      </w:pPr>
      <w:bookmarkStart w:id="193" w:name="_Toc989081"/>
      <w:r>
        <w:rPr>
          <w:rFonts w:ascii="宋体" w:eastAsia="宋体" w:hAnsi="宋体" w:cs="宋体"/>
          <w:b/>
          <w:bCs/>
          <w:szCs w:val="21"/>
        </w:rPr>
        <w:t>（</w:t>
      </w:r>
      <w:r>
        <w:rPr>
          <w:rFonts w:ascii="宋体" w:eastAsia="宋体" w:hAnsi="宋体" w:cs="宋体"/>
          <w:b/>
          <w:bCs/>
          <w:szCs w:val="21"/>
        </w:rPr>
        <w:t>5</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期末公司因出票人未履约而将其转应收账款的票据</w:t>
      </w:r>
      <w:bookmarkEnd w:id="193"/>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keepNext/>
        <w:keepLines/>
        <w:spacing w:before="300" w:after="300" w:line="280" w:lineRule="exact"/>
        <w:outlineLvl w:val="3"/>
        <w:rPr>
          <w:rFonts w:ascii="宋体" w:eastAsia="宋体" w:hAnsi="宋体" w:cs="宋体"/>
          <w:b/>
          <w:bCs/>
          <w:szCs w:val="21"/>
        </w:rPr>
      </w:pPr>
      <w:bookmarkStart w:id="194" w:name="_Toc989082"/>
      <w:r>
        <w:rPr>
          <w:rFonts w:ascii="宋体" w:eastAsia="宋体" w:hAnsi="宋体" w:cs="宋体"/>
          <w:b/>
          <w:bCs/>
          <w:szCs w:val="21"/>
        </w:rPr>
        <w:t>（</w:t>
      </w:r>
      <w:r>
        <w:rPr>
          <w:rFonts w:ascii="宋体" w:eastAsia="宋体" w:hAnsi="宋体" w:cs="宋体"/>
          <w:b/>
          <w:bCs/>
          <w:szCs w:val="21"/>
        </w:rPr>
        <w:t>6</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本期实际核销的应收票据情况</w:t>
      </w:r>
      <w:bookmarkEnd w:id="194"/>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其中重要的应收票据核销情况：</w:t>
      </w:r>
      <w:r>
        <w:rPr>
          <w:rFonts w:ascii="宋体" w:eastAsia="宋体" w:hAnsi="宋体" w:cs="宋体" w:hint="eastAsia"/>
          <w:sz w:val="18"/>
          <w:szCs w:val="18"/>
        </w:rPr>
        <w:t>无</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应收票据核销说明：</w:t>
      </w:r>
      <w:r>
        <w:rPr>
          <w:rFonts w:hint="eastAsia"/>
          <w:sz w:val="18"/>
          <w:szCs w:val="18"/>
        </w:rPr>
        <w:t>无。</w:t>
      </w:r>
    </w:p>
    <w:p w:rsidR="00A067C6" w:rsidRDefault="005C4966">
      <w:pPr>
        <w:pStyle w:val="3"/>
        <w:spacing w:line="280" w:lineRule="exact"/>
        <w:jc w:val="left"/>
        <w:rPr>
          <w:rFonts w:ascii="宋体" w:hAnsi="宋体" w:cs="宋体"/>
          <w:b/>
          <w:bCs/>
        </w:rPr>
      </w:pPr>
      <w:bookmarkStart w:id="195" w:name="_Toc989083"/>
      <w:r>
        <w:rPr>
          <w:rFonts w:ascii="宋体" w:hAnsi="宋体" w:cs="宋体"/>
          <w:b/>
          <w:bCs/>
        </w:rPr>
        <w:t>5</w:t>
      </w:r>
      <w:r>
        <w:rPr>
          <w:rFonts w:ascii="宋体" w:hAnsi="宋体" w:cs="宋体"/>
          <w:b/>
          <w:bCs/>
        </w:rPr>
        <w:t>、应收账款</w:t>
      </w:r>
      <w:bookmarkEnd w:id="195"/>
    </w:p>
    <w:p w:rsidR="00A067C6" w:rsidRDefault="005C4966">
      <w:pPr>
        <w:keepNext/>
        <w:keepLines/>
        <w:spacing w:before="300" w:after="300" w:line="280" w:lineRule="exact"/>
        <w:outlineLvl w:val="3"/>
        <w:rPr>
          <w:rFonts w:ascii="宋体" w:eastAsia="宋体" w:hAnsi="宋体" w:cs="宋体"/>
          <w:b/>
          <w:bCs/>
          <w:szCs w:val="21"/>
        </w:rPr>
      </w:pPr>
      <w:bookmarkStart w:id="196" w:name="_Toc989084"/>
      <w:r>
        <w:rPr>
          <w:rFonts w:ascii="宋体" w:eastAsia="宋体" w:hAnsi="宋体" w:cs="宋体"/>
          <w:b/>
          <w:bCs/>
          <w:szCs w:val="21"/>
        </w:rPr>
        <w:t>（</w:t>
      </w:r>
      <w:r>
        <w:rPr>
          <w:rFonts w:ascii="宋体" w:eastAsia="宋体" w:hAnsi="宋体" w:cs="宋体"/>
          <w:b/>
          <w:bCs/>
          <w:szCs w:val="21"/>
        </w:rPr>
        <w:t>1</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应收账款分类披露</w:t>
      </w:r>
      <w:bookmarkEnd w:id="196"/>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75"/>
        <w:gridCol w:w="876"/>
        <w:gridCol w:w="877"/>
        <w:gridCol w:w="876"/>
        <w:gridCol w:w="877"/>
        <w:gridCol w:w="876"/>
        <w:gridCol w:w="876"/>
        <w:gridCol w:w="877"/>
        <w:gridCol w:w="876"/>
        <w:gridCol w:w="877"/>
        <w:gridCol w:w="876"/>
      </w:tblGrid>
      <w:tr w:rsidR="00A067C6">
        <w:trPr>
          <w:cantSplit/>
          <w:trHeight w:val="240"/>
        </w:trPr>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A067C6">
        <w:trPr>
          <w:cantSplit/>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A067C6">
        <w:trPr>
          <w:cantSplit/>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cantSplit/>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按单项计提坏账准备的应收账款</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154,962,074.43</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13.00%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143,741,924.59</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93.00%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11,220,149.84</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159,064,591.83</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14.00%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143,366,750.20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90.00%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15,697,841.63</w:t>
            </w:r>
          </w:p>
        </w:tc>
      </w:tr>
      <w:tr w:rsidR="00A067C6">
        <w:trPr>
          <w:cantSplit/>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cantSplit/>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按组合计提坏账准备的应收账款</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1,003,055,334.61</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87.00%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50,907,139.57</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952,148,195.04</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963,326,121.16</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86.00%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51,340,223.86</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911,985,897.30</w:t>
            </w:r>
          </w:p>
        </w:tc>
      </w:tr>
      <w:tr w:rsidR="00A067C6">
        <w:trPr>
          <w:cantSplit/>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cantSplit/>
          <w:trHeight w:val="240"/>
        </w:trPr>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预期信用风险组合</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989,266,581.62</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85.00%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50,907,139.57</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938,359,442.05</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944,525,346.54</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84.00%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51,340,223.86</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893,185,122.68</w:t>
            </w:r>
          </w:p>
        </w:tc>
      </w:tr>
      <w:tr w:rsidR="00A067C6">
        <w:trPr>
          <w:cantSplit/>
          <w:trHeight w:val="240"/>
        </w:trPr>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性质组合</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13,788,752.99</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13,788,752.99</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18,800,774.62</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18,800,774.62</w:t>
            </w:r>
          </w:p>
        </w:tc>
      </w:tr>
      <w:tr w:rsidR="00A067C6">
        <w:trPr>
          <w:cantSplit/>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1,158,017,409.04</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194,649,064.16</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17.00%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963,368,344.88</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1,122,390,712.99</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194,706,974.06</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17.00%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927,683,738.93</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按单项计提坏账准备：</w:t>
      </w:r>
    </w:p>
    <w:p w:rsidR="00A067C6" w:rsidRDefault="005C4966">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A067C6">
        <w:trPr>
          <w:cantSplit/>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7711"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A067C6">
        <w:trPr>
          <w:cantSplit/>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计提理由</w:t>
            </w:r>
          </w:p>
        </w:tc>
      </w:tr>
      <w:tr w:rsidR="00A067C6">
        <w:trPr>
          <w:cantSplit/>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江门市新会区冠华针织厂有限公司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56,338,505.94</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56,338,505.94</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破产清算，预计无法收回</w:t>
            </w:r>
          </w:p>
        </w:tc>
      </w:tr>
      <w:tr w:rsidR="00A067C6">
        <w:trPr>
          <w:cantSplit/>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陈国强</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2,095,637.69</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2,095,637.69</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诉讼</w:t>
            </w:r>
          </w:p>
        </w:tc>
      </w:tr>
      <w:tr w:rsidR="00A067C6">
        <w:trPr>
          <w:cantSplit/>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潘龙法</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779,080.73</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779,080.73</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诉讼</w:t>
            </w:r>
          </w:p>
        </w:tc>
      </w:tr>
      <w:tr w:rsidR="00A067C6">
        <w:trPr>
          <w:cantSplit/>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冠华针织厂有限公司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26,730,903.51</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26,730,903.51</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破产清算，预计无法收回</w:t>
            </w:r>
          </w:p>
        </w:tc>
      </w:tr>
      <w:tr w:rsidR="00A067C6">
        <w:trPr>
          <w:cantSplit/>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东莞德永佳纺织制衣有限公司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2,570,858.86</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2,570,858.86</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预计无法收回</w:t>
            </w:r>
          </w:p>
        </w:tc>
      </w:tr>
      <w:tr w:rsidR="00A067C6">
        <w:trPr>
          <w:cantSplit/>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常州常泽纺织有限公司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848,029.00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848,029.00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预计无法收回</w:t>
            </w:r>
          </w:p>
        </w:tc>
      </w:tr>
      <w:tr w:rsidR="00A067C6">
        <w:trPr>
          <w:cantSplit/>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陈志董</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6,138,279.86</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6,138,279.86</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预计无法收回</w:t>
            </w:r>
          </w:p>
        </w:tc>
      </w:tr>
      <w:tr w:rsidR="00A067C6">
        <w:trPr>
          <w:cantSplit/>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诸暨市衡奇针织有限公司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20,217.08</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10,108.54</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预计无法收回</w:t>
            </w:r>
          </w:p>
        </w:tc>
      </w:tr>
      <w:tr w:rsidR="00A067C6">
        <w:trPr>
          <w:cantSplit/>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SPORTM</w:t>
            </w:r>
          </w:p>
          <w:p w:rsidR="00A067C6" w:rsidRDefault="005C4966">
            <w:pPr>
              <w:spacing w:line="240" w:lineRule="exact"/>
              <w:rPr>
                <w:rFonts w:ascii="宋体" w:eastAsia="宋体" w:hAnsi="宋体" w:cs="宋体"/>
                <w:sz w:val="18"/>
                <w:szCs w:val="18"/>
              </w:rPr>
            </w:pPr>
            <w:r>
              <w:rPr>
                <w:rFonts w:ascii="宋体" w:eastAsia="宋体" w:hAnsi="宋体" w:cs="宋体"/>
                <w:sz w:val="18"/>
                <w:szCs w:val="18"/>
              </w:rPr>
              <w:t>ASTER LTD(</w:t>
            </w:r>
            <w:r>
              <w:rPr>
                <w:rFonts w:ascii="宋体" w:eastAsia="宋体" w:hAnsi="宋体" w:cs="宋体"/>
                <w:sz w:val="18"/>
                <w:szCs w:val="18"/>
              </w:rPr>
              <w:t>俄罗斯</w:t>
            </w: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3,421,867.06</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1,710,933.53</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预计无法收回</w:t>
            </w:r>
          </w:p>
        </w:tc>
      </w:tr>
      <w:tr w:rsidR="00A067C6">
        <w:trPr>
          <w:cantSplit/>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Acrocargo</w:t>
            </w:r>
          </w:p>
          <w:p w:rsidR="00A067C6" w:rsidRDefault="005C4966">
            <w:pPr>
              <w:spacing w:line="240" w:lineRule="exact"/>
              <w:rPr>
                <w:rFonts w:ascii="宋体" w:eastAsia="宋体" w:hAnsi="宋体" w:cs="宋体"/>
                <w:sz w:val="18"/>
                <w:szCs w:val="18"/>
              </w:rPr>
            </w:pPr>
            <w:r>
              <w:rPr>
                <w:rFonts w:ascii="宋体" w:eastAsia="宋体" w:hAnsi="宋体" w:cs="宋体"/>
                <w:sz w:val="18"/>
                <w:szCs w:val="18"/>
              </w:rPr>
              <w:t>Express EUROPE gMBH(DEU</w:t>
            </w:r>
            <w:r>
              <w:rPr>
                <w:rFonts w:ascii="宋体" w:eastAsia="宋体" w:hAnsi="宋体" w:cs="宋体"/>
                <w:sz w:val="18"/>
                <w:szCs w:val="18"/>
              </w:rPr>
              <w:t>德国</w:t>
            </w: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108,391.62</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54,195.81</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预计无法收回</w:t>
            </w:r>
          </w:p>
        </w:tc>
      </w:tr>
      <w:tr w:rsidR="00A067C6">
        <w:trPr>
          <w:cantSplit/>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METALLSTANDART</w:t>
            </w:r>
          </w:p>
          <w:p w:rsidR="00A067C6" w:rsidRDefault="005C4966">
            <w:pPr>
              <w:spacing w:line="240" w:lineRule="exact"/>
              <w:rPr>
                <w:rFonts w:ascii="宋体" w:eastAsia="宋体" w:hAnsi="宋体" w:cs="宋体"/>
                <w:sz w:val="18"/>
                <w:szCs w:val="18"/>
              </w:rPr>
            </w:pPr>
            <w:r>
              <w:rPr>
                <w:rFonts w:ascii="宋体" w:eastAsia="宋体" w:hAnsi="宋体" w:cs="宋体"/>
                <w:sz w:val="18"/>
                <w:szCs w:val="18"/>
              </w:rPr>
              <w:t>LLC(</w:t>
            </w:r>
            <w:r>
              <w:rPr>
                <w:rFonts w:ascii="宋体" w:eastAsia="宋体" w:hAnsi="宋体" w:cs="宋体"/>
                <w:sz w:val="18"/>
                <w:szCs w:val="18"/>
              </w:rPr>
              <w:t>俄罗斯</w:t>
            </w: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5,401,835.90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2,700,917.95</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预计无法收回</w:t>
            </w:r>
          </w:p>
        </w:tc>
      </w:tr>
      <w:tr w:rsidR="00A067C6">
        <w:trPr>
          <w:cantSplit/>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ART-TRADE</w:t>
            </w:r>
          </w:p>
          <w:p w:rsidR="00A067C6" w:rsidRDefault="005C4966">
            <w:pPr>
              <w:spacing w:line="240" w:lineRule="exact"/>
              <w:rPr>
                <w:rFonts w:ascii="宋体" w:eastAsia="宋体" w:hAnsi="宋体" w:cs="宋体"/>
                <w:sz w:val="18"/>
                <w:szCs w:val="18"/>
              </w:rPr>
            </w:pPr>
            <w:r>
              <w:rPr>
                <w:rFonts w:ascii="宋体" w:eastAsia="宋体" w:hAnsi="宋体" w:cs="宋体"/>
                <w:sz w:val="18"/>
                <w:szCs w:val="18"/>
              </w:rPr>
              <w:t>LLC(</w:t>
            </w:r>
            <w:r>
              <w:rPr>
                <w:rFonts w:ascii="宋体" w:eastAsia="宋体" w:hAnsi="宋体" w:cs="宋体"/>
                <w:sz w:val="18"/>
                <w:szCs w:val="18"/>
              </w:rPr>
              <w:t>俄罗斯</w:t>
            </w: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2,111,421.12</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1,055,710.56</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预计无法收回</w:t>
            </w:r>
          </w:p>
        </w:tc>
      </w:tr>
      <w:tr w:rsidR="00A067C6">
        <w:trPr>
          <w:cantSplit/>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DZT  LOGISTIC </w:t>
            </w:r>
          </w:p>
          <w:p w:rsidR="00A067C6" w:rsidRDefault="005C4966">
            <w:pPr>
              <w:spacing w:line="240" w:lineRule="exact"/>
              <w:rPr>
                <w:rFonts w:ascii="宋体" w:eastAsia="宋体" w:hAnsi="宋体" w:cs="宋体"/>
                <w:sz w:val="18"/>
                <w:szCs w:val="18"/>
              </w:rPr>
            </w:pPr>
            <w:r>
              <w:rPr>
                <w:rFonts w:ascii="宋体" w:eastAsia="宋体" w:hAnsi="宋体" w:cs="宋体"/>
                <w:sz w:val="18"/>
                <w:szCs w:val="18"/>
              </w:rPr>
              <w:t>LLC(</w:t>
            </w:r>
            <w:r>
              <w:rPr>
                <w:rFonts w:ascii="宋体" w:eastAsia="宋体" w:hAnsi="宋体" w:cs="宋体"/>
                <w:sz w:val="18"/>
                <w:szCs w:val="18"/>
              </w:rPr>
              <w:t>俄罗斯</w:t>
            </w: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5,272,124.41</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2,636,062.20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预计无法收回</w:t>
            </w:r>
          </w:p>
        </w:tc>
      </w:tr>
      <w:tr w:rsidR="00A067C6">
        <w:trPr>
          <w:cantSplit/>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IMPORT.EXPORT</w:t>
            </w:r>
          </w:p>
          <w:p w:rsidR="00A067C6" w:rsidRDefault="005C4966">
            <w:pPr>
              <w:spacing w:line="240" w:lineRule="exact"/>
              <w:rPr>
                <w:rFonts w:ascii="宋体" w:eastAsia="宋体" w:hAnsi="宋体" w:cs="宋体"/>
                <w:sz w:val="18"/>
                <w:szCs w:val="18"/>
              </w:rPr>
            </w:pPr>
            <w:r>
              <w:rPr>
                <w:rFonts w:ascii="宋体" w:eastAsia="宋体" w:hAnsi="宋体" w:cs="宋体"/>
                <w:sz w:val="18"/>
                <w:szCs w:val="18"/>
              </w:rPr>
              <w:t>GRISSEL E.L.R.L(</w:t>
            </w:r>
            <w:r>
              <w:rPr>
                <w:rFonts w:ascii="宋体" w:eastAsia="宋体" w:hAnsi="宋体" w:cs="宋体"/>
                <w:sz w:val="18"/>
                <w:szCs w:val="18"/>
              </w:rPr>
              <w:t>秘鲁</w:t>
            </w: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948,372.00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474,186.00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预计无法收回</w:t>
            </w:r>
          </w:p>
        </w:tc>
      </w:tr>
      <w:tr w:rsidR="00A067C6">
        <w:trPr>
          <w:cantSplit/>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LLC</w:t>
            </w:r>
          </w:p>
          <w:p w:rsidR="00A067C6" w:rsidRDefault="005C4966">
            <w:pPr>
              <w:spacing w:line="240" w:lineRule="exact"/>
              <w:rPr>
                <w:rFonts w:ascii="宋体" w:eastAsia="宋体" w:hAnsi="宋体" w:cs="宋体"/>
                <w:sz w:val="18"/>
                <w:szCs w:val="18"/>
              </w:rPr>
            </w:pPr>
            <w:r>
              <w:rPr>
                <w:rFonts w:ascii="宋体" w:eastAsia="宋体" w:hAnsi="宋体" w:cs="宋体"/>
                <w:sz w:val="18"/>
                <w:szCs w:val="18"/>
              </w:rPr>
              <w:t>TLC BELY RAST(</w:t>
            </w:r>
            <w:r>
              <w:rPr>
                <w:rFonts w:ascii="宋体" w:eastAsia="宋体" w:hAnsi="宋体" w:cs="宋体"/>
                <w:sz w:val="18"/>
                <w:szCs w:val="18"/>
              </w:rPr>
              <w:t>俄罗斯</w:t>
            </w: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8,285,511.20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4,142,755.60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预计无法收回</w:t>
            </w:r>
          </w:p>
        </w:tc>
      </w:tr>
      <w:tr w:rsidR="00A067C6">
        <w:trPr>
          <w:cantSplit/>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WIESE&amp;KLEINSOCKSWEARGMBH</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194,001.02</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97,000.50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预计无法收回</w:t>
            </w:r>
          </w:p>
        </w:tc>
      </w:tr>
      <w:tr w:rsidR="00A067C6">
        <w:trPr>
          <w:cantSplit/>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Acrocargo</w:t>
            </w:r>
          </w:p>
          <w:p w:rsidR="00A067C6" w:rsidRDefault="005C4966">
            <w:pPr>
              <w:spacing w:line="240" w:lineRule="exact"/>
              <w:rPr>
                <w:rFonts w:ascii="宋体" w:eastAsia="宋体" w:hAnsi="宋体" w:cs="宋体"/>
                <w:sz w:val="18"/>
                <w:szCs w:val="18"/>
              </w:rPr>
            </w:pPr>
            <w:r>
              <w:rPr>
                <w:rFonts w:ascii="宋体" w:eastAsia="宋体" w:hAnsi="宋体" w:cs="宋体"/>
                <w:sz w:val="18"/>
                <w:szCs w:val="18"/>
              </w:rPr>
              <w:t>Express Europe Gmbh</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2,116,639.65</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1,058,319.82</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预计无法收回</w:t>
            </w:r>
          </w:p>
        </w:tc>
      </w:tr>
      <w:tr w:rsidR="00A067C6">
        <w:trPr>
          <w:cantSplit/>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CENTRIC</w:t>
            </w:r>
          </w:p>
          <w:p w:rsidR="00A067C6" w:rsidRDefault="005C4966">
            <w:pPr>
              <w:spacing w:line="240" w:lineRule="exact"/>
              <w:rPr>
                <w:rFonts w:ascii="宋体" w:eastAsia="宋体" w:hAnsi="宋体" w:cs="宋体"/>
                <w:sz w:val="18"/>
                <w:szCs w:val="18"/>
              </w:rPr>
            </w:pPr>
            <w:r>
              <w:rPr>
                <w:rFonts w:ascii="宋体" w:eastAsia="宋体" w:hAnsi="宋体" w:cs="宋体"/>
                <w:sz w:val="18"/>
                <w:szCs w:val="18"/>
              </w:rPr>
              <w:t>SOCKS LLC</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2,600,876.98</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1,300,438.49</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预计无法收回</w:t>
            </w:r>
          </w:p>
        </w:tc>
      </w:tr>
      <w:tr w:rsidR="00A067C6">
        <w:trPr>
          <w:cantSplit/>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张家港保税区汉木国际贸易有限公司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18,300,000.00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18,300,000.00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预计无法收回</w:t>
            </w:r>
          </w:p>
        </w:tc>
      </w:tr>
      <w:tr w:rsidR="00A067C6">
        <w:trPr>
          <w:cantSplit/>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苏州柏孚纺织科技有限公司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8,100,000.00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8,100,000.00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预计无法收回</w:t>
            </w:r>
          </w:p>
        </w:tc>
      </w:tr>
      <w:tr w:rsidR="00A067C6">
        <w:trPr>
          <w:cantSplit/>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吉安县新军安新型材料有限公司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6,600,000.00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6,600,000.00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预计无法收回</w:t>
            </w:r>
          </w:p>
        </w:tc>
      </w:tr>
      <w:tr w:rsidR="00A067C6">
        <w:trPr>
          <w:cantSplit/>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158,982,553.63</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143,741,924.59</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按组合计提坏账准备：预期信用风险组合</w:t>
      </w:r>
    </w:p>
    <w:p w:rsidR="00A067C6" w:rsidRDefault="005C4966">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A067C6">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722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A067C6">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1</w:t>
            </w:r>
            <w:r>
              <w:rPr>
                <w:rFonts w:ascii="宋体" w:eastAsia="宋体" w:hAnsi="宋体" w:cs="宋体"/>
                <w:sz w:val="18"/>
                <w:szCs w:val="18"/>
              </w:rPr>
              <w:t>年以内</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980,158,764.77</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49,007,938.24</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5.00%</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1-2</w:t>
            </w:r>
            <w:r>
              <w:rPr>
                <w:rFonts w:ascii="宋体" w:eastAsia="宋体" w:hAnsi="宋体" w:cs="宋体"/>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5,441,753.87</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544,175.39</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2-3</w:t>
            </w:r>
            <w:r>
              <w:rPr>
                <w:rFonts w:ascii="宋体" w:eastAsia="宋体" w:hAnsi="宋体" w:cs="宋体"/>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2,461,314.32</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492,262.86</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20.00%</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3-4</w:t>
            </w:r>
            <w:r>
              <w:rPr>
                <w:rFonts w:ascii="宋体" w:eastAsia="宋体" w:hAnsi="宋体" w:cs="宋体"/>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349,532.05</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174,766.03</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50.00%</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4-5</w:t>
            </w:r>
            <w:r>
              <w:rPr>
                <w:rFonts w:ascii="宋体" w:eastAsia="宋体" w:hAnsi="宋体" w:cs="宋体"/>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836,097.78</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668,878.22</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80.00%</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5</w:t>
            </w:r>
            <w:r>
              <w:rPr>
                <w:rFonts w:ascii="宋体" w:eastAsia="宋体" w:hAnsi="宋体" w:cs="宋体"/>
                <w:sz w:val="18"/>
                <w:szCs w:val="18"/>
              </w:rPr>
              <w:t>年以上</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19,118.83</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19,118.83</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989,266,581.62</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50,907,139.57</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确定该组合依据的说明：</w:t>
      </w:r>
      <w:r>
        <w:rPr>
          <w:rFonts w:hint="eastAsia"/>
          <w:sz w:val="18"/>
          <w:szCs w:val="18"/>
        </w:rPr>
        <w:t>无。</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按组合计提坏账准备：性质组合</w:t>
      </w:r>
    </w:p>
    <w:p w:rsidR="00A067C6" w:rsidRDefault="005C4966">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A067C6">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722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A067C6">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以信用证结算的销售货款</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13,788,752.99</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确定该组合依据的说明：</w:t>
      </w:r>
      <w:r>
        <w:rPr>
          <w:rFonts w:ascii="宋体" w:eastAsia="宋体" w:hAnsi="宋体" w:cs="宋体" w:hint="eastAsia"/>
          <w:sz w:val="18"/>
          <w:szCs w:val="18"/>
        </w:rPr>
        <w:t>无</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如是按照预期信用损失一般模型计提应收账款坏账准备，请参照其他应收款的披露方式披露坏账准备的相关信息：</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按账龄披露</w:t>
      </w:r>
    </w:p>
    <w:p w:rsidR="00A067C6" w:rsidRDefault="005C4966">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A067C6">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年以内（含</w:t>
            </w:r>
            <w:r>
              <w:rPr>
                <w:rFonts w:ascii="宋体" w:eastAsia="宋体" w:hAnsi="宋体" w:cs="宋体"/>
                <w:sz w:val="18"/>
                <w:szCs w:val="18"/>
              </w:rPr>
              <w:t>1</w:t>
            </w:r>
            <w:r>
              <w:rPr>
                <w:rFonts w:ascii="宋体" w:eastAsia="宋体" w:hAnsi="宋体" w:cs="宋体"/>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1,008,519,209.63</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至</w:t>
            </w:r>
            <w:r>
              <w:rPr>
                <w:rFonts w:ascii="宋体" w:eastAsia="宋体" w:hAnsi="宋体" w:cs="宋体"/>
                <w:sz w:val="18"/>
                <w:szCs w:val="18"/>
              </w:rPr>
              <w:t>2</w:t>
            </w:r>
            <w:r>
              <w:rPr>
                <w:rFonts w:ascii="宋体" w:eastAsia="宋体" w:hAnsi="宋体" w:cs="宋体"/>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107,501,733.80</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至</w:t>
            </w:r>
            <w:r>
              <w:rPr>
                <w:rFonts w:ascii="宋体" w:eastAsia="宋体" w:hAnsi="宋体" w:cs="宋体"/>
                <w:sz w:val="18"/>
                <w:szCs w:val="18"/>
              </w:rPr>
              <w:t>3</w:t>
            </w:r>
            <w:r>
              <w:rPr>
                <w:rFonts w:ascii="宋体" w:eastAsia="宋体" w:hAnsi="宋体" w:cs="宋体"/>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31,234,549.23</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年以上</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10,761,916.38</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至</w:t>
            </w:r>
            <w:r>
              <w:rPr>
                <w:rFonts w:ascii="宋体" w:eastAsia="宋体" w:hAnsi="宋体" w:cs="宋体"/>
                <w:sz w:val="18"/>
                <w:szCs w:val="18"/>
              </w:rPr>
              <w:t>4</w:t>
            </w:r>
            <w:r>
              <w:rPr>
                <w:rFonts w:ascii="宋体" w:eastAsia="宋体" w:hAnsi="宋体" w:cs="宋体"/>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9,906,699.77</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4</w:t>
            </w:r>
            <w:r>
              <w:rPr>
                <w:rFonts w:ascii="宋体" w:eastAsia="宋体" w:hAnsi="宋体" w:cs="宋体"/>
                <w:sz w:val="18"/>
                <w:szCs w:val="18"/>
              </w:rPr>
              <w:t>至</w:t>
            </w:r>
            <w:r>
              <w:rPr>
                <w:rFonts w:ascii="宋体" w:eastAsia="宋体" w:hAnsi="宋体" w:cs="宋体"/>
                <w:sz w:val="18"/>
                <w:szCs w:val="18"/>
              </w:rPr>
              <w:t>5</w:t>
            </w:r>
            <w:r>
              <w:rPr>
                <w:rFonts w:ascii="宋体" w:eastAsia="宋体" w:hAnsi="宋体" w:cs="宋体"/>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836,097.78</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5</w:t>
            </w:r>
            <w:r>
              <w:rPr>
                <w:rFonts w:ascii="宋体" w:eastAsia="宋体" w:hAnsi="宋体" w:cs="宋体"/>
                <w:sz w:val="18"/>
                <w:szCs w:val="18"/>
              </w:rPr>
              <w:t>年以上</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19,118.83</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1,158,017,409.04</w:t>
            </w:r>
          </w:p>
        </w:tc>
      </w:tr>
    </w:tbl>
    <w:p w:rsidR="00A067C6" w:rsidRDefault="005C4966">
      <w:pPr>
        <w:keepNext/>
        <w:keepLines/>
        <w:spacing w:before="300" w:after="300" w:line="280" w:lineRule="exact"/>
        <w:outlineLvl w:val="3"/>
        <w:rPr>
          <w:rFonts w:ascii="宋体" w:eastAsia="宋体" w:hAnsi="宋体" w:cs="宋体"/>
          <w:b/>
          <w:bCs/>
          <w:szCs w:val="21"/>
        </w:rPr>
      </w:pPr>
      <w:bookmarkStart w:id="197" w:name="_Toc989085"/>
      <w:r>
        <w:rPr>
          <w:rFonts w:ascii="宋体" w:eastAsia="宋体" w:hAnsi="宋体" w:cs="宋体"/>
          <w:b/>
          <w:bCs/>
          <w:szCs w:val="21"/>
        </w:rPr>
        <w:t>（</w:t>
      </w:r>
      <w:r>
        <w:rPr>
          <w:rFonts w:ascii="宋体" w:eastAsia="宋体" w:hAnsi="宋体" w:cs="宋体"/>
          <w:b/>
          <w:bCs/>
          <w:szCs w:val="21"/>
        </w:rPr>
        <w:t>2</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本期计提、收回或转回的坏账准备情况</w:t>
      </w:r>
      <w:bookmarkEnd w:id="197"/>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本期计提坏账准备情况：</w:t>
      </w:r>
    </w:p>
    <w:p w:rsidR="00A067C6" w:rsidRDefault="005C4966">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566"/>
        <w:gridCol w:w="1418"/>
        <w:gridCol w:w="1147"/>
        <w:gridCol w:w="1121"/>
        <w:gridCol w:w="1417"/>
        <w:gridCol w:w="1593"/>
      </w:tblGrid>
      <w:tr w:rsidR="00A067C6">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56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103"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59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A067C6">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56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41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14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112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141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59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单项计提坏账准备的应收账款</w:t>
            </w:r>
          </w:p>
        </w:tc>
        <w:tc>
          <w:tcPr>
            <w:tcW w:w="156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143,366,750.20</w:t>
            </w:r>
          </w:p>
        </w:tc>
        <w:tc>
          <w:tcPr>
            <w:tcW w:w="141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-457,212.62</w:t>
            </w:r>
          </w:p>
        </w:tc>
        <w:tc>
          <w:tcPr>
            <w:tcW w:w="114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12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832,387.01</w:t>
            </w:r>
          </w:p>
        </w:tc>
        <w:tc>
          <w:tcPr>
            <w:tcW w:w="15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143,741,924.59</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按组合计提坏账准备的应收账款</w:t>
            </w:r>
          </w:p>
        </w:tc>
        <w:tc>
          <w:tcPr>
            <w:tcW w:w="156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14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12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其中：预期信用风险组合</w:t>
            </w:r>
          </w:p>
        </w:tc>
        <w:tc>
          <w:tcPr>
            <w:tcW w:w="156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51,340,223.86</w:t>
            </w:r>
          </w:p>
        </w:tc>
        <w:tc>
          <w:tcPr>
            <w:tcW w:w="141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426,237.52</w:t>
            </w:r>
          </w:p>
        </w:tc>
        <w:tc>
          <w:tcPr>
            <w:tcW w:w="114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12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-859,321.81</w:t>
            </w:r>
          </w:p>
        </w:tc>
        <w:tc>
          <w:tcPr>
            <w:tcW w:w="15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50,907,139.57</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56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194,706,974.06</w:t>
            </w:r>
          </w:p>
        </w:tc>
        <w:tc>
          <w:tcPr>
            <w:tcW w:w="141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-30,975.10</w:t>
            </w:r>
          </w:p>
        </w:tc>
        <w:tc>
          <w:tcPr>
            <w:tcW w:w="114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12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-26,934.80</w:t>
            </w:r>
          </w:p>
        </w:tc>
        <w:tc>
          <w:tcPr>
            <w:tcW w:w="15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194,649,064.16</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其中本期坏账准备收回或转回金额重要的：</w:t>
      </w:r>
      <w:r>
        <w:rPr>
          <w:rFonts w:hint="eastAsia"/>
          <w:sz w:val="18"/>
          <w:szCs w:val="18"/>
        </w:rPr>
        <w:t>无。</w:t>
      </w:r>
    </w:p>
    <w:p w:rsidR="00A067C6" w:rsidRDefault="005C4966">
      <w:pPr>
        <w:keepNext/>
        <w:keepLines/>
        <w:spacing w:before="300" w:after="300" w:line="280" w:lineRule="exact"/>
        <w:outlineLvl w:val="3"/>
        <w:rPr>
          <w:rFonts w:ascii="宋体" w:eastAsia="宋体" w:hAnsi="宋体" w:cs="宋体"/>
          <w:b/>
          <w:bCs/>
          <w:szCs w:val="21"/>
        </w:rPr>
      </w:pPr>
      <w:bookmarkStart w:id="198" w:name="_Toc989086"/>
      <w:r>
        <w:rPr>
          <w:rFonts w:ascii="宋体" w:eastAsia="宋体" w:hAnsi="宋体" w:cs="宋体"/>
          <w:b/>
          <w:bCs/>
          <w:szCs w:val="21"/>
        </w:rPr>
        <w:t>（</w:t>
      </w:r>
      <w:r>
        <w:rPr>
          <w:rFonts w:ascii="宋体" w:eastAsia="宋体" w:hAnsi="宋体" w:cs="宋体"/>
          <w:b/>
          <w:bCs/>
          <w:szCs w:val="21"/>
        </w:rPr>
        <w:t>3</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本期实际核销的应收账款情况</w:t>
      </w:r>
      <w:bookmarkEnd w:id="198"/>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应收账款核销说明：</w:t>
      </w:r>
      <w:r>
        <w:rPr>
          <w:rFonts w:hint="eastAsia"/>
          <w:sz w:val="18"/>
          <w:szCs w:val="18"/>
        </w:rPr>
        <w:t>无。</w:t>
      </w:r>
    </w:p>
    <w:p w:rsidR="00A067C6" w:rsidRDefault="005C4966">
      <w:pPr>
        <w:keepNext/>
        <w:keepLines/>
        <w:spacing w:before="300" w:after="300" w:line="280" w:lineRule="exact"/>
        <w:outlineLvl w:val="3"/>
        <w:rPr>
          <w:rFonts w:ascii="宋体" w:eastAsia="宋体" w:hAnsi="宋体" w:cs="宋体"/>
          <w:b/>
          <w:bCs/>
          <w:szCs w:val="21"/>
        </w:rPr>
      </w:pPr>
      <w:bookmarkStart w:id="199" w:name="_Toc989087"/>
      <w:r>
        <w:rPr>
          <w:rFonts w:ascii="宋体" w:eastAsia="宋体" w:hAnsi="宋体" w:cs="宋体"/>
          <w:b/>
          <w:bCs/>
          <w:szCs w:val="21"/>
        </w:rPr>
        <w:t>（</w:t>
      </w:r>
      <w:r>
        <w:rPr>
          <w:rFonts w:ascii="宋体" w:eastAsia="宋体" w:hAnsi="宋体" w:cs="宋体"/>
          <w:b/>
          <w:bCs/>
          <w:szCs w:val="21"/>
        </w:rPr>
        <w:t>4</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按欠款方归集的期末余额前五名的应收账款情况</w:t>
      </w:r>
      <w:bookmarkEnd w:id="199"/>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应收账款期末余额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占应收账款期末余额合计数的比例</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坏账准备期末余额</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第一名</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360,516,534.97</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31.13%</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18,025,826.75</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第二名</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282,136,159.23</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24.36%</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14,106,807.96</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第三名</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52,392,377.46</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4.52%</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52,392,377.46</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第四名</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26,730,903.51</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2.31%</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26,730,903.51</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第五名</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20,235,918.90</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1.75%</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1,011,795.95</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742,011,894.07</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64.07%</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bl>
    <w:p w:rsidR="00A067C6" w:rsidRDefault="005C4966">
      <w:pPr>
        <w:keepNext/>
        <w:keepLines/>
        <w:spacing w:before="300" w:after="300" w:line="280" w:lineRule="exact"/>
        <w:outlineLvl w:val="3"/>
        <w:rPr>
          <w:rFonts w:ascii="宋体" w:eastAsia="宋体" w:hAnsi="宋体" w:cs="宋体"/>
          <w:b/>
          <w:bCs/>
          <w:szCs w:val="21"/>
        </w:rPr>
      </w:pPr>
      <w:bookmarkStart w:id="200" w:name="_Toc989088"/>
      <w:r>
        <w:rPr>
          <w:rFonts w:ascii="宋体" w:eastAsia="宋体" w:hAnsi="宋体" w:cs="宋体"/>
          <w:b/>
          <w:bCs/>
          <w:szCs w:val="21"/>
        </w:rPr>
        <w:t>（</w:t>
      </w:r>
      <w:r>
        <w:rPr>
          <w:rFonts w:ascii="宋体" w:eastAsia="宋体" w:hAnsi="宋体" w:cs="宋体"/>
          <w:b/>
          <w:bCs/>
          <w:szCs w:val="21"/>
        </w:rPr>
        <w:t>5</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因金融资产转移而终止确认的应收账款</w:t>
      </w:r>
      <w:bookmarkEnd w:id="200"/>
    </w:p>
    <w:p w:rsidR="00A067C6" w:rsidRDefault="005C4966">
      <w:pPr>
        <w:pStyle w:val="a6"/>
        <w:rPr>
          <w:sz w:val="18"/>
          <w:szCs w:val="18"/>
        </w:rPr>
      </w:pPr>
      <w:r>
        <w:rPr>
          <w:rFonts w:hint="eastAsia"/>
          <w:sz w:val="18"/>
          <w:szCs w:val="18"/>
        </w:rPr>
        <w:t>无。</w:t>
      </w:r>
    </w:p>
    <w:p w:rsidR="00A067C6" w:rsidRDefault="005C4966">
      <w:pPr>
        <w:keepNext/>
        <w:keepLines/>
        <w:spacing w:before="300" w:after="300" w:line="280" w:lineRule="exact"/>
        <w:outlineLvl w:val="3"/>
        <w:rPr>
          <w:rFonts w:ascii="宋体" w:eastAsia="宋体" w:hAnsi="宋体" w:cs="宋体"/>
          <w:b/>
          <w:bCs/>
          <w:szCs w:val="21"/>
        </w:rPr>
      </w:pPr>
      <w:bookmarkStart w:id="201" w:name="_Toc989089"/>
      <w:r>
        <w:rPr>
          <w:rFonts w:ascii="宋体" w:eastAsia="宋体" w:hAnsi="宋体" w:cs="宋体"/>
          <w:b/>
          <w:bCs/>
          <w:szCs w:val="21"/>
        </w:rPr>
        <w:t>（</w:t>
      </w:r>
      <w:r>
        <w:rPr>
          <w:rFonts w:ascii="宋体" w:eastAsia="宋体" w:hAnsi="宋体" w:cs="宋体"/>
          <w:b/>
          <w:bCs/>
          <w:szCs w:val="21"/>
        </w:rPr>
        <w:t>6</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转移应收账款且继续涉入形成的资产、负债金额</w:t>
      </w:r>
      <w:bookmarkEnd w:id="201"/>
    </w:p>
    <w:p w:rsidR="00A067C6" w:rsidRDefault="005C4966">
      <w:pPr>
        <w:pStyle w:val="a6"/>
        <w:rPr>
          <w:sz w:val="18"/>
          <w:szCs w:val="18"/>
        </w:rPr>
      </w:pPr>
      <w:r>
        <w:rPr>
          <w:rFonts w:hint="eastAsia"/>
          <w:sz w:val="18"/>
          <w:szCs w:val="18"/>
        </w:rPr>
        <w:t>无。</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pStyle w:val="3"/>
        <w:spacing w:line="280" w:lineRule="exact"/>
        <w:jc w:val="left"/>
        <w:rPr>
          <w:rFonts w:ascii="宋体" w:hAnsi="宋体" w:cs="宋体"/>
          <w:b/>
          <w:bCs/>
        </w:rPr>
      </w:pPr>
      <w:bookmarkStart w:id="202" w:name="_Toc989090"/>
      <w:r>
        <w:rPr>
          <w:rFonts w:ascii="宋体" w:hAnsi="宋体" w:cs="宋体"/>
          <w:b/>
          <w:bCs/>
        </w:rPr>
        <w:t>6</w:t>
      </w:r>
      <w:r>
        <w:rPr>
          <w:rFonts w:ascii="宋体" w:hAnsi="宋体" w:cs="宋体"/>
          <w:b/>
          <w:bCs/>
        </w:rPr>
        <w:t>、应收款项融资</w:t>
      </w:r>
      <w:bookmarkEnd w:id="202"/>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应收款项融资本期增减变动及公允价值变动情况</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如是按照预期信用损失一般模型计提应收款项融资减值准备，请参照其他应收款的披露方式披露减值准备的相关信息：</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pStyle w:val="3"/>
        <w:spacing w:line="280" w:lineRule="exact"/>
        <w:jc w:val="left"/>
        <w:rPr>
          <w:rFonts w:ascii="宋体" w:hAnsi="宋体" w:cs="宋体"/>
          <w:b/>
          <w:bCs/>
        </w:rPr>
      </w:pPr>
      <w:bookmarkStart w:id="203" w:name="_Toc989091"/>
      <w:r>
        <w:rPr>
          <w:rFonts w:ascii="宋体" w:hAnsi="宋体" w:cs="宋体"/>
          <w:b/>
          <w:bCs/>
        </w:rPr>
        <w:t>7</w:t>
      </w:r>
      <w:r>
        <w:rPr>
          <w:rFonts w:ascii="宋体" w:hAnsi="宋体" w:cs="宋体"/>
          <w:b/>
          <w:bCs/>
        </w:rPr>
        <w:t>、预付款项</w:t>
      </w:r>
      <w:bookmarkEnd w:id="203"/>
    </w:p>
    <w:p w:rsidR="00A067C6" w:rsidRDefault="005C4966">
      <w:pPr>
        <w:keepNext/>
        <w:keepLines/>
        <w:spacing w:before="300" w:after="300" w:line="280" w:lineRule="exact"/>
        <w:outlineLvl w:val="3"/>
        <w:rPr>
          <w:rFonts w:ascii="宋体" w:eastAsia="宋体" w:hAnsi="宋体" w:cs="宋体"/>
          <w:b/>
          <w:bCs/>
          <w:szCs w:val="21"/>
        </w:rPr>
      </w:pPr>
      <w:bookmarkStart w:id="204" w:name="_Toc989092"/>
      <w:r>
        <w:rPr>
          <w:rFonts w:ascii="宋体" w:eastAsia="宋体" w:hAnsi="宋体" w:cs="宋体"/>
          <w:b/>
          <w:bCs/>
          <w:szCs w:val="21"/>
        </w:rPr>
        <w:t>（</w:t>
      </w:r>
      <w:r>
        <w:rPr>
          <w:rFonts w:ascii="宋体" w:eastAsia="宋体" w:hAnsi="宋体" w:cs="宋体"/>
          <w:b/>
          <w:bCs/>
          <w:szCs w:val="21"/>
        </w:rPr>
        <w:t>1</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预付款项按账龄列示</w:t>
      </w:r>
      <w:bookmarkEnd w:id="204"/>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A067C6">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A067C6">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年以内</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1,233,718,189.41</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99.82%</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761,496,641.08</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99.30%</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至</w:t>
            </w:r>
            <w:r>
              <w:rPr>
                <w:rFonts w:ascii="宋体" w:eastAsia="宋体" w:hAnsi="宋体" w:cs="宋体"/>
                <w:sz w:val="18"/>
                <w:szCs w:val="18"/>
              </w:rPr>
              <w:t>2</w:t>
            </w:r>
            <w:r>
              <w:rPr>
                <w:rFonts w:ascii="宋体" w:eastAsia="宋体" w:hAnsi="宋体" w:cs="宋体"/>
                <w:sz w:val="18"/>
                <w:szCs w:val="18"/>
              </w:rPr>
              <w:t>年</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1,621,204.87</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0.13%</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4,001,881.70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0.52%</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至</w:t>
            </w:r>
            <w:r>
              <w:rPr>
                <w:rFonts w:ascii="宋体" w:eastAsia="宋体" w:hAnsi="宋体" w:cs="宋体"/>
                <w:sz w:val="18"/>
                <w:szCs w:val="18"/>
              </w:rPr>
              <w:t>3</w:t>
            </w:r>
            <w:r>
              <w:rPr>
                <w:rFonts w:ascii="宋体" w:eastAsia="宋体" w:hAnsi="宋体" w:cs="宋体"/>
                <w:sz w:val="18"/>
                <w:szCs w:val="18"/>
              </w:rPr>
              <w:t>年</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425,998.15</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0.03%</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1,059,207.52</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0.14%</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年以上</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237,790.39</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0.02%</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269,594.54</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0.04%</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1,236,003,182.82</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766,827,324.84</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账龄超过</w:t>
      </w:r>
      <w:r>
        <w:rPr>
          <w:rFonts w:ascii="宋体" w:eastAsia="宋体" w:hAnsi="宋体" w:cs="宋体"/>
          <w:sz w:val="18"/>
          <w:szCs w:val="18"/>
        </w:rPr>
        <w:t>1</w:t>
      </w:r>
      <w:r>
        <w:rPr>
          <w:rFonts w:ascii="宋体" w:eastAsia="宋体" w:hAnsi="宋体" w:cs="宋体"/>
          <w:sz w:val="18"/>
          <w:szCs w:val="18"/>
        </w:rPr>
        <w:t>年且金额重要的预付款项未及时结算原因的说明：</w:t>
      </w:r>
      <w:r>
        <w:rPr>
          <w:rFonts w:hint="eastAsia"/>
          <w:sz w:val="18"/>
          <w:szCs w:val="18"/>
        </w:rPr>
        <w:t>无。</w:t>
      </w:r>
    </w:p>
    <w:p w:rsidR="00A067C6" w:rsidRDefault="005C4966">
      <w:pPr>
        <w:keepNext/>
        <w:keepLines/>
        <w:spacing w:before="300" w:after="300" w:line="280" w:lineRule="exact"/>
        <w:outlineLvl w:val="3"/>
        <w:rPr>
          <w:rFonts w:ascii="宋体" w:eastAsia="宋体" w:hAnsi="宋体" w:cs="宋体"/>
          <w:b/>
          <w:bCs/>
          <w:szCs w:val="21"/>
        </w:rPr>
      </w:pPr>
      <w:bookmarkStart w:id="205" w:name="_Toc989093"/>
      <w:r>
        <w:rPr>
          <w:rFonts w:ascii="宋体" w:eastAsia="宋体" w:hAnsi="宋体" w:cs="宋体"/>
          <w:b/>
          <w:bCs/>
          <w:szCs w:val="21"/>
        </w:rPr>
        <w:t>（</w:t>
      </w:r>
      <w:r>
        <w:rPr>
          <w:rFonts w:ascii="宋体" w:eastAsia="宋体" w:hAnsi="宋体" w:cs="宋体"/>
          <w:b/>
          <w:bCs/>
          <w:szCs w:val="21"/>
        </w:rPr>
        <w:t>2</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按预付对象归集的期末余额前五名的预付款情况</w:t>
      </w:r>
      <w:bookmarkEnd w:id="205"/>
    </w:p>
    <w:tbl>
      <w:tblPr>
        <w:tblW w:w="10560" w:type="dxa"/>
        <w:jc w:val="center"/>
        <w:tblCellMar>
          <w:left w:w="0" w:type="dxa"/>
          <w:right w:w="0" w:type="dxa"/>
        </w:tblCellMar>
        <w:tblLook w:val="04A0" w:firstRow="1" w:lastRow="0" w:firstColumn="1" w:lastColumn="0" w:noHBand="0" w:noVBand="1"/>
      </w:tblPr>
      <w:tblGrid>
        <w:gridCol w:w="2780"/>
        <w:gridCol w:w="2360"/>
        <w:gridCol w:w="1120"/>
        <w:gridCol w:w="2320"/>
        <w:gridCol w:w="1980"/>
      </w:tblGrid>
      <w:tr w:rsidR="00A067C6">
        <w:trPr>
          <w:trHeight w:val="690"/>
          <w:jc w:val="center"/>
        </w:trPr>
        <w:tc>
          <w:tcPr>
            <w:tcW w:w="2780" w:type="dxa"/>
            <w:tcBorders>
              <w:top w:val="single" w:sz="8" w:space="0" w:color="auto"/>
              <w:left w:val="single" w:sz="8" w:space="0" w:color="auto"/>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单位名称</w:t>
            </w:r>
          </w:p>
        </w:tc>
        <w:tc>
          <w:tcPr>
            <w:tcW w:w="2360" w:type="dxa"/>
            <w:tcBorders>
              <w:top w:val="single" w:sz="8" w:space="0" w:color="auto"/>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期末余额</w:t>
            </w:r>
          </w:p>
        </w:tc>
        <w:tc>
          <w:tcPr>
            <w:tcW w:w="1120" w:type="dxa"/>
            <w:tcBorders>
              <w:top w:val="single" w:sz="8" w:space="0" w:color="auto"/>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占预付账款期末余额的比例</w:t>
            </w:r>
            <w:r>
              <w:rPr>
                <w:rFonts w:hint="eastAsia"/>
                <w:sz w:val="18"/>
                <w:szCs w:val="18"/>
              </w:rPr>
              <w:t>(%)</w:t>
            </w:r>
          </w:p>
        </w:tc>
        <w:tc>
          <w:tcPr>
            <w:tcW w:w="2320" w:type="dxa"/>
            <w:tcBorders>
              <w:top w:val="single" w:sz="8" w:space="0" w:color="auto"/>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账龄</w:t>
            </w:r>
          </w:p>
        </w:tc>
        <w:tc>
          <w:tcPr>
            <w:tcW w:w="1980" w:type="dxa"/>
            <w:tcBorders>
              <w:top w:val="single" w:sz="8" w:space="0" w:color="auto"/>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未结算原因</w:t>
            </w:r>
          </w:p>
        </w:tc>
      </w:tr>
      <w:tr w:rsidR="00A067C6">
        <w:trPr>
          <w:trHeight w:val="285"/>
          <w:jc w:val="center"/>
        </w:trPr>
        <w:tc>
          <w:tcPr>
            <w:tcW w:w="2780" w:type="dxa"/>
            <w:tcBorders>
              <w:top w:val="nil"/>
              <w:left w:val="single" w:sz="8" w:space="0" w:color="auto"/>
              <w:bottom w:val="single" w:sz="8" w:space="0" w:color="auto"/>
              <w:right w:val="single" w:sz="8" w:space="0" w:color="auto"/>
            </w:tcBorders>
            <w:vAlign w:val="center"/>
          </w:tcPr>
          <w:p w:rsidR="00A067C6" w:rsidRDefault="005C4966">
            <w:pPr>
              <w:jc w:val="both"/>
              <w:rPr>
                <w:rFonts w:ascii="宋体" w:eastAsia="宋体" w:hAnsi="宋体" w:cs="宋体"/>
                <w:sz w:val="18"/>
                <w:szCs w:val="18"/>
              </w:rPr>
            </w:pPr>
            <w:r>
              <w:rPr>
                <w:rFonts w:hint="eastAsia"/>
                <w:sz w:val="18"/>
                <w:szCs w:val="18"/>
              </w:rPr>
              <w:t>第一名</w:t>
            </w:r>
          </w:p>
        </w:tc>
        <w:tc>
          <w:tcPr>
            <w:tcW w:w="2360" w:type="dxa"/>
            <w:tcBorders>
              <w:top w:val="nil"/>
              <w:left w:val="nil"/>
              <w:bottom w:val="single" w:sz="8" w:space="0" w:color="auto"/>
              <w:right w:val="single" w:sz="8" w:space="0" w:color="auto"/>
            </w:tcBorders>
            <w:vAlign w:val="center"/>
          </w:tcPr>
          <w:p w:rsidR="00A067C6" w:rsidRDefault="005C4966">
            <w:pPr>
              <w:jc w:val="right"/>
              <w:rPr>
                <w:rFonts w:ascii="Arial Narrow" w:eastAsia="宋体" w:hAnsi="Arial Narrow" w:cs="宋体"/>
                <w:sz w:val="18"/>
                <w:szCs w:val="18"/>
              </w:rPr>
            </w:pPr>
            <w:r>
              <w:rPr>
                <w:rFonts w:ascii="Arial Narrow" w:hAnsi="Arial Narrow"/>
                <w:sz w:val="18"/>
                <w:szCs w:val="18"/>
              </w:rPr>
              <w:t>220,481,491.26</w:t>
            </w:r>
          </w:p>
        </w:tc>
        <w:tc>
          <w:tcPr>
            <w:tcW w:w="1120" w:type="dxa"/>
            <w:tcBorders>
              <w:top w:val="nil"/>
              <w:left w:val="nil"/>
              <w:bottom w:val="single" w:sz="8" w:space="0" w:color="auto"/>
              <w:right w:val="single" w:sz="8" w:space="0" w:color="auto"/>
            </w:tcBorders>
            <w:vAlign w:val="center"/>
          </w:tcPr>
          <w:p w:rsidR="00A067C6" w:rsidRDefault="005C4966">
            <w:pPr>
              <w:jc w:val="right"/>
              <w:rPr>
                <w:rFonts w:ascii="Arial Narrow" w:eastAsia="宋体" w:hAnsi="Arial Narrow" w:cs="宋体"/>
                <w:sz w:val="18"/>
                <w:szCs w:val="18"/>
              </w:rPr>
            </w:pPr>
            <w:r>
              <w:rPr>
                <w:rFonts w:ascii="Arial Narrow" w:hAnsi="Arial Narrow"/>
                <w:sz w:val="18"/>
                <w:szCs w:val="18"/>
              </w:rPr>
              <w:t xml:space="preserve"> 16.37</w:t>
            </w:r>
          </w:p>
        </w:tc>
        <w:tc>
          <w:tcPr>
            <w:tcW w:w="232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一年以内</w:t>
            </w:r>
          </w:p>
        </w:tc>
        <w:tc>
          <w:tcPr>
            <w:tcW w:w="198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合同未执行完毕</w:t>
            </w:r>
          </w:p>
        </w:tc>
      </w:tr>
      <w:tr w:rsidR="00A067C6">
        <w:trPr>
          <w:trHeight w:val="285"/>
          <w:jc w:val="center"/>
        </w:trPr>
        <w:tc>
          <w:tcPr>
            <w:tcW w:w="2780" w:type="dxa"/>
            <w:tcBorders>
              <w:top w:val="nil"/>
              <w:left w:val="single" w:sz="8" w:space="0" w:color="auto"/>
              <w:bottom w:val="single" w:sz="8" w:space="0" w:color="auto"/>
              <w:right w:val="single" w:sz="8" w:space="0" w:color="auto"/>
            </w:tcBorders>
            <w:vAlign w:val="center"/>
          </w:tcPr>
          <w:p w:rsidR="00A067C6" w:rsidRDefault="005C4966">
            <w:pPr>
              <w:jc w:val="both"/>
              <w:rPr>
                <w:rFonts w:ascii="宋体" w:eastAsia="宋体" w:hAnsi="宋体" w:cs="宋体"/>
                <w:sz w:val="18"/>
                <w:szCs w:val="18"/>
              </w:rPr>
            </w:pPr>
            <w:r>
              <w:rPr>
                <w:rFonts w:hint="eastAsia"/>
                <w:sz w:val="18"/>
                <w:szCs w:val="18"/>
              </w:rPr>
              <w:t>第二名</w:t>
            </w:r>
          </w:p>
        </w:tc>
        <w:tc>
          <w:tcPr>
            <w:tcW w:w="2360" w:type="dxa"/>
            <w:tcBorders>
              <w:top w:val="nil"/>
              <w:left w:val="nil"/>
              <w:bottom w:val="single" w:sz="8" w:space="0" w:color="auto"/>
              <w:right w:val="single" w:sz="8" w:space="0" w:color="auto"/>
            </w:tcBorders>
            <w:vAlign w:val="center"/>
          </w:tcPr>
          <w:p w:rsidR="00A067C6" w:rsidRDefault="005C4966">
            <w:pPr>
              <w:jc w:val="right"/>
              <w:rPr>
                <w:rFonts w:ascii="Arial Narrow" w:eastAsia="宋体" w:hAnsi="Arial Narrow" w:cs="宋体"/>
                <w:sz w:val="18"/>
                <w:szCs w:val="18"/>
              </w:rPr>
            </w:pPr>
            <w:r>
              <w:rPr>
                <w:rFonts w:ascii="Arial Narrow" w:hAnsi="Arial Narrow"/>
                <w:sz w:val="18"/>
                <w:szCs w:val="18"/>
              </w:rPr>
              <w:t>121,551,065.66</w:t>
            </w:r>
          </w:p>
        </w:tc>
        <w:tc>
          <w:tcPr>
            <w:tcW w:w="1120" w:type="dxa"/>
            <w:tcBorders>
              <w:top w:val="nil"/>
              <w:left w:val="nil"/>
              <w:bottom w:val="single" w:sz="8" w:space="0" w:color="auto"/>
              <w:right w:val="single" w:sz="8" w:space="0" w:color="auto"/>
            </w:tcBorders>
            <w:vAlign w:val="center"/>
          </w:tcPr>
          <w:p w:rsidR="00A067C6" w:rsidRDefault="005C4966">
            <w:pPr>
              <w:jc w:val="right"/>
              <w:rPr>
                <w:rFonts w:ascii="Arial Narrow" w:eastAsia="宋体" w:hAnsi="Arial Narrow" w:cs="宋体"/>
                <w:sz w:val="18"/>
                <w:szCs w:val="18"/>
              </w:rPr>
            </w:pPr>
            <w:r>
              <w:rPr>
                <w:rFonts w:ascii="Arial Narrow" w:hAnsi="Arial Narrow"/>
                <w:sz w:val="18"/>
                <w:szCs w:val="18"/>
              </w:rPr>
              <w:t xml:space="preserve"> 9.03</w:t>
            </w:r>
          </w:p>
        </w:tc>
        <w:tc>
          <w:tcPr>
            <w:tcW w:w="232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一年以内</w:t>
            </w:r>
          </w:p>
        </w:tc>
        <w:tc>
          <w:tcPr>
            <w:tcW w:w="198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合同未执行完毕</w:t>
            </w:r>
          </w:p>
        </w:tc>
      </w:tr>
      <w:tr w:rsidR="00A067C6">
        <w:trPr>
          <w:trHeight w:val="285"/>
          <w:jc w:val="center"/>
        </w:trPr>
        <w:tc>
          <w:tcPr>
            <w:tcW w:w="2780" w:type="dxa"/>
            <w:tcBorders>
              <w:top w:val="nil"/>
              <w:left w:val="single" w:sz="8" w:space="0" w:color="auto"/>
              <w:bottom w:val="single" w:sz="8" w:space="0" w:color="auto"/>
              <w:right w:val="single" w:sz="8" w:space="0" w:color="auto"/>
            </w:tcBorders>
            <w:vAlign w:val="center"/>
          </w:tcPr>
          <w:p w:rsidR="00A067C6" w:rsidRDefault="005C4966">
            <w:pPr>
              <w:jc w:val="both"/>
              <w:rPr>
                <w:rFonts w:ascii="宋体" w:eastAsia="宋体" w:hAnsi="宋体" w:cs="宋体"/>
                <w:sz w:val="18"/>
                <w:szCs w:val="18"/>
              </w:rPr>
            </w:pPr>
            <w:r>
              <w:rPr>
                <w:rFonts w:hint="eastAsia"/>
                <w:sz w:val="18"/>
                <w:szCs w:val="18"/>
              </w:rPr>
              <w:t>第三名</w:t>
            </w:r>
          </w:p>
        </w:tc>
        <w:tc>
          <w:tcPr>
            <w:tcW w:w="2360" w:type="dxa"/>
            <w:tcBorders>
              <w:top w:val="nil"/>
              <w:left w:val="nil"/>
              <w:bottom w:val="single" w:sz="8" w:space="0" w:color="auto"/>
              <w:right w:val="single" w:sz="8" w:space="0" w:color="auto"/>
            </w:tcBorders>
            <w:vAlign w:val="center"/>
          </w:tcPr>
          <w:p w:rsidR="00A067C6" w:rsidRDefault="005C4966">
            <w:pPr>
              <w:jc w:val="right"/>
              <w:rPr>
                <w:rFonts w:ascii="Arial Narrow" w:eastAsia="宋体" w:hAnsi="Arial Narrow" w:cs="宋体"/>
                <w:sz w:val="18"/>
                <w:szCs w:val="18"/>
              </w:rPr>
            </w:pPr>
            <w:r>
              <w:rPr>
                <w:rFonts w:ascii="Arial Narrow" w:hAnsi="Arial Narrow"/>
                <w:sz w:val="18"/>
                <w:szCs w:val="18"/>
              </w:rPr>
              <w:t>110,882,577.15</w:t>
            </w:r>
          </w:p>
        </w:tc>
        <w:tc>
          <w:tcPr>
            <w:tcW w:w="1120" w:type="dxa"/>
            <w:tcBorders>
              <w:top w:val="nil"/>
              <w:left w:val="nil"/>
              <w:bottom w:val="single" w:sz="8" w:space="0" w:color="auto"/>
              <w:right w:val="single" w:sz="8" w:space="0" w:color="auto"/>
            </w:tcBorders>
            <w:vAlign w:val="center"/>
          </w:tcPr>
          <w:p w:rsidR="00A067C6" w:rsidRDefault="005C4966">
            <w:pPr>
              <w:jc w:val="right"/>
              <w:rPr>
                <w:rFonts w:ascii="Arial Narrow" w:eastAsia="宋体" w:hAnsi="Arial Narrow" w:cs="宋体"/>
                <w:sz w:val="18"/>
                <w:szCs w:val="18"/>
              </w:rPr>
            </w:pPr>
            <w:r>
              <w:rPr>
                <w:rFonts w:ascii="Arial Narrow" w:hAnsi="Arial Narrow"/>
                <w:sz w:val="18"/>
                <w:szCs w:val="18"/>
              </w:rPr>
              <w:t xml:space="preserve"> 8.23</w:t>
            </w:r>
          </w:p>
        </w:tc>
        <w:tc>
          <w:tcPr>
            <w:tcW w:w="232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一年以内</w:t>
            </w:r>
          </w:p>
        </w:tc>
        <w:tc>
          <w:tcPr>
            <w:tcW w:w="198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合同未执行完毕</w:t>
            </w:r>
          </w:p>
        </w:tc>
      </w:tr>
      <w:tr w:rsidR="00A067C6">
        <w:trPr>
          <w:trHeight w:val="285"/>
          <w:jc w:val="center"/>
        </w:trPr>
        <w:tc>
          <w:tcPr>
            <w:tcW w:w="2780" w:type="dxa"/>
            <w:tcBorders>
              <w:top w:val="nil"/>
              <w:left w:val="single" w:sz="8" w:space="0" w:color="auto"/>
              <w:bottom w:val="single" w:sz="8" w:space="0" w:color="auto"/>
              <w:right w:val="single" w:sz="8" w:space="0" w:color="auto"/>
            </w:tcBorders>
            <w:vAlign w:val="center"/>
          </w:tcPr>
          <w:p w:rsidR="00A067C6" w:rsidRDefault="005C4966">
            <w:pPr>
              <w:jc w:val="both"/>
              <w:rPr>
                <w:rFonts w:ascii="宋体" w:eastAsia="宋体" w:hAnsi="宋体" w:cs="宋体"/>
                <w:sz w:val="18"/>
                <w:szCs w:val="18"/>
              </w:rPr>
            </w:pPr>
            <w:r>
              <w:rPr>
                <w:rFonts w:hint="eastAsia"/>
                <w:sz w:val="18"/>
                <w:szCs w:val="18"/>
              </w:rPr>
              <w:t>第四名</w:t>
            </w:r>
          </w:p>
        </w:tc>
        <w:tc>
          <w:tcPr>
            <w:tcW w:w="2360" w:type="dxa"/>
            <w:tcBorders>
              <w:top w:val="nil"/>
              <w:left w:val="nil"/>
              <w:bottom w:val="single" w:sz="8" w:space="0" w:color="auto"/>
              <w:right w:val="single" w:sz="8" w:space="0" w:color="auto"/>
            </w:tcBorders>
            <w:vAlign w:val="center"/>
          </w:tcPr>
          <w:p w:rsidR="00A067C6" w:rsidRDefault="005C4966">
            <w:pPr>
              <w:jc w:val="right"/>
              <w:rPr>
                <w:rFonts w:ascii="Arial Narrow" w:eastAsia="宋体" w:hAnsi="Arial Narrow" w:cs="宋体"/>
                <w:sz w:val="18"/>
                <w:szCs w:val="18"/>
              </w:rPr>
            </w:pPr>
            <w:r>
              <w:rPr>
                <w:rFonts w:ascii="Arial Narrow" w:hAnsi="Arial Narrow"/>
                <w:sz w:val="18"/>
                <w:szCs w:val="18"/>
              </w:rPr>
              <w:t>92,170,000.00</w:t>
            </w:r>
          </w:p>
        </w:tc>
        <w:tc>
          <w:tcPr>
            <w:tcW w:w="1120" w:type="dxa"/>
            <w:tcBorders>
              <w:top w:val="nil"/>
              <w:left w:val="nil"/>
              <w:bottom w:val="single" w:sz="8" w:space="0" w:color="auto"/>
              <w:right w:val="single" w:sz="8" w:space="0" w:color="auto"/>
            </w:tcBorders>
            <w:vAlign w:val="center"/>
          </w:tcPr>
          <w:p w:rsidR="00A067C6" w:rsidRDefault="005C4966">
            <w:pPr>
              <w:jc w:val="right"/>
              <w:rPr>
                <w:rFonts w:ascii="Arial Narrow" w:eastAsia="宋体" w:hAnsi="Arial Narrow" w:cs="宋体"/>
                <w:sz w:val="18"/>
                <w:szCs w:val="18"/>
              </w:rPr>
            </w:pPr>
            <w:r>
              <w:rPr>
                <w:rFonts w:ascii="Arial Narrow" w:hAnsi="Arial Narrow"/>
                <w:sz w:val="18"/>
                <w:szCs w:val="18"/>
              </w:rPr>
              <w:t>6.84</w:t>
            </w:r>
          </w:p>
        </w:tc>
        <w:tc>
          <w:tcPr>
            <w:tcW w:w="232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一年以内</w:t>
            </w:r>
          </w:p>
        </w:tc>
        <w:tc>
          <w:tcPr>
            <w:tcW w:w="198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合同未执行完毕</w:t>
            </w:r>
          </w:p>
        </w:tc>
      </w:tr>
      <w:tr w:rsidR="00A067C6">
        <w:trPr>
          <w:trHeight w:val="285"/>
          <w:jc w:val="center"/>
        </w:trPr>
        <w:tc>
          <w:tcPr>
            <w:tcW w:w="2780" w:type="dxa"/>
            <w:tcBorders>
              <w:top w:val="nil"/>
              <w:left w:val="single" w:sz="8" w:space="0" w:color="auto"/>
              <w:bottom w:val="single" w:sz="8" w:space="0" w:color="auto"/>
              <w:right w:val="single" w:sz="8" w:space="0" w:color="auto"/>
            </w:tcBorders>
            <w:vAlign w:val="center"/>
          </w:tcPr>
          <w:p w:rsidR="00A067C6" w:rsidRDefault="005C4966">
            <w:pPr>
              <w:jc w:val="both"/>
              <w:rPr>
                <w:rFonts w:ascii="宋体" w:eastAsia="宋体" w:hAnsi="宋体" w:cs="宋体"/>
                <w:sz w:val="18"/>
                <w:szCs w:val="18"/>
              </w:rPr>
            </w:pPr>
            <w:r>
              <w:rPr>
                <w:rFonts w:hint="eastAsia"/>
                <w:sz w:val="18"/>
                <w:szCs w:val="18"/>
              </w:rPr>
              <w:t>第五名</w:t>
            </w:r>
          </w:p>
        </w:tc>
        <w:tc>
          <w:tcPr>
            <w:tcW w:w="2360" w:type="dxa"/>
            <w:tcBorders>
              <w:top w:val="nil"/>
              <w:left w:val="nil"/>
              <w:bottom w:val="single" w:sz="8" w:space="0" w:color="auto"/>
              <w:right w:val="single" w:sz="8" w:space="0" w:color="auto"/>
            </w:tcBorders>
            <w:vAlign w:val="center"/>
          </w:tcPr>
          <w:p w:rsidR="00A067C6" w:rsidRDefault="005C4966">
            <w:pPr>
              <w:jc w:val="right"/>
              <w:rPr>
                <w:rFonts w:ascii="Arial Narrow" w:eastAsia="宋体" w:hAnsi="Arial Narrow" w:cs="宋体"/>
                <w:sz w:val="18"/>
                <w:szCs w:val="18"/>
              </w:rPr>
            </w:pPr>
            <w:r>
              <w:rPr>
                <w:rFonts w:ascii="Arial Narrow" w:hAnsi="Arial Narrow"/>
                <w:sz w:val="18"/>
                <w:szCs w:val="18"/>
              </w:rPr>
              <w:t>85,706,782.35</w:t>
            </w:r>
          </w:p>
        </w:tc>
        <w:tc>
          <w:tcPr>
            <w:tcW w:w="1120" w:type="dxa"/>
            <w:tcBorders>
              <w:top w:val="nil"/>
              <w:left w:val="nil"/>
              <w:bottom w:val="single" w:sz="8" w:space="0" w:color="auto"/>
              <w:right w:val="single" w:sz="8" w:space="0" w:color="auto"/>
            </w:tcBorders>
            <w:vAlign w:val="center"/>
          </w:tcPr>
          <w:p w:rsidR="00A067C6" w:rsidRDefault="005C4966">
            <w:pPr>
              <w:jc w:val="right"/>
              <w:rPr>
                <w:rFonts w:ascii="Arial Narrow" w:eastAsia="宋体" w:hAnsi="Arial Narrow" w:cs="宋体"/>
                <w:sz w:val="18"/>
                <w:szCs w:val="18"/>
              </w:rPr>
            </w:pPr>
            <w:r>
              <w:rPr>
                <w:rFonts w:ascii="Arial Narrow" w:hAnsi="Arial Narrow"/>
                <w:sz w:val="18"/>
                <w:szCs w:val="18"/>
              </w:rPr>
              <w:t>6.36</w:t>
            </w:r>
          </w:p>
        </w:tc>
        <w:tc>
          <w:tcPr>
            <w:tcW w:w="232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一年以内</w:t>
            </w:r>
          </w:p>
        </w:tc>
        <w:tc>
          <w:tcPr>
            <w:tcW w:w="1980" w:type="dxa"/>
            <w:tcBorders>
              <w:top w:val="nil"/>
              <w:left w:val="nil"/>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合同未执行完毕</w:t>
            </w:r>
          </w:p>
        </w:tc>
      </w:tr>
      <w:tr w:rsidR="00A067C6">
        <w:trPr>
          <w:trHeight w:val="345"/>
          <w:jc w:val="center"/>
        </w:trPr>
        <w:tc>
          <w:tcPr>
            <w:tcW w:w="2780" w:type="dxa"/>
            <w:tcBorders>
              <w:top w:val="nil"/>
              <w:left w:val="single" w:sz="8" w:space="0" w:color="auto"/>
              <w:bottom w:val="single" w:sz="8" w:space="0" w:color="auto"/>
              <w:right w:val="single" w:sz="8" w:space="0" w:color="auto"/>
            </w:tcBorders>
            <w:vAlign w:val="center"/>
          </w:tcPr>
          <w:p w:rsidR="00A067C6" w:rsidRDefault="005C4966">
            <w:pPr>
              <w:jc w:val="center"/>
              <w:rPr>
                <w:rFonts w:ascii="宋体" w:eastAsia="宋体" w:hAnsi="宋体" w:cs="宋体"/>
                <w:sz w:val="18"/>
                <w:szCs w:val="18"/>
              </w:rPr>
            </w:pPr>
            <w:r>
              <w:rPr>
                <w:rFonts w:hint="eastAsia"/>
                <w:sz w:val="18"/>
                <w:szCs w:val="18"/>
              </w:rPr>
              <w:t>合计</w:t>
            </w:r>
          </w:p>
        </w:tc>
        <w:tc>
          <w:tcPr>
            <w:tcW w:w="2360" w:type="dxa"/>
            <w:tcBorders>
              <w:top w:val="nil"/>
              <w:left w:val="nil"/>
              <w:bottom w:val="single" w:sz="8" w:space="0" w:color="auto"/>
              <w:right w:val="single" w:sz="8" w:space="0" w:color="auto"/>
            </w:tcBorders>
            <w:vAlign w:val="center"/>
          </w:tcPr>
          <w:p w:rsidR="00A067C6" w:rsidRDefault="005C4966">
            <w:pPr>
              <w:jc w:val="right"/>
              <w:rPr>
                <w:rFonts w:ascii="Arial Narrow" w:eastAsia="宋体" w:hAnsi="Arial Narrow" w:cs="宋体"/>
                <w:sz w:val="18"/>
                <w:szCs w:val="18"/>
              </w:rPr>
            </w:pPr>
            <w:r>
              <w:rPr>
                <w:rFonts w:ascii="Arial Narrow" w:hAnsi="Arial Narrow"/>
                <w:sz w:val="18"/>
                <w:szCs w:val="18"/>
              </w:rPr>
              <w:t>630,791,916.42</w:t>
            </w:r>
          </w:p>
        </w:tc>
        <w:tc>
          <w:tcPr>
            <w:tcW w:w="1120" w:type="dxa"/>
            <w:tcBorders>
              <w:top w:val="nil"/>
              <w:left w:val="nil"/>
              <w:bottom w:val="single" w:sz="8" w:space="0" w:color="auto"/>
              <w:right w:val="single" w:sz="8" w:space="0" w:color="auto"/>
            </w:tcBorders>
            <w:vAlign w:val="center"/>
          </w:tcPr>
          <w:p w:rsidR="00A067C6" w:rsidRDefault="005C4966">
            <w:pPr>
              <w:jc w:val="right"/>
              <w:rPr>
                <w:rFonts w:ascii="Arial Narrow" w:eastAsia="宋体" w:hAnsi="Arial Narrow" w:cs="宋体"/>
                <w:sz w:val="18"/>
                <w:szCs w:val="18"/>
              </w:rPr>
            </w:pPr>
            <w:r>
              <w:rPr>
                <w:rFonts w:ascii="Arial Narrow" w:hAnsi="Arial Narrow"/>
                <w:sz w:val="18"/>
                <w:szCs w:val="18"/>
              </w:rPr>
              <w:t>46.84</w:t>
            </w:r>
          </w:p>
        </w:tc>
        <w:tc>
          <w:tcPr>
            <w:tcW w:w="2320" w:type="dxa"/>
            <w:tcBorders>
              <w:top w:val="nil"/>
              <w:left w:val="nil"/>
              <w:bottom w:val="single" w:sz="8" w:space="0" w:color="auto"/>
              <w:right w:val="single" w:sz="8" w:space="0" w:color="auto"/>
            </w:tcBorders>
            <w:vAlign w:val="center"/>
          </w:tcPr>
          <w:p w:rsidR="00A067C6" w:rsidRDefault="00A067C6">
            <w:pPr>
              <w:jc w:val="both"/>
              <w:rPr>
                <w:rFonts w:ascii="Arial Narrow" w:eastAsia="宋体" w:hAnsi="Arial Narrow" w:cs="宋体"/>
                <w:sz w:val="18"/>
                <w:szCs w:val="18"/>
              </w:rPr>
            </w:pPr>
          </w:p>
        </w:tc>
        <w:tc>
          <w:tcPr>
            <w:tcW w:w="0" w:type="auto"/>
            <w:tcBorders>
              <w:top w:val="nil"/>
              <w:left w:val="nil"/>
              <w:bottom w:val="single" w:sz="8" w:space="0" w:color="auto"/>
              <w:right w:val="single" w:sz="8" w:space="0" w:color="auto"/>
            </w:tcBorders>
            <w:noWrap/>
            <w:vAlign w:val="center"/>
          </w:tcPr>
          <w:p w:rsidR="00A067C6" w:rsidRDefault="00A067C6">
            <w:pPr>
              <w:jc w:val="both"/>
              <w:rPr>
                <w:rFonts w:ascii="Arial Narrow" w:eastAsia="宋体" w:hAnsi="Arial Narrow" w:cs="宋体"/>
                <w:sz w:val="22"/>
              </w:rPr>
            </w:pP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pStyle w:val="3"/>
        <w:spacing w:line="280" w:lineRule="exact"/>
        <w:jc w:val="left"/>
        <w:rPr>
          <w:rFonts w:ascii="宋体" w:hAnsi="宋体" w:cs="宋体"/>
          <w:b/>
          <w:bCs/>
        </w:rPr>
      </w:pPr>
      <w:bookmarkStart w:id="206" w:name="_Toc989094"/>
      <w:r>
        <w:rPr>
          <w:rFonts w:ascii="宋体" w:hAnsi="宋体" w:cs="宋体"/>
          <w:b/>
          <w:bCs/>
        </w:rPr>
        <w:t>8</w:t>
      </w:r>
      <w:r>
        <w:rPr>
          <w:rFonts w:ascii="宋体" w:hAnsi="宋体" w:cs="宋体"/>
          <w:b/>
          <w:bCs/>
        </w:rPr>
        <w:t>、其他应收款</w:t>
      </w:r>
      <w:bookmarkEnd w:id="206"/>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281,868,919.58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251,884,579.22</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281,868,919.58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251,884,579.22</w:t>
            </w:r>
          </w:p>
        </w:tc>
      </w:tr>
    </w:tbl>
    <w:p w:rsidR="00A067C6" w:rsidRDefault="005C4966">
      <w:pPr>
        <w:keepNext/>
        <w:keepLines/>
        <w:spacing w:before="300" w:after="300" w:line="280" w:lineRule="exact"/>
        <w:outlineLvl w:val="3"/>
        <w:rPr>
          <w:rFonts w:ascii="宋体" w:eastAsia="宋体" w:hAnsi="宋体" w:cs="宋体"/>
          <w:b/>
          <w:bCs/>
          <w:szCs w:val="21"/>
        </w:rPr>
      </w:pPr>
      <w:bookmarkStart w:id="207" w:name="_Toc989095"/>
      <w:r>
        <w:rPr>
          <w:rFonts w:ascii="宋体" w:eastAsia="宋体" w:hAnsi="宋体" w:cs="宋体"/>
          <w:b/>
          <w:bCs/>
          <w:szCs w:val="21"/>
        </w:rPr>
        <w:t>（</w:t>
      </w:r>
      <w:r>
        <w:rPr>
          <w:rFonts w:ascii="宋体" w:eastAsia="宋体" w:hAnsi="宋体" w:cs="宋体"/>
          <w:b/>
          <w:bCs/>
          <w:szCs w:val="21"/>
        </w:rPr>
        <w:t>1</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应收利息</w:t>
      </w:r>
      <w:bookmarkEnd w:id="207"/>
    </w:p>
    <w:p w:rsidR="00A067C6" w:rsidRDefault="005C4966">
      <w:pPr>
        <w:keepNext/>
        <w:keepLines/>
        <w:spacing w:before="300" w:after="300" w:line="280" w:lineRule="exact"/>
        <w:outlineLvl w:val="4"/>
        <w:rPr>
          <w:rFonts w:ascii="宋体" w:eastAsia="宋体" w:hAnsi="宋体" w:cs="宋体"/>
          <w:b/>
          <w:bCs/>
          <w:szCs w:val="21"/>
        </w:rPr>
      </w:pPr>
      <w:bookmarkStart w:id="208" w:name="_Toc989096"/>
      <w:r>
        <w:rPr>
          <w:rFonts w:ascii="宋体" w:eastAsia="宋体" w:hAnsi="宋体" w:cs="宋体"/>
          <w:b/>
          <w:bCs/>
          <w:szCs w:val="21"/>
        </w:rPr>
        <w:t>1</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应收利息分类</w:t>
      </w:r>
      <w:bookmarkEnd w:id="208"/>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keepNext/>
        <w:keepLines/>
        <w:spacing w:before="300" w:after="300" w:line="280" w:lineRule="exact"/>
        <w:outlineLvl w:val="4"/>
        <w:rPr>
          <w:rFonts w:ascii="宋体" w:eastAsia="宋体" w:hAnsi="宋体" w:cs="宋体"/>
          <w:b/>
          <w:bCs/>
          <w:szCs w:val="21"/>
        </w:rPr>
      </w:pPr>
      <w:bookmarkStart w:id="209" w:name="_Toc989098"/>
      <w:r>
        <w:rPr>
          <w:rFonts w:ascii="宋体" w:eastAsia="宋体" w:hAnsi="宋体" w:cs="宋体"/>
          <w:b/>
          <w:bCs/>
          <w:szCs w:val="21"/>
        </w:rPr>
        <w:t>3</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坏账准备计提情况</w:t>
      </w:r>
      <w:bookmarkEnd w:id="209"/>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keepNext/>
        <w:keepLines/>
        <w:spacing w:before="300" w:after="300" w:line="280" w:lineRule="exact"/>
        <w:outlineLvl w:val="3"/>
        <w:rPr>
          <w:rFonts w:ascii="宋体" w:eastAsia="宋体" w:hAnsi="宋体" w:cs="宋体"/>
          <w:b/>
          <w:bCs/>
          <w:szCs w:val="21"/>
        </w:rPr>
      </w:pPr>
      <w:bookmarkStart w:id="210" w:name="_Toc989099"/>
      <w:r>
        <w:rPr>
          <w:rFonts w:ascii="宋体" w:eastAsia="宋体" w:hAnsi="宋体" w:cs="宋体"/>
          <w:b/>
          <w:bCs/>
          <w:szCs w:val="21"/>
        </w:rPr>
        <w:t>（</w:t>
      </w:r>
      <w:r>
        <w:rPr>
          <w:rFonts w:ascii="宋体" w:eastAsia="宋体" w:hAnsi="宋体" w:cs="宋体"/>
          <w:b/>
          <w:bCs/>
          <w:szCs w:val="21"/>
        </w:rPr>
        <w:t>2</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应收股利</w:t>
      </w:r>
      <w:bookmarkEnd w:id="210"/>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keepNext/>
        <w:keepLines/>
        <w:spacing w:before="300" w:after="300" w:line="280" w:lineRule="exact"/>
        <w:outlineLvl w:val="3"/>
        <w:rPr>
          <w:rFonts w:ascii="宋体" w:eastAsia="宋体" w:hAnsi="宋体" w:cs="宋体"/>
          <w:b/>
          <w:bCs/>
          <w:szCs w:val="21"/>
        </w:rPr>
      </w:pPr>
      <w:bookmarkStart w:id="211" w:name="_Toc989103"/>
      <w:r>
        <w:rPr>
          <w:rFonts w:ascii="宋体" w:eastAsia="宋体" w:hAnsi="宋体" w:cs="宋体"/>
          <w:b/>
          <w:bCs/>
          <w:szCs w:val="21"/>
        </w:rPr>
        <w:t>（</w:t>
      </w:r>
      <w:r>
        <w:rPr>
          <w:rFonts w:ascii="宋体" w:eastAsia="宋体" w:hAnsi="宋体" w:cs="宋体"/>
          <w:b/>
          <w:bCs/>
          <w:szCs w:val="21"/>
        </w:rPr>
        <w:t>3</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其他应收款</w:t>
      </w:r>
      <w:bookmarkEnd w:id="211"/>
    </w:p>
    <w:p w:rsidR="00A067C6" w:rsidRDefault="005C4966">
      <w:pPr>
        <w:keepNext/>
        <w:keepLines/>
        <w:spacing w:before="300" w:after="300" w:line="280" w:lineRule="exact"/>
        <w:outlineLvl w:val="4"/>
        <w:rPr>
          <w:rFonts w:ascii="宋体" w:eastAsia="宋体" w:hAnsi="宋体" w:cs="宋体"/>
          <w:b/>
          <w:bCs/>
          <w:szCs w:val="21"/>
        </w:rPr>
      </w:pPr>
      <w:bookmarkStart w:id="212" w:name="_Toc989104"/>
      <w:r>
        <w:rPr>
          <w:rFonts w:ascii="宋体" w:eastAsia="宋体" w:hAnsi="宋体" w:cs="宋体"/>
          <w:b/>
          <w:bCs/>
          <w:szCs w:val="21"/>
        </w:rPr>
        <w:t>1</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其他应收款按款项性质分类情况</w:t>
      </w:r>
      <w:bookmarkEnd w:id="212"/>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款项性质</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关联方往来</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28,139,282.14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28,139,282.14</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保证金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17,712,185.96</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38,800,021.27</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押金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814,306.14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1,088,938.00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备用金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310,714.21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896,331.20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员工借款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6,058,878.37</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4,815,365.60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政府补助</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188,215,021.53</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188,765,870.13</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应收出口退税款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3,298,033.69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3,520,785.71</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代付款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6,768,443.94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8,835,784.79</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其他单位往来款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167,155,947.60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83,089,760.56</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固定资产转让款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36,160,000.00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19,040,954.01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12,254,535.16</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坏账准备</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-155,644,848.01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-154,482,095.34</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281,868,919.58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251,884,579.22</w:t>
            </w:r>
          </w:p>
        </w:tc>
      </w:tr>
    </w:tbl>
    <w:p w:rsidR="00A067C6" w:rsidRDefault="005C4966">
      <w:pPr>
        <w:keepNext/>
        <w:keepLines/>
        <w:spacing w:before="300" w:after="300" w:line="280" w:lineRule="exact"/>
        <w:outlineLvl w:val="4"/>
        <w:rPr>
          <w:rFonts w:ascii="宋体" w:eastAsia="宋体" w:hAnsi="宋体" w:cs="宋体"/>
          <w:b/>
          <w:bCs/>
          <w:szCs w:val="21"/>
        </w:rPr>
      </w:pPr>
      <w:bookmarkStart w:id="213" w:name="_Toc989105"/>
      <w:r>
        <w:rPr>
          <w:rFonts w:ascii="宋体" w:eastAsia="宋体" w:hAnsi="宋体" w:cs="宋体"/>
          <w:b/>
          <w:bCs/>
          <w:szCs w:val="21"/>
        </w:rPr>
        <w:t>2</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坏账准备计提情况</w:t>
      </w:r>
      <w:bookmarkEnd w:id="213"/>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A067C6">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第一阶段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第二阶段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第三阶段</w:t>
            </w:r>
          </w:p>
        </w:tc>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A067C6">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未来</w:t>
            </w:r>
            <w:r>
              <w:rPr>
                <w:rFonts w:ascii="宋体" w:eastAsia="宋体" w:hAnsi="宋体" w:cs="宋体"/>
                <w:sz w:val="18"/>
                <w:szCs w:val="18"/>
              </w:rPr>
              <w:t>12</w:t>
            </w:r>
            <w:r>
              <w:rPr>
                <w:rFonts w:ascii="宋体" w:eastAsia="宋体" w:hAnsi="宋体" w:cs="宋体"/>
                <w:sz w:val="18"/>
                <w:szCs w:val="18"/>
              </w:rPr>
              <w:t>个月预期信用损失</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w:t>
            </w:r>
            <w:r>
              <w:rPr>
                <w:rFonts w:ascii="宋体" w:eastAsia="宋体" w:hAnsi="宋体" w:cs="宋体"/>
                <w:sz w:val="18"/>
                <w:szCs w:val="18"/>
              </w:rPr>
              <w:t>(</w:t>
            </w:r>
            <w:r>
              <w:rPr>
                <w:rFonts w:ascii="宋体" w:eastAsia="宋体" w:hAnsi="宋体" w:cs="宋体"/>
                <w:sz w:val="18"/>
                <w:szCs w:val="18"/>
              </w:rPr>
              <w:t>未发生信用减值</w:t>
            </w: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w:t>
            </w:r>
            <w:r>
              <w:rPr>
                <w:rFonts w:ascii="宋体" w:eastAsia="宋体" w:hAnsi="宋体" w:cs="宋体"/>
                <w:sz w:val="18"/>
                <w:szCs w:val="18"/>
              </w:rPr>
              <w:t>(</w:t>
            </w:r>
            <w:r>
              <w:rPr>
                <w:rFonts w:ascii="宋体" w:eastAsia="宋体" w:hAnsi="宋体" w:cs="宋体"/>
                <w:sz w:val="18"/>
                <w:szCs w:val="18"/>
              </w:rPr>
              <w:t>已发生信用减值</w:t>
            </w:r>
            <w:r>
              <w:rPr>
                <w:rFonts w:ascii="宋体" w:eastAsia="宋体" w:hAnsi="宋体" w:cs="宋体"/>
                <w:sz w:val="18"/>
                <w:szCs w:val="18"/>
              </w:rPr>
              <w:t>)</w:t>
            </w:r>
          </w:p>
        </w:tc>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1</w:t>
            </w:r>
            <w:r>
              <w:rPr>
                <w:rFonts w:ascii="宋体" w:eastAsia="宋体" w:hAnsi="宋体" w:cs="宋体"/>
                <w:sz w:val="18"/>
                <w:szCs w:val="18"/>
              </w:rPr>
              <w:t>月</w:t>
            </w:r>
            <w:r>
              <w:rPr>
                <w:rFonts w:ascii="宋体" w:eastAsia="宋体" w:hAnsi="宋体" w:cs="宋体"/>
                <w:sz w:val="18"/>
                <w:szCs w:val="18"/>
              </w:rPr>
              <w:t>1</w:t>
            </w:r>
            <w:r>
              <w:rPr>
                <w:rFonts w:ascii="宋体" w:eastAsia="宋体" w:hAnsi="宋体" w:cs="宋体"/>
                <w:sz w:val="18"/>
                <w:szCs w:val="18"/>
              </w:rPr>
              <w:t>日余额</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132,992,452.75</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21,489,642.59</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154,482,095.34</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1</w:t>
            </w:r>
            <w:r>
              <w:rPr>
                <w:rFonts w:ascii="宋体" w:eastAsia="宋体" w:hAnsi="宋体" w:cs="宋体"/>
                <w:sz w:val="18"/>
                <w:szCs w:val="18"/>
              </w:rPr>
              <w:t>月</w:t>
            </w:r>
            <w:r>
              <w:rPr>
                <w:rFonts w:ascii="宋体" w:eastAsia="宋体" w:hAnsi="宋体" w:cs="宋体"/>
                <w:sz w:val="18"/>
                <w:szCs w:val="18"/>
              </w:rPr>
              <w:t>1</w:t>
            </w:r>
            <w:r>
              <w:rPr>
                <w:rFonts w:ascii="宋体" w:eastAsia="宋体" w:hAnsi="宋体" w:cs="宋体"/>
                <w:sz w:val="18"/>
                <w:szCs w:val="18"/>
              </w:rPr>
              <w:t>日余额在本期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本期计提</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1,162,752.67</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1,162,752.67</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6</w:t>
            </w:r>
            <w:r>
              <w:rPr>
                <w:rFonts w:ascii="宋体" w:eastAsia="宋体" w:hAnsi="宋体" w:cs="宋体"/>
                <w:sz w:val="18"/>
                <w:szCs w:val="18"/>
              </w:rPr>
              <w:t>月</w:t>
            </w:r>
            <w:r>
              <w:rPr>
                <w:rFonts w:ascii="宋体" w:eastAsia="宋体" w:hAnsi="宋体" w:cs="宋体"/>
                <w:sz w:val="18"/>
                <w:szCs w:val="18"/>
              </w:rPr>
              <w:t>30</w:t>
            </w:r>
            <w:r>
              <w:rPr>
                <w:rFonts w:ascii="宋体" w:eastAsia="宋体" w:hAnsi="宋体" w:cs="宋体"/>
                <w:sz w:val="18"/>
                <w:szCs w:val="18"/>
              </w:rPr>
              <w:t>日余额</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134,155,205.42</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21,489,642.59</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155,644,848.01</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损失准备本期变动金额重大的账面余额变动情况</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按账龄披露</w:t>
      </w:r>
    </w:p>
    <w:p w:rsidR="00A067C6" w:rsidRDefault="005C4966">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A067C6">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年以内（含</w:t>
            </w:r>
            <w:r>
              <w:rPr>
                <w:rFonts w:ascii="宋体" w:eastAsia="宋体" w:hAnsi="宋体" w:cs="宋体"/>
                <w:sz w:val="18"/>
                <w:szCs w:val="18"/>
              </w:rPr>
              <w:t>1</w:t>
            </w:r>
            <w:r>
              <w:rPr>
                <w:rFonts w:ascii="宋体" w:eastAsia="宋体" w:hAnsi="宋体" w:cs="宋体"/>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372,049,106.93</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至</w:t>
            </w:r>
            <w:r>
              <w:rPr>
                <w:rFonts w:ascii="宋体" w:eastAsia="宋体" w:hAnsi="宋体" w:cs="宋体"/>
                <w:sz w:val="18"/>
                <w:szCs w:val="18"/>
              </w:rPr>
              <w:t>2</w:t>
            </w:r>
            <w:r>
              <w:rPr>
                <w:rFonts w:ascii="宋体" w:eastAsia="宋体" w:hAnsi="宋体" w:cs="宋体"/>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30,323,628.21</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至</w:t>
            </w:r>
            <w:r>
              <w:rPr>
                <w:rFonts w:ascii="宋体" w:eastAsia="宋体" w:hAnsi="宋体" w:cs="宋体"/>
                <w:sz w:val="18"/>
                <w:szCs w:val="18"/>
              </w:rPr>
              <w:t>3</w:t>
            </w:r>
            <w:r>
              <w:rPr>
                <w:rFonts w:ascii="宋体" w:eastAsia="宋体" w:hAnsi="宋体" w:cs="宋体"/>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11,121,187.27</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年以上</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24,019,845.18</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至</w:t>
            </w:r>
            <w:r>
              <w:rPr>
                <w:rFonts w:ascii="宋体" w:eastAsia="宋体" w:hAnsi="宋体" w:cs="宋体"/>
                <w:sz w:val="18"/>
                <w:szCs w:val="18"/>
              </w:rPr>
              <w:t>4</w:t>
            </w:r>
            <w:r>
              <w:rPr>
                <w:rFonts w:ascii="宋体" w:eastAsia="宋体" w:hAnsi="宋体" w:cs="宋体"/>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4,699,595.57</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4</w:t>
            </w:r>
            <w:r>
              <w:rPr>
                <w:rFonts w:ascii="宋体" w:eastAsia="宋体" w:hAnsi="宋体" w:cs="宋体"/>
                <w:sz w:val="18"/>
                <w:szCs w:val="18"/>
              </w:rPr>
              <w:t>至</w:t>
            </w:r>
            <w:r>
              <w:rPr>
                <w:rFonts w:ascii="宋体" w:eastAsia="宋体" w:hAnsi="宋体" w:cs="宋体"/>
                <w:sz w:val="18"/>
                <w:szCs w:val="18"/>
              </w:rPr>
              <w:t>5</w:t>
            </w:r>
            <w:r>
              <w:rPr>
                <w:rFonts w:ascii="宋体" w:eastAsia="宋体" w:hAnsi="宋体" w:cs="宋体"/>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860,537.11</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5</w:t>
            </w:r>
            <w:r>
              <w:rPr>
                <w:rFonts w:ascii="宋体" w:eastAsia="宋体" w:hAnsi="宋体" w:cs="宋体"/>
                <w:sz w:val="18"/>
                <w:szCs w:val="18"/>
              </w:rPr>
              <w:t>年以上</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18,459,712.50</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437,513,767.59</w:t>
            </w:r>
          </w:p>
        </w:tc>
      </w:tr>
    </w:tbl>
    <w:p w:rsidR="00A067C6" w:rsidRDefault="005C4966">
      <w:pPr>
        <w:keepNext/>
        <w:keepLines/>
        <w:spacing w:before="300" w:after="300" w:line="280" w:lineRule="exact"/>
        <w:outlineLvl w:val="4"/>
        <w:rPr>
          <w:rFonts w:ascii="宋体" w:eastAsia="宋体" w:hAnsi="宋体" w:cs="宋体"/>
          <w:b/>
          <w:bCs/>
          <w:szCs w:val="21"/>
        </w:rPr>
      </w:pPr>
      <w:bookmarkStart w:id="214" w:name="_Toc989106"/>
      <w:r>
        <w:rPr>
          <w:rFonts w:ascii="宋体" w:eastAsia="宋体" w:hAnsi="宋体" w:cs="宋体"/>
          <w:b/>
          <w:bCs/>
          <w:szCs w:val="21"/>
        </w:rPr>
        <w:t>3</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本期计提、收回或转回的坏账准备情况</w:t>
      </w:r>
      <w:bookmarkEnd w:id="214"/>
    </w:p>
    <w:p w:rsidR="00A067C6" w:rsidRDefault="005C4966">
      <w:pPr>
        <w:spacing w:line="240" w:lineRule="exact"/>
        <w:rPr>
          <w:rFonts w:ascii="宋体" w:eastAsia="宋体" w:hAnsi="宋体" w:cs="宋体"/>
          <w:sz w:val="18"/>
          <w:szCs w:val="18"/>
        </w:rPr>
      </w:pPr>
      <w:r>
        <w:rPr>
          <w:rFonts w:ascii="宋体" w:eastAsia="宋体" w:hAnsi="宋体" w:cs="宋体"/>
          <w:sz w:val="18"/>
          <w:szCs w:val="18"/>
        </w:rPr>
        <w:t>本期计提坏账准备情况：</w:t>
      </w:r>
    </w:p>
    <w:p w:rsidR="00A067C6" w:rsidRDefault="005C4966">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566"/>
        <w:gridCol w:w="1418"/>
        <w:gridCol w:w="1147"/>
        <w:gridCol w:w="1121"/>
        <w:gridCol w:w="1276"/>
        <w:gridCol w:w="1734"/>
      </w:tblGrid>
      <w:tr w:rsidR="00A067C6">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56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4962"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734"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A067C6">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56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41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14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112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734"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单项计提预期信用损失的其他应收款</w:t>
            </w:r>
          </w:p>
        </w:tc>
        <w:tc>
          <w:tcPr>
            <w:tcW w:w="156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21,489,642.59</w:t>
            </w:r>
          </w:p>
        </w:tc>
        <w:tc>
          <w:tcPr>
            <w:tcW w:w="141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14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12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21,489,642.59</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按组合计提预期信用损失的其他应收款</w:t>
            </w:r>
          </w:p>
        </w:tc>
        <w:tc>
          <w:tcPr>
            <w:tcW w:w="156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14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12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其中：预期信用风险组合</w:t>
            </w:r>
          </w:p>
        </w:tc>
        <w:tc>
          <w:tcPr>
            <w:tcW w:w="156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32,958,810.08</w:t>
            </w:r>
          </w:p>
        </w:tc>
        <w:tc>
          <w:tcPr>
            <w:tcW w:w="141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1,566,066.72</w:t>
            </w:r>
          </w:p>
        </w:tc>
        <w:tc>
          <w:tcPr>
            <w:tcW w:w="114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12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356,395.72</w:t>
            </w:r>
          </w:p>
        </w:tc>
        <w:tc>
          <w:tcPr>
            <w:tcW w:w="17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34,168,481.08</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应收财政款组合</w:t>
            </w:r>
          </w:p>
        </w:tc>
        <w:tc>
          <w:tcPr>
            <w:tcW w:w="156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100,033,642.67</w:t>
            </w:r>
          </w:p>
        </w:tc>
        <w:tc>
          <w:tcPr>
            <w:tcW w:w="141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-46,918.33</w:t>
            </w:r>
          </w:p>
        </w:tc>
        <w:tc>
          <w:tcPr>
            <w:tcW w:w="114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12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99,986,724.34</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56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154,482,095.34</w:t>
            </w:r>
          </w:p>
        </w:tc>
        <w:tc>
          <w:tcPr>
            <w:tcW w:w="141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1,519,148.39</w:t>
            </w:r>
          </w:p>
        </w:tc>
        <w:tc>
          <w:tcPr>
            <w:tcW w:w="114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12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356,395.72</w:t>
            </w:r>
          </w:p>
        </w:tc>
        <w:tc>
          <w:tcPr>
            <w:tcW w:w="17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155,644,848.01</w:t>
            </w:r>
          </w:p>
        </w:tc>
      </w:tr>
    </w:tbl>
    <w:p w:rsidR="00A067C6" w:rsidRDefault="005C4966">
      <w:pPr>
        <w:keepNext/>
        <w:keepLines/>
        <w:spacing w:before="300" w:after="300" w:line="280" w:lineRule="exact"/>
        <w:outlineLvl w:val="4"/>
        <w:rPr>
          <w:rFonts w:ascii="宋体" w:eastAsia="宋体" w:hAnsi="宋体" w:cs="宋体"/>
          <w:b/>
          <w:bCs/>
          <w:szCs w:val="21"/>
        </w:rPr>
      </w:pPr>
      <w:bookmarkStart w:id="215" w:name="_Toc989107"/>
      <w:r>
        <w:rPr>
          <w:rFonts w:ascii="宋体" w:eastAsia="宋体" w:hAnsi="宋体" w:cs="宋体"/>
          <w:b/>
          <w:bCs/>
          <w:szCs w:val="21"/>
        </w:rPr>
        <w:t>4</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本期实际核销的其他应收款情况</w:t>
      </w:r>
      <w:bookmarkEnd w:id="215"/>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其他应收款核销说明：</w:t>
      </w:r>
      <w:r>
        <w:rPr>
          <w:rFonts w:hint="eastAsia"/>
          <w:sz w:val="18"/>
          <w:szCs w:val="18"/>
        </w:rPr>
        <w:t>无。</w:t>
      </w:r>
    </w:p>
    <w:p w:rsidR="00A067C6" w:rsidRDefault="005C4966">
      <w:pPr>
        <w:keepNext/>
        <w:keepLines/>
        <w:spacing w:before="300" w:after="300" w:line="280" w:lineRule="exact"/>
        <w:outlineLvl w:val="4"/>
        <w:rPr>
          <w:rFonts w:ascii="宋体" w:eastAsia="宋体" w:hAnsi="宋体" w:cs="宋体"/>
          <w:b/>
          <w:bCs/>
          <w:szCs w:val="21"/>
        </w:rPr>
      </w:pPr>
      <w:bookmarkStart w:id="216" w:name="_Toc989108"/>
      <w:r>
        <w:rPr>
          <w:rFonts w:ascii="宋体" w:eastAsia="宋体" w:hAnsi="宋体" w:cs="宋体"/>
          <w:b/>
          <w:bCs/>
          <w:szCs w:val="21"/>
        </w:rPr>
        <w:t>5</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按欠款方归集的期末余额前五名的其他应收款情况</w:t>
      </w:r>
      <w:bookmarkEnd w:id="216"/>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6"/>
        <w:gridCol w:w="1606"/>
        <w:gridCol w:w="1606"/>
        <w:gridCol w:w="1607"/>
        <w:gridCol w:w="1607"/>
        <w:gridCol w:w="1607"/>
      </w:tblGrid>
      <w:tr w:rsidR="00A067C6">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款项的性质</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占其他应收款期末余额合计数的比例</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坏账准备期末余额</w:t>
            </w:r>
          </w:p>
        </w:tc>
      </w:tr>
      <w:tr w:rsidR="00A067C6">
        <w:trPr>
          <w:trHeight w:val="240"/>
        </w:trPr>
        <w:tc>
          <w:tcPr>
            <w:tcW w:w="1606" w:type="dxa"/>
            <w:vMerge w:val="restart"/>
            <w:tcBorders>
              <w:top w:val="single" w:sz="2" w:space="0" w:color="auto"/>
              <w:left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第一名</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补助款</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23,546,696.39</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年以内</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8.35%</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12,497,900.22</w:t>
            </w:r>
          </w:p>
        </w:tc>
      </w:tr>
      <w:tr w:rsidR="00A067C6">
        <w:trPr>
          <w:trHeight w:val="240"/>
        </w:trPr>
        <w:tc>
          <w:tcPr>
            <w:tcW w:w="1606" w:type="dxa"/>
            <w:vMerge/>
            <w:tcBorders>
              <w:left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补助款</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37,360,604.62</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至</w:t>
            </w:r>
            <w:r>
              <w:rPr>
                <w:rFonts w:ascii="宋体" w:eastAsia="宋体" w:hAnsi="宋体" w:cs="宋体"/>
                <w:sz w:val="18"/>
                <w:szCs w:val="18"/>
              </w:rPr>
              <w:t>3</w:t>
            </w:r>
            <w:r>
              <w:rPr>
                <w:rFonts w:ascii="宋体" w:eastAsia="宋体" w:hAnsi="宋体" w:cs="宋体"/>
                <w:sz w:val="18"/>
                <w:szCs w:val="18"/>
              </w:rPr>
              <w:t>年</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13.25%</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606" w:type="dxa"/>
            <w:vMerge/>
            <w:tcBorders>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补助款</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4,592,600.00</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5</w:t>
            </w:r>
            <w:r>
              <w:rPr>
                <w:rFonts w:ascii="宋体" w:eastAsia="宋体" w:hAnsi="宋体" w:cs="宋体"/>
                <w:sz w:val="18"/>
                <w:szCs w:val="18"/>
              </w:rPr>
              <w:t>年以上</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1.63%</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606" w:type="dxa"/>
            <w:vMerge w:val="restart"/>
            <w:tcBorders>
              <w:top w:val="single" w:sz="2" w:space="0" w:color="auto"/>
              <w:left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第二名</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补助款</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8,834,426.27</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年以内</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3.13%</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43,591,757.24</w:t>
            </w:r>
          </w:p>
        </w:tc>
      </w:tr>
      <w:tr w:rsidR="00A067C6">
        <w:trPr>
          <w:trHeight w:val="240"/>
        </w:trPr>
        <w:tc>
          <w:tcPr>
            <w:tcW w:w="1606" w:type="dxa"/>
            <w:vMerge/>
            <w:tcBorders>
              <w:left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补助款</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239,363.09</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至</w:t>
            </w:r>
            <w:r>
              <w:rPr>
                <w:rFonts w:ascii="宋体" w:eastAsia="宋体" w:hAnsi="宋体" w:cs="宋体"/>
                <w:sz w:val="18"/>
                <w:szCs w:val="18"/>
              </w:rPr>
              <w:t>3</w:t>
            </w:r>
            <w:r>
              <w:rPr>
                <w:rFonts w:ascii="宋体" w:eastAsia="宋体" w:hAnsi="宋体" w:cs="宋体"/>
                <w:sz w:val="18"/>
                <w:szCs w:val="18"/>
              </w:rPr>
              <w:t>年</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0.08%</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606" w:type="dxa"/>
            <w:vMerge/>
            <w:tcBorders>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补助款</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43,158,191.59</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5</w:t>
            </w:r>
            <w:r>
              <w:rPr>
                <w:rFonts w:ascii="宋体" w:eastAsia="宋体" w:hAnsi="宋体" w:cs="宋体"/>
                <w:sz w:val="18"/>
                <w:szCs w:val="18"/>
              </w:rPr>
              <w:t>年以上</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15.31%</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606" w:type="dxa"/>
            <w:vMerge w:val="restart"/>
            <w:tcBorders>
              <w:top w:val="single" w:sz="2" w:space="0" w:color="auto"/>
              <w:left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第三名</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补助款</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1,698,328.21</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年以内</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0.60%</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25,140,310.64</w:t>
            </w:r>
          </w:p>
        </w:tc>
      </w:tr>
      <w:tr w:rsidR="00A067C6">
        <w:trPr>
          <w:trHeight w:val="240"/>
        </w:trPr>
        <w:tc>
          <w:tcPr>
            <w:tcW w:w="1606" w:type="dxa"/>
            <w:vMerge/>
            <w:tcBorders>
              <w:left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补助款</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21,024,893.94</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4</w:t>
            </w:r>
            <w:r>
              <w:rPr>
                <w:rFonts w:ascii="宋体" w:eastAsia="宋体" w:hAnsi="宋体" w:cs="宋体"/>
                <w:sz w:val="18"/>
                <w:szCs w:val="18"/>
              </w:rPr>
              <w:t>至</w:t>
            </w:r>
            <w:r>
              <w:rPr>
                <w:rFonts w:ascii="宋体" w:eastAsia="宋体" w:hAnsi="宋体" w:cs="宋体"/>
                <w:sz w:val="18"/>
                <w:szCs w:val="18"/>
              </w:rPr>
              <w:t>5</w:t>
            </w:r>
            <w:r>
              <w:rPr>
                <w:rFonts w:ascii="宋体" w:eastAsia="宋体" w:hAnsi="宋体" w:cs="宋体"/>
                <w:sz w:val="18"/>
                <w:szCs w:val="18"/>
              </w:rPr>
              <w:t>年</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7.46%</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606" w:type="dxa"/>
            <w:vMerge/>
            <w:tcBorders>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补助款</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8,173,394.02</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5</w:t>
            </w:r>
            <w:r>
              <w:rPr>
                <w:rFonts w:ascii="宋体" w:eastAsia="宋体" w:hAnsi="宋体" w:cs="宋体"/>
                <w:sz w:val="18"/>
                <w:szCs w:val="18"/>
              </w:rPr>
              <w:t>年以上</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2.90%</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第四名</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第三方往来款</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30,000,000.00</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年以内</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10.64%</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1,500,000.00</w:t>
            </w:r>
          </w:p>
        </w:tc>
      </w:tr>
      <w:tr w:rsidR="00A067C6">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第五名</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第三方往来款</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21,477,996.11</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年以内</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7.62%</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10,710,403.54</w:t>
            </w:r>
          </w:p>
        </w:tc>
      </w:tr>
      <w:tr w:rsidR="00A067C6">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200,106,494.24</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70.99%</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93,440,371.64</w:t>
            </w:r>
          </w:p>
        </w:tc>
      </w:tr>
    </w:tbl>
    <w:p w:rsidR="00A067C6" w:rsidRDefault="005C4966">
      <w:pPr>
        <w:keepNext/>
        <w:keepLines/>
        <w:spacing w:before="300" w:after="300" w:line="280" w:lineRule="exact"/>
        <w:outlineLvl w:val="4"/>
        <w:rPr>
          <w:rFonts w:ascii="宋体" w:eastAsia="宋体" w:hAnsi="宋体" w:cs="宋体"/>
          <w:b/>
          <w:bCs/>
          <w:szCs w:val="21"/>
        </w:rPr>
      </w:pPr>
      <w:bookmarkStart w:id="217" w:name="_Toc989109"/>
      <w:r>
        <w:rPr>
          <w:rFonts w:ascii="宋体" w:eastAsia="宋体" w:hAnsi="宋体" w:cs="宋体"/>
          <w:b/>
          <w:bCs/>
          <w:szCs w:val="21"/>
        </w:rPr>
        <w:t>6</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涉及政府补助的应收款项</w:t>
      </w:r>
      <w:bookmarkEnd w:id="217"/>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3001"/>
        <w:gridCol w:w="1559"/>
        <w:gridCol w:w="1224"/>
        <w:gridCol w:w="1928"/>
      </w:tblGrid>
      <w:tr w:rsidR="00A067C6">
        <w:trPr>
          <w:cantSplit/>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300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政府补助项目名称</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22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期末账龄</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预计收取的时间、金额及依据</w:t>
            </w:r>
          </w:p>
        </w:tc>
      </w:tr>
      <w:tr w:rsidR="00A067C6">
        <w:trPr>
          <w:cantSplit/>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新疆生产建设兵团第七师财政局</w:t>
            </w:r>
          </w:p>
        </w:tc>
        <w:tc>
          <w:tcPr>
            <w:tcW w:w="30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出疆棉纱运费补贴、贷款贴息、生产补贴、色纺专项补贴、使用新疆棉补贴</w:t>
            </w: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8,834,426.27</w:t>
            </w:r>
          </w:p>
        </w:tc>
        <w:tc>
          <w:tcPr>
            <w:tcW w:w="122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年以内</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预计</w:t>
            </w:r>
            <w:r>
              <w:rPr>
                <w:rFonts w:ascii="宋体" w:eastAsia="宋体" w:hAnsi="宋体" w:cs="宋体"/>
                <w:sz w:val="18"/>
                <w:szCs w:val="18"/>
              </w:rPr>
              <w:t>2023</w:t>
            </w:r>
            <w:r>
              <w:rPr>
                <w:rFonts w:ascii="宋体" w:eastAsia="宋体" w:hAnsi="宋体" w:cs="宋体"/>
                <w:sz w:val="18"/>
                <w:szCs w:val="18"/>
              </w:rPr>
              <w:t>年收回</w:t>
            </w:r>
          </w:p>
        </w:tc>
      </w:tr>
      <w:tr w:rsidR="00A067C6">
        <w:trPr>
          <w:cantSplit/>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新疆生产建设兵团第七师财政局</w:t>
            </w:r>
          </w:p>
        </w:tc>
        <w:tc>
          <w:tcPr>
            <w:tcW w:w="30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出疆棉纱运费补贴、贷款贴息、生产补贴、色纺专项补贴、使用新疆棉补贴</w:t>
            </w: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239,363.09</w:t>
            </w:r>
          </w:p>
        </w:tc>
        <w:tc>
          <w:tcPr>
            <w:tcW w:w="122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至</w:t>
            </w:r>
            <w:r>
              <w:rPr>
                <w:rFonts w:ascii="宋体" w:eastAsia="宋体" w:hAnsi="宋体" w:cs="宋体"/>
                <w:sz w:val="18"/>
                <w:szCs w:val="18"/>
              </w:rPr>
              <w:t>3</w:t>
            </w:r>
            <w:r>
              <w:rPr>
                <w:rFonts w:ascii="宋体" w:eastAsia="宋体" w:hAnsi="宋体" w:cs="宋体"/>
                <w:sz w:val="18"/>
                <w:szCs w:val="18"/>
              </w:rPr>
              <w:t>年</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预计</w:t>
            </w:r>
            <w:r>
              <w:rPr>
                <w:rFonts w:ascii="宋体" w:eastAsia="宋体" w:hAnsi="宋体" w:cs="宋体"/>
                <w:sz w:val="18"/>
                <w:szCs w:val="18"/>
              </w:rPr>
              <w:t>2023</w:t>
            </w:r>
            <w:r>
              <w:rPr>
                <w:rFonts w:ascii="宋体" w:eastAsia="宋体" w:hAnsi="宋体" w:cs="宋体"/>
                <w:sz w:val="18"/>
                <w:szCs w:val="18"/>
              </w:rPr>
              <w:t>年收回</w:t>
            </w:r>
          </w:p>
        </w:tc>
      </w:tr>
      <w:tr w:rsidR="00A067C6">
        <w:trPr>
          <w:cantSplit/>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新疆生产建设兵团第七师财政局</w:t>
            </w:r>
          </w:p>
        </w:tc>
        <w:tc>
          <w:tcPr>
            <w:tcW w:w="30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出疆棉纱运费补贴、贷款贴息、生产补贴、色纺专项补贴、使用新疆棉补贴</w:t>
            </w: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43,158,191.59</w:t>
            </w:r>
          </w:p>
        </w:tc>
        <w:tc>
          <w:tcPr>
            <w:tcW w:w="122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5</w:t>
            </w:r>
            <w:r>
              <w:rPr>
                <w:rFonts w:ascii="宋体" w:eastAsia="宋体" w:hAnsi="宋体" w:cs="宋体"/>
                <w:sz w:val="18"/>
                <w:szCs w:val="18"/>
              </w:rPr>
              <w:t>年以上</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预计</w:t>
            </w:r>
            <w:r>
              <w:rPr>
                <w:rFonts w:ascii="宋体" w:eastAsia="宋体" w:hAnsi="宋体" w:cs="宋体"/>
                <w:sz w:val="18"/>
                <w:szCs w:val="18"/>
              </w:rPr>
              <w:t>2023</w:t>
            </w:r>
            <w:r>
              <w:rPr>
                <w:rFonts w:ascii="宋体" w:eastAsia="宋体" w:hAnsi="宋体" w:cs="宋体"/>
                <w:sz w:val="18"/>
                <w:szCs w:val="18"/>
              </w:rPr>
              <w:t>年收回</w:t>
            </w:r>
          </w:p>
        </w:tc>
      </w:tr>
      <w:tr w:rsidR="00A067C6">
        <w:trPr>
          <w:cantSplit/>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阿克苏纺织工业城（开发区）财政局</w:t>
            </w:r>
          </w:p>
        </w:tc>
        <w:tc>
          <w:tcPr>
            <w:tcW w:w="30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出疆棉补贴、电费补贴、税收返还</w:t>
            </w: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23,546,696.39</w:t>
            </w:r>
          </w:p>
        </w:tc>
        <w:tc>
          <w:tcPr>
            <w:tcW w:w="122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年以内</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预计</w:t>
            </w:r>
            <w:r>
              <w:rPr>
                <w:rFonts w:ascii="宋体" w:eastAsia="宋体" w:hAnsi="宋体" w:cs="宋体"/>
                <w:sz w:val="18"/>
                <w:szCs w:val="18"/>
              </w:rPr>
              <w:t>2023</w:t>
            </w:r>
            <w:r>
              <w:rPr>
                <w:rFonts w:ascii="宋体" w:eastAsia="宋体" w:hAnsi="宋体" w:cs="宋体"/>
                <w:sz w:val="18"/>
                <w:szCs w:val="18"/>
              </w:rPr>
              <w:t>年收回</w:t>
            </w:r>
          </w:p>
        </w:tc>
      </w:tr>
      <w:tr w:rsidR="00A067C6">
        <w:trPr>
          <w:cantSplit/>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阿克苏纺织工业城（开发区）财政局</w:t>
            </w:r>
          </w:p>
        </w:tc>
        <w:tc>
          <w:tcPr>
            <w:tcW w:w="30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出疆棉补贴、电费补贴、税收返还</w:t>
            </w: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37,360,604.62</w:t>
            </w:r>
          </w:p>
        </w:tc>
        <w:tc>
          <w:tcPr>
            <w:tcW w:w="122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至</w:t>
            </w:r>
            <w:r>
              <w:rPr>
                <w:rFonts w:ascii="宋体" w:eastAsia="宋体" w:hAnsi="宋体" w:cs="宋体"/>
                <w:sz w:val="18"/>
                <w:szCs w:val="18"/>
              </w:rPr>
              <w:t>3</w:t>
            </w:r>
            <w:r>
              <w:rPr>
                <w:rFonts w:ascii="宋体" w:eastAsia="宋体" w:hAnsi="宋体" w:cs="宋体"/>
                <w:sz w:val="18"/>
                <w:szCs w:val="18"/>
              </w:rPr>
              <w:t>年</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预计</w:t>
            </w:r>
            <w:r>
              <w:rPr>
                <w:rFonts w:ascii="宋体" w:eastAsia="宋体" w:hAnsi="宋体" w:cs="宋体"/>
                <w:sz w:val="18"/>
                <w:szCs w:val="18"/>
              </w:rPr>
              <w:t>2023</w:t>
            </w:r>
            <w:r>
              <w:rPr>
                <w:rFonts w:ascii="宋体" w:eastAsia="宋体" w:hAnsi="宋体" w:cs="宋体"/>
                <w:sz w:val="18"/>
                <w:szCs w:val="18"/>
              </w:rPr>
              <w:t>年收回</w:t>
            </w:r>
          </w:p>
        </w:tc>
      </w:tr>
      <w:tr w:rsidR="00A067C6">
        <w:trPr>
          <w:cantSplit/>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阿克苏纺织工业城（开发区）财政局</w:t>
            </w:r>
          </w:p>
        </w:tc>
        <w:tc>
          <w:tcPr>
            <w:tcW w:w="30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出疆棉补贴、电费补贴、税收返还</w:t>
            </w: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4,592,600.00</w:t>
            </w:r>
          </w:p>
        </w:tc>
        <w:tc>
          <w:tcPr>
            <w:tcW w:w="122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5</w:t>
            </w:r>
            <w:r>
              <w:rPr>
                <w:rFonts w:ascii="宋体" w:eastAsia="宋体" w:hAnsi="宋体" w:cs="宋体"/>
                <w:sz w:val="18"/>
                <w:szCs w:val="18"/>
              </w:rPr>
              <w:t>年以上</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预计</w:t>
            </w:r>
            <w:r>
              <w:rPr>
                <w:rFonts w:ascii="宋体" w:eastAsia="宋体" w:hAnsi="宋体" w:cs="宋体"/>
                <w:sz w:val="18"/>
                <w:szCs w:val="18"/>
              </w:rPr>
              <w:t>2023</w:t>
            </w:r>
            <w:r>
              <w:rPr>
                <w:rFonts w:ascii="宋体" w:eastAsia="宋体" w:hAnsi="宋体" w:cs="宋体"/>
                <w:sz w:val="18"/>
                <w:szCs w:val="18"/>
              </w:rPr>
              <w:t>年收回</w:t>
            </w:r>
          </w:p>
        </w:tc>
      </w:tr>
      <w:tr w:rsidR="00A067C6">
        <w:trPr>
          <w:cantSplit/>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新疆维吾尔自治区财政厅</w:t>
            </w:r>
          </w:p>
        </w:tc>
        <w:tc>
          <w:tcPr>
            <w:tcW w:w="30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出疆棉运费补贴</w:t>
            </w: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20,196,168.30</w:t>
            </w:r>
          </w:p>
        </w:tc>
        <w:tc>
          <w:tcPr>
            <w:tcW w:w="122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年以内</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预计</w:t>
            </w:r>
            <w:r>
              <w:rPr>
                <w:rFonts w:ascii="宋体" w:eastAsia="宋体" w:hAnsi="宋体" w:cs="宋体"/>
                <w:sz w:val="18"/>
                <w:szCs w:val="18"/>
              </w:rPr>
              <w:t>2023</w:t>
            </w:r>
            <w:r>
              <w:rPr>
                <w:rFonts w:ascii="宋体" w:eastAsia="宋体" w:hAnsi="宋体" w:cs="宋体"/>
                <w:sz w:val="18"/>
                <w:szCs w:val="18"/>
              </w:rPr>
              <w:t>年收回</w:t>
            </w:r>
          </w:p>
        </w:tc>
      </w:tr>
      <w:tr w:rsidR="00A067C6">
        <w:trPr>
          <w:cantSplit/>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新疆生产建设兵团第六师财政局</w:t>
            </w:r>
          </w:p>
        </w:tc>
        <w:tc>
          <w:tcPr>
            <w:tcW w:w="30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出疆棉运费补贴、贷款贴息、使用新疆棉补贴</w:t>
            </w: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1,698,328.21</w:t>
            </w:r>
          </w:p>
        </w:tc>
        <w:tc>
          <w:tcPr>
            <w:tcW w:w="122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年以内</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预计</w:t>
            </w:r>
            <w:r>
              <w:rPr>
                <w:rFonts w:ascii="宋体" w:eastAsia="宋体" w:hAnsi="宋体" w:cs="宋体"/>
                <w:sz w:val="18"/>
                <w:szCs w:val="18"/>
              </w:rPr>
              <w:t>2023</w:t>
            </w:r>
            <w:r>
              <w:rPr>
                <w:rFonts w:ascii="宋体" w:eastAsia="宋体" w:hAnsi="宋体" w:cs="宋体"/>
                <w:sz w:val="18"/>
                <w:szCs w:val="18"/>
              </w:rPr>
              <w:t>年收回</w:t>
            </w:r>
          </w:p>
        </w:tc>
      </w:tr>
      <w:tr w:rsidR="00A067C6">
        <w:trPr>
          <w:cantSplit/>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新疆生产建设兵团第六师财政局</w:t>
            </w:r>
          </w:p>
        </w:tc>
        <w:tc>
          <w:tcPr>
            <w:tcW w:w="30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出疆棉运费补贴、贷款贴息、使用新疆棉补贴</w:t>
            </w: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21,024,893.94</w:t>
            </w:r>
          </w:p>
        </w:tc>
        <w:tc>
          <w:tcPr>
            <w:tcW w:w="122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4</w:t>
            </w:r>
            <w:r>
              <w:rPr>
                <w:rFonts w:ascii="宋体" w:eastAsia="宋体" w:hAnsi="宋体" w:cs="宋体"/>
                <w:sz w:val="18"/>
                <w:szCs w:val="18"/>
              </w:rPr>
              <w:t>至</w:t>
            </w:r>
            <w:r>
              <w:rPr>
                <w:rFonts w:ascii="宋体" w:eastAsia="宋体" w:hAnsi="宋体" w:cs="宋体"/>
                <w:sz w:val="18"/>
                <w:szCs w:val="18"/>
              </w:rPr>
              <w:t>5</w:t>
            </w:r>
            <w:r>
              <w:rPr>
                <w:rFonts w:ascii="宋体" w:eastAsia="宋体" w:hAnsi="宋体" w:cs="宋体"/>
                <w:sz w:val="18"/>
                <w:szCs w:val="18"/>
              </w:rPr>
              <w:t>年</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预计</w:t>
            </w:r>
            <w:r>
              <w:rPr>
                <w:rFonts w:ascii="宋体" w:eastAsia="宋体" w:hAnsi="宋体" w:cs="宋体"/>
                <w:sz w:val="18"/>
                <w:szCs w:val="18"/>
              </w:rPr>
              <w:t>2023</w:t>
            </w:r>
            <w:r>
              <w:rPr>
                <w:rFonts w:ascii="宋体" w:eastAsia="宋体" w:hAnsi="宋体" w:cs="宋体"/>
                <w:sz w:val="18"/>
                <w:szCs w:val="18"/>
              </w:rPr>
              <w:t>年收回</w:t>
            </w:r>
          </w:p>
        </w:tc>
      </w:tr>
      <w:tr w:rsidR="00A067C6">
        <w:trPr>
          <w:cantSplit/>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新疆生产建设兵团第六师财政局</w:t>
            </w:r>
          </w:p>
        </w:tc>
        <w:tc>
          <w:tcPr>
            <w:tcW w:w="30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出疆棉运费补贴、贷款贴息、使用新疆棉补贴</w:t>
            </w: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8,173,394.02</w:t>
            </w:r>
          </w:p>
        </w:tc>
        <w:tc>
          <w:tcPr>
            <w:tcW w:w="122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5</w:t>
            </w:r>
            <w:r>
              <w:rPr>
                <w:rFonts w:ascii="宋体" w:eastAsia="宋体" w:hAnsi="宋体" w:cs="宋体"/>
                <w:sz w:val="18"/>
                <w:szCs w:val="18"/>
              </w:rPr>
              <w:t>年以上</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预计</w:t>
            </w:r>
            <w:r>
              <w:rPr>
                <w:rFonts w:ascii="宋体" w:eastAsia="宋体" w:hAnsi="宋体" w:cs="宋体"/>
                <w:sz w:val="18"/>
                <w:szCs w:val="18"/>
              </w:rPr>
              <w:t>2023</w:t>
            </w:r>
            <w:r>
              <w:rPr>
                <w:rFonts w:ascii="宋体" w:eastAsia="宋体" w:hAnsi="宋体" w:cs="宋体"/>
                <w:sz w:val="18"/>
                <w:szCs w:val="18"/>
              </w:rPr>
              <w:t>年收回</w:t>
            </w:r>
          </w:p>
        </w:tc>
      </w:tr>
      <w:tr w:rsidR="00A067C6">
        <w:trPr>
          <w:cantSplit/>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石河子市财政局</w:t>
            </w:r>
          </w:p>
        </w:tc>
        <w:tc>
          <w:tcPr>
            <w:tcW w:w="30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贷款贴息、使用新疆棉补贴、增值税返还</w:t>
            </w: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190,960.00</w:t>
            </w:r>
          </w:p>
        </w:tc>
        <w:tc>
          <w:tcPr>
            <w:tcW w:w="122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至</w:t>
            </w:r>
            <w:r>
              <w:rPr>
                <w:rFonts w:ascii="宋体" w:eastAsia="宋体" w:hAnsi="宋体" w:cs="宋体"/>
                <w:sz w:val="18"/>
                <w:szCs w:val="18"/>
              </w:rPr>
              <w:t>3</w:t>
            </w:r>
            <w:r>
              <w:rPr>
                <w:rFonts w:ascii="宋体" w:eastAsia="宋体" w:hAnsi="宋体" w:cs="宋体"/>
                <w:sz w:val="18"/>
                <w:szCs w:val="18"/>
              </w:rPr>
              <w:t>年</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预计</w:t>
            </w:r>
            <w:r>
              <w:rPr>
                <w:rFonts w:ascii="宋体" w:eastAsia="宋体" w:hAnsi="宋体" w:cs="宋体"/>
                <w:sz w:val="18"/>
                <w:szCs w:val="18"/>
              </w:rPr>
              <w:t>2023</w:t>
            </w:r>
            <w:r>
              <w:rPr>
                <w:rFonts w:ascii="宋体" w:eastAsia="宋体" w:hAnsi="宋体" w:cs="宋体"/>
                <w:sz w:val="18"/>
                <w:szCs w:val="18"/>
              </w:rPr>
              <w:t>年收回</w:t>
            </w:r>
          </w:p>
        </w:tc>
      </w:tr>
      <w:tr w:rsidR="00A067C6">
        <w:trPr>
          <w:cantSplit/>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石河子市财政局</w:t>
            </w:r>
          </w:p>
        </w:tc>
        <w:tc>
          <w:tcPr>
            <w:tcW w:w="30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贷款贴息、使用新疆棉补贴、增值税返还</w:t>
            </w: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13,915,394.11</w:t>
            </w:r>
          </w:p>
        </w:tc>
        <w:tc>
          <w:tcPr>
            <w:tcW w:w="122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4</w:t>
            </w:r>
            <w:r>
              <w:rPr>
                <w:rFonts w:ascii="宋体" w:eastAsia="宋体" w:hAnsi="宋体" w:cs="宋体"/>
                <w:sz w:val="18"/>
                <w:szCs w:val="18"/>
              </w:rPr>
              <w:t>至</w:t>
            </w:r>
            <w:r>
              <w:rPr>
                <w:rFonts w:ascii="宋体" w:eastAsia="宋体" w:hAnsi="宋体" w:cs="宋体"/>
                <w:sz w:val="18"/>
                <w:szCs w:val="18"/>
              </w:rPr>
              <w:t>5</w:t>
            </w:r>
            <w:r>
              <w:rPr>
                <w:rFonts w:ascii="宋体" w:eastAsia="宋体" w:hAnsi="宋体" w:cs="宋体"/>
                <w:sz w:val="18"/>
                <w:szCs w:val="18"/>
              </w:rPr>
              <w:t>年</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预计</w:t>
            </w:r>
            <w:r>
              <w:rPr>
                <w:rFonts w:ascii="宋体" w:eastAsia="宋体" w:hAnsi="宋体" w:cs="宋体"/>
                <w:sz w:val="18"/>
                <w:szCs w:val="18"/>
              </w:rPr>
              <w:t>2023</w:t>
            </w:r>
            <w:r>
              <w:rPr>
                <w:rFonts w:ascii="宋体" w:eastAsia="宋体" w:hAnsi="宋体" w:cs="宋体"/>
                <w:sz w:val="18"/>
                <w:szCs w:val="18"/>
              </w:rPr>
              <w:t>年收回</w:t>
            </w:r>
          </w:p>
        </w:tc>
      </w:tr>
      <w:tr w:rsidR="00A067C6">
        <w:trPr>
          <w:cantSplit/>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石河子市财政局</w:t>
            </w:r>
          </w:p>
        </w:tc>
        <w:tc>
          <w:tcPr>
            <w:tcW w:w="30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贷款贴息、使用新疆棉补贴、增值税返还</w:t>
            </w: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5,284,000.99</w:t>
            </w:r>
          </w:p>
        </w:tc>
        <w:tc>
          <w:tcPr>
            <w:tcW w:w="122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5</w:t>
            </w:r>
            <w:r>
              <w:rPr>
                <w:rFonts w:ascii="宋体" w:eastAsia="宋体" w:hAnsi="宋体" w:cs="宋体"/>
                <w:sz w:val="18"/>
                <w:szCs w:val="18"/>
              </w:rPr>
              <w:t>年以上</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预计</w:t>
            </w:r>
            <w:r>
              <w:rPr>
                <w:rFonts w:ascii="宋体" w:eastAsia="宋体" w:hAnsi="宋体" w:cs="宋体"/>
                <w:sz w:val="18"/>
                <w:szCs w:val="18"/>
              </w:rPr>
              <w:t>2023</w:t>
            </w:r>
            <w:r>
              <w:rPr>
                <w:rFonts w:ascii="宋体" w:eastAsia="宋体" w:hAnsi="宋体" w:cs="宋体"/>
                <w:sz w:val="18"/>
                <w:szCs w:val="18"/>
              </w:rPr>
              <w:t>年收回</w:t>
            </w:r>
          </w:p>
        </w:tc>
      </w:tr>
      <w:tr w:rsidR="00A067C6">
        <w:trPr>
          <w:cantSplit/>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合计</w:t>
            </w:r>
          </w:p>
        </w:tc>
        <w:tc>
          <w:tcPr>
            <w:tcW w:w="300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188,215,021.53</w:t>
            </w:r>
          </w:p>
        </w:tc>
        <w:tc>
          <w:tcPr>
            <w:tcW w:w="122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bl>
    <w:p w:rsidR="00A067C6" w:rsidRDefault="005C4966">
      <w:pPr>
        <w:keepNext/>
        <w:keepLines/>
        <w:spacing w:before="300" w:after="300" w:line="280" w:lineRule="exact"/>
        <w:outlineLvl w:val="4"/>
        <w:rPr>
          <w:rFonts w:ascii="宋体" w:eastAsia="宋体" w:hAnsi="宋体" w:cs="宋体"/>
          <w:b/>
          <w:bCs/>
          <w:szCs w:val="21"/>
        </w:rPr>
      </w:pPr>
      <w:bookmarkStart w:id="218" w:name="_Toc989110"/>
      <w:r>
        <w:rPr>
          <w:rFonts w:ascii="宋体" w:eastAsia="宋体" w:hAnsi="宋体" w:cs="宋体"/>
          <w:b/>
          <w:bCs/>
          <w:szCs w:val="21"/>
        </w:rPr>
        <w:t>7</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因金融资产转移而终止确认的其他应收款</w:t>
      </w:r>
      <w:bookmarkEnd w:id="218"/>
    </w:p>
    <w:p w:rsidR="00A067C6" w:rsidRDefault="005C4966">
      <w:pPr>
        <w:pStyle w:val="a6"/>
        <w:rPr>
          <w:sz w:val="18"/>
          <w:szCs w:val="18"/>
        </w:rPr>
      </w:pPr>
      <w:r>
        <w:rPr>
          <w:rFonts w:hint="eastAsia"/>
          <w:sz w:val="18"/>
          <w:szCs w:val="18"/>
        </w:rPr>
        <w:t>无。</w:t>
      </w:r>
    </w:p>
    <w:p w:rsidR="00A067C6" w:rsidRDefault="005C4966">
      <w:pPr>
        <w:keepNext/>
        <w:keepLines/>
        <w:spacing w:before="300" w:after="300" w:line="280" w:lineRule="exact"/>
        <w:outlineLvl w:val="4"/>
        <w:rPr>
          <w:rFonts w:ascii="宋体" w:eastAsia="宋体" w:hAnsi="宋体" w:cs="宋体"/>
          <w:b/>
          <w:bCs/>
          <w:szCs w:val="21"/>
        </w:rPr>
      </w:pPr>
      <w:bookmarkStart w:id="219" w:name="_Toc989111"/>
      <w:r>
        <w:rPr>
          <w:rFonts w:ascii="宋体" w:eastAsia="宋体" w:hAnsi="宋体" w:cs="宋体"/>
          <w:b/>
          <w:bCs/>
          <w:szCs w:val="21"/>
        </w:rPr>
        <w:t>8</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转移其他应收款且继续涉入形成的资产、负债金额</w:t>
      </w:r>
      <w:bookmarkEnd w:id="219"/>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pStyle w:val="3"/>
        <w:spacing w:line="280" w:lineRule="exact"/>
        <w:jc w:val="left"/>
        <w:rPr>
          <w:rFonts w:ascii="宋体" w:hAnsi="宋体" w:cs="宋体"/>
          <w:b/>
          <w:bCs/>
        </w:rPr>
      </w:pPr>
      <w:bookmarkStart w:id="220" w:name="_Toc989112"/>
      <w:r>
        <w:rPr>
          <w:rFonts w:ascii="宋体" w:hAnsi="宋体" w:cs="宋体"/>
          <w:b/>
          <w:bCs/>
        </w:rPr>
        <w:t>9</w:t>
      </w:r>
      <w:r>
        <w:rPr>
          <w:rFonts w:ascii="宋体" w:hAnsi="宋体" w:cs="宋体"/>
          <w:b/>
          <w:bCs/>
        </w:rPr>
        <w:t>、存货</w:t>
      </w:r>
      <w:bookmarkEnd w:id="220"/>
    </w:p>
    <w:p w:rsidR="00A067C6" w:rsidRDefault="005C4966">
      <w:pPr>
        <w:spacing w:line="240" w:lineRule="exact"/>
        <w:rPr>
          <w:rFonts w:ascii="宋体" w:eastAsia="宋体" w:hAnsi="宋体" w:cs="宋体"/>
          <w:sz w:val="18"/>
          <w:szCs w:val="18"/>
        </w:rPr>
      </w:pPr>
      <w:r>
        <w:rPr>
          <w:rFonts w:ascii="宋体" w:eastAsia="宋体" w:hAnsi="宋体" w:cs="宋体"/>
          <w:sz w:val="18"/>
          <w:szCs w:val="18"/>
        </w:rPr>
        <w:t>公司是否需要遵守房地产行业的披露要求</w:t>
      </w:r>
    </w:p>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p w:rsidR="00A067C6" w:rsidRDefault="005C4966">
      <w:pPr>
        <w:keepNext/>
        <w:keepLines/>
        <w:spacing w:before="300" w:after="300" w:line="280" w:lineRule="exact"/>
        <w:outlineLvl w:val="3"/>
        <w:rPr>
          <w:rFonts w:ascii="宋体" w:eastAsia="宋体" w:hAnsi="宋体" w:cs="宋体"/>
          <w:b/>
          <w:bCs/>
          <w:szCs w:val="21"/>
        </w:rPr>
      </w:pPr>
      <w:bookmarkStart w:id="221" w:name="_Toc989113"/>
      <w:r>
        <w:rPr>
          <w:rFonts w:ascii="宋体" w:eastAsia="宋体" w:hAnsi="宋体" w:cs="宋体"/>
          <w:b/>
          <w:bCs/>
          <w:szCs w:val="21"/>
        </w:rPr>
        <w:t>（</w:t>
      </w:r>
      <w:r>
        <w:rPr>
          <w:rFonts w:ascii="宋体" w:eastAsia="宋体" w:hAnsi="宋体" w:cs="宋体"/>
          <w:b/>
          <w:bCs/>
          <w:szCs w:val="21"/>
        </w:rPr>
        <w:t>1</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存货分类</w:t>
      </w:r>
      <w:bookmarkEnd w:id="221"/>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A067C6">
        <w:trPr>
          <w:cantSplit/>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A067C6">
        <w:trPr>
          <w:cantSplit/>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存货跌价准备或合同履约成本减值准备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存货跌价准备或合同履约成本减值准备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A067C6">
        <w:trPr>
          <w:cantSplit/>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原材料</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912,487,273.37</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51,173,965.39</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861,313,307.98</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2,993,589,109.46</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86,680,947.48</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2,906,908,161.98</w:t>
            </w:r>
          </w:p>
        </w:tc>
      </w:tr>
      <w:tr w:rsidR="00A067C6">
        <w:trPr>
          <w:cantSplit/>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在产品</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206,576,960.40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6,494,311.21</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200,082,649.19</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249,390,977.12</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15,406,278.32</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233,984,698.80</w:t>
            </w:r>
          </w:p>
        </w:tc>
      </w:tr>
      <w:tr w:rsidR="00A067C6">
        <w:trPr>
          <w:cantSplit/>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库存商品</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1,980,391,456.83</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20,360,442.80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1,960,031,014.03</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2,222,220,838.86</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203,551,247.41</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2,018,669,591.45</w:t>
            </w:r>
          </w:p>
        </w:tc>
      </w:tr>
      <w:tr w:rsidR="00A067C6">
        <w:trPr>
          <w:cantSplit/>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周转材料</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24,087,118.42</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24,087,118.42</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17,762,008.12</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17,762,008.12</w:t>
            </w:r>
          </w:p>
        </w:tc>
      </w:tr>
      <w:tr w:rsidR="00A067C6">
        <w:trPr>
          <w:cantSplit/>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发出商品</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41,012,387.15</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41,012,387.15</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26,891,246.86</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26,891,246.86</w:t>
            </w:r>
          </w:p>
        </w:tc>
      </w:tr>
      <w:tr w:rsidR="00A067C6">
        <w:trPr>
          <w:cantSplit/>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委托加工物资</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3,064,340.31</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3,064,340.31</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3,770,596.29</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3,770,596.29</w:t>
            </w:r>
          </w:p>
        </w:tc>
      </w:tr>
      <w:tr w:rsidR="00A067C6">
        <w:trPr>
          <w:cantSplit/>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自制半成品</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126,047,167.47</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126,047,167.47</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129,511,877.34</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129,511,877.34</w:t>
            </w:r>
          </w:p>
        </w:tc>
      </w:tr>
      <w:tr w:rsidR="00A067C6">
        <w:trPr>
          <w:cantSplit/>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3,293,666,703.95</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78,028,719.40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3,215,637,984.55</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5,643,136,654.05</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305,638,473.21</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5,337,498,180.84</w:t>
            </w:r>
          </w:p>
        </w:tc>
      </w:tr>
    </w:tbl>
    <w:p w:rsidR="00A067C6" w:rsidRDefault="005C4966">
      <w:pPr>
        <w:keepNext/>
        <w:keepLines/>
        <w:spacing w:before="300" w:after="300" w:line="280" w:lineRule="exact"/>
        <w:outlineLvl w:val="3"/>
        <w:rPr>
          <w:rFonts w:ascii="宋体" w:eastAsia="宋体" w:hAnsi="宋体" w:cs="宋体"/>
          <w:b/>
          <w:bCs/>
          <w:szCs w:val="21"/>
        </w:rPr>
      </w:pPr>
      <w:bookmarkStart w:id="222" w:name="_Toc989114"/>
      <w:r>
        <w:rPr>
          <w:rFonts w:ascii="宋体" w:eastAsia="宋体" w:hAnsi="宋体" w:cs="宋体"/>
          <w:b/>
          <w:bCs/>
          <w:szCs w:val="21"/>
        </w:rPr>
        <w:t>（</w:t>
      </w:r>
      <w:r>
        <w:rPr>
          <w:rFonts w:ascii="宋体" w:eastAsia="宋体" w:hAnsi="宋体" w:cs="宋体"/>
          <w:b/>
          <w:bCs/>
          <w:szCs w:val="21"/>
        </w:rPr>
        <w:t>2</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存货跌价准备和合同履约成本减值准备</w:t>
      </w:r>
      <w:bookmarkEnd w:id="222"/>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59"/>
        <w:gridCol w:w="1795"/>
        <w:gridCol w:w="1040"/>
        <w:gridCol w:w="1134"/>
        <w:gridCol w:w="1957"/>
        <w:gridCol w:w="1020"/>
        <w:gridCol w:w="1734"/>
      </w:tblGrid>
      <w:tr w:rsidR="00A067C6">
        <w:trPr>
          <w:trHeight w:val="240"/>
        </w:trPr>
        <w:tc>
          <w:tcPr>
            <w:tcW w:w="959"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79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217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本期增加金额</w:t>
            </w:r>
          </w:p>
        </w:tc>
        <w:tc>
          <w:tcPr>
            <w:tcW w:w="2977"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本期减少金额</w:t>
            </w:r>
          </w:p>
        </w:tc>
        <w:tc>
          <w:tcPr>
            <w:tcW w:w="1734"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A067C6">
        <w:trPr>
          <w:trHeight w:val="240"/>
        </w:trPr>
        <w:tc>
          <w:tcPr>
            <w:tcW w:w="959"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pPr>
              <w:jc w:val="center"/>
            </w:pPr>
          </w:p>
        </w:tc>
        <w:tc>
          <w:tcPr>
            <w:tcW w:w="179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04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95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转回或转销</w:t>
            </w:r>
          </w:p>
        </w:tc>
        <w:tc>
          <w:tcPr>
            <w:tcW w:w="10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734"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95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原材料</w:t>
            </w:r>
          </w:p>
        </w:tc>
        <w:tc>
          <w:tcPr>
            <w:tcW w:w="179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86,680,947.48</w:t>
            </w:r>
          </w:p>
        </w:tc>
        <w:tc>
          <w:tcPr>
            <w:tcW w:w="104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5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35,506,982.09</w:t>
            </w:r>
          </w:p>
        </w:tc>
        <w:tc>
          <w:tcPr>
            <w:tcW w:w="102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51,173,965.39</w:t>
            </w:r>
          </w:p>
        </w:tc>
      </w:tr>
      <w:tr w:rsidR="00A067C6">
        <w:trPr>
          <w:trHeight w:val="240"/>
        </w:trPr>
        <w:tc>
          <w:tcPr>
            <w:tcW w:w="95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在产品</w:t>
            </w:r>
          </w:p>
        </w:tc>
        <w:tc>
          <w:tcPr>
            <w:tcW w:w="179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15,406,278.32</w:t>
            </w:r>
          </w:p>
        </w:tc>
        <w:tc>
          <w:tcPr>
            <w:tcW w:w="104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5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8,911,967.11</w:t>
            </w:r>
          </w:p>
        </w:tc>
        <w:tc>
          <w:tcPr>
            <w:tcW w:w="102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6,494,311.21</w:t>
            </w:r>
          </w:p>
        </w:tc>
      </w:tr>
      <w:tr w:rsidR="00A067C6">
        <w:trPr>
          <w:trHeight w:val="240"/>
        </w:trPr>
        <w:tc>
          <w:tcPr>
            <w:tcW w:w="95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库存商品</w:t>
            </w:r>
          </w:p>
        </w:tc>
        <w:tc>
          <w:tcPr>
            <w:tcW w:w="179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203,551,247.41</w:t>
            </w:r>
          </w:p>
        </w:tc>
        <w:tc>
          <w:tcPr>
            <w:tcW w:w="104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5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183,190,804.61</w:t>
            </w:r>
          </w:p>
        </w:tc>
        <w:tc>
          <w:tcPr>
            <w:tcW w:w="102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20,360,442.80</w:t>
            </w:r>
          </w:p>
        </w:tc>
      </w:tr>
      <w:tr w:rsidR="00A067C6">
        <w:trPr>
          <w:trHeight w:val="240"/>
        </w:trPr>
        <w:tc>
          <w:tcPr>
            <w:tcW w:w="95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179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305,638,473.21</w:t>
            </w:r>
          </w:p>
        </w:tc>
        <w:tc>
          <w:tcPr>
            <w:tcW w:w="104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5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227,609,753.81</w:t>
            </w:r>
          </w:p>
        </w:tc>
        <w:tc>
          <w:tcPr>
            <w:tcW w:w="102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78,028,719.40</w:t>
            </w:r>
          </w:p>
        </w:tc>
      </w:tr>
    </w:tbl>
    <w:p w:rsidR="00A067C6" w:rsidRDefault="005C4966">
      <w:pPr>
        <w:keepNext/>
        <w:keepLines/>
        <w:spacing w:before="300" w:after="300" w:line="280" w:lineRule="exact"/>
        <w:outlineLvl w:val="3"/>
        <w:rPr>
          <w:rFonts w:ascii="宋体" w:eastAsia="宋体" w:hAnsi="宋体" w:cs="宋体"/>
          <w:b/>
          <w:bCs/>
          <w:szCs w:val="21"/>
        </w:rPr>
      </w:pPr>
      <w:bookmarkStart w:id="223" w:name="_Toc989115"/>
      <w:r>
        <w:rPr>
          <w:rFonts w:ascii="宋体" w:eastAsia="宋体" w:hAnsi="宋体" w:cs="宋体"/>
          <w:b/>
          <w:bCs/>
          <w:szCs w:val="21"/>
        </w:rPr>
        <w:t>（</w:t>
      </w:r>
      <w:r>
        <w:rPr>
          <w:rFonts w:ascii="宋体" w:eastAsia="宋体" w:hAnsi="宋体" w:cs="宋体"/>
          <w:b/>
          <w:bCs/>
          <w:szCs w:val="21"/>
        </w:rPr>
        <w:t>3</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存货期末余额含有借款费用资本化金额的说明</w:t>
      </w:r>
      <w:bookmarkEnd w:id="223"/>
    </w:p>
    <w:p w:rsidR="00A067C6" w:rsidRDefault="005C4966">
      <w:pPr>
        <w:pStyle w:val="a6"/>
        <w:rPr>
          <w:sz w:val="18"/>
          <w:szCs w:val="18"/>
        </w:rPr>
      </w:pPr>
      <w:r>
        <w:rPr>
          <w:rFonts w:hint="eastAsia"/>
          <w:sz w:val="18"/>
          <w:szCs w:val="18"/>
        </w:rPr>
        <w:t>无。</w:t>
      </w:r>
    </w:p>
    <w:p w:rsidR="00A067C6" w:rsidRDefault="005C4966">
      <w:pPr>
        <w:keepNext/>
        <w:keepLines/>
        <w:spacing w:before="300" w:after="300" w:line="280" w:lineRule="exact"/>
        <w:outlineLvl w:val="3"/>
        <w:rPr>
          <w:rFonts w:ascii="宋体" w:eastAsia="宋体" w:hAnsi="宋体" w:cs="宋体"/>
          <w:b/>
          <w:bCs/>
          <w:szCs w:val="21"/>
        </w:rPr>
      </w:pPr>
      <w:bookmarkStart w:id="224" w:name="_Toc989116"/>
      <w:r>
        <w:rPr>
          <w:rFonts w:ascii="宋体" w:eastAsia="宋体" w:hAnsi="宋体" w:cs="宋体"/>
          <w:b/>
          <w:bCs/>
          <w:szCs w:val="21"/>
        </w:rPr>
        <w:t>（</w:t>
      </w:r>
      <w:r>
        <w:rPr>
          <w:rFonts w:ascii="宋体" w:eastAsia="宋体" w:hAnsi="宋体" w:cs="宋体"/>
          <w:b/>
          <w:bCs/>
          <w:szCs w:val="21"/>
        </w:rPr>
        <w:t>4</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合同履约成本本期摊销金额的说明</w:t>
      </w:r>
      <w:bookmarkEnd w:id="224"/>
    </w:p>
    <w:p w:rsidR="00A067C6" w:rsidRDefault="005C4966">
      <w:pPr>
        <w:pStyle w:val="a6"/>
        <w:rPr>
          <w:sz w:val="18"/>
          <w:szCs w:val="18"/>
        </w:rPr>
      </w:pPr>
      <w:r>
        <w:rPr>
          <w:rFonts w:hint="eastAsia"/>
          <w:sz w:val="18"/>
          <w:szCs w:val="18"/>
        </w:rPr>
        <w:t>无。</w:t>
      </w:r>
    </w:p>
    <w:p w:rsidR="00A067C6" w:rsidRDefault="005C4966">
      <w:pPr>
        <w:pStyle w:val="3"/>
        <w:spacing w:line="280" w:lineRule="exact"/>
        <w:jc w:val="left"/>
        <w:rPr>
          <w:rFonts w:ascii="宋体" w:hAnsi="宋体" w:cs="宋体"/>
          <w:b/>
          <w:bCs/>
        </w:rPr>
      </w:pPr>
      <w:bookmarkStart w:id="225" w:name="_Toc989117"/>
      <w:r>
        <w:rPr>
          <w:rFonts w:ascii="宋体" w:hAnsi="宋体" w:cs="宋体"/>
          <w:b/>
          <w:bCs/>
        </w:rPr>
        <w:t>10</w:t>
      </w:r>
      <w:r>
        <w:rPr>
          <w:rFonts w:ascii="宋体" w:hAnsi="宋体" w:cs="宋体"/>
          <w:b/>
          <w:bCs/>
        </w:rPr>
        <w:t>、合同资产</w:t>
      </w:r>
      <w:bookmarkEnd w:id="225"/>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合同资产的账面价值在本期内发生的重大变动金额和原因：</w:t>
      </w:r>
      <w:r>
        <w:rPr>
          <w:rFonts w:ascii="宋体" w:eastAsia="宋体" w:hAnsi="宋体" w:cs="宋体" w:hint="eastAsia"/>
          <w:sz w:val="18"/>
          <w:szCs w:val="18"/>
        </w:rPr>
        <w:t>无</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如是按照预期信用损失一般模型计提合同资产减值准备，请参照其他应收款的披露方式披露减值准备的相关信息：</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本期合同资产计提减值准备情况：</w:t>
      </w:r>
      <w:r>
        <w:rPr>
          <w:rFonts w:ascii="宋体" w:eastAsia="宋体" w:hAnsi="宋体" w:cs="宋体" w:hint="eastAsia"/>
          <w:sz w:val="18"/>
          <w:szCs w:val="18"/>
        </w:rPr>
        <w:t>无</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ascii="宋体" w:eastAsia="宋体" w:hAnsi="宋体" w:cs="宋体" w:hint="eastAsia"/>
          <w:sz w:val="18"/>
          <w:szCs w:val="18"/>
        </w:rPr>
        <w:t>：</w:t>
      </w:r>
      <w:r>
        <w:rPr>
          <w:rFonts w:hint="eastAsia"/>
          <w:sz w:val="18"/>
          <w:szCs w:val="18"/>
        </w:rPr>
        <w:t>无。</w:t>
      </w:r>
    </w:p>
    <w:p w:rsidR="00A067C6" w:rsidRDefault="005C4966">
      <w:pPr>
        <w:pStyle w:val="3"/>
        <w:spacing w:line="280" w:lineRule="exact"/>
        <w:jc w:val="left"/>
        <w:rPr>
          <w:rFonts w:ascii="宋体" w:hAnsi="宋体" w:cs="宋体"/>
          <w:b/>
          <w:bCs/>
        </w:rPr>
      </w:pPr>
      <w:bookmarkStart w:id="226" w:name="_Toc989118"/>
      <w:r>
        <w:rPr>
          <w:rFonts w:ascii="宋体" w:hAnsi="宋体" w:cs="宋体"/>
          <w:b/>
          <w:bCs/>
        </w:rPr>
        <w:t>11</w:t>
      </w:r>
      <w:r>
        <w:rPr>
          <w:rFonts w:ascii="宋体" w:hAnsi="宋体" w:cs="宋体"/>
          <w:b/>
          <w:bCs/>
        </w:rPr>
        <w:t>、持有待售资产</w:t>
      </w:r>
      <w:bookmarkEnd w:id="226"/>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ascii="宋体" w:eastAsia="宋体" w:hAnsi="宋体" w:cs="宋体" w:hint="eastAsia"/>
          <w:sz w:val="18"/>
          <w:szCs w:val="18"/>
        </w:rPr>
        <w:t>：</w:t>
      </w:r>
      <w:r>
        <w:rPr>
          <w:rFonts w:hint="eastAsia"/>
          <w:sz w:val="18"/>
          <w:szCs w:val="18"/>
        </w:rPr>
        <w:t>无。</w:t>
      </w:r>
    </w:p>
    <w:p w:rsidR="00A067C6" w:rsidRDefault="005C4966">
      <w:pPr>
        <w:pStyle w:val="3"/>
        <w:spacing w:line="280" w:lineRule="exact"/>
        <w:jc w:val="left"/>
        <w:rPr>
          <w:rFonts w:ascii="宋体" w:hAnsi="宋体" w:cs="宋体"/>
          <w:b/>
          <w:bCs/>
        </w:rPr>
      </w:pPr>
      <w:bookmarkStart w:id="227" w:name="_Toc989119"/>
      <w:r>
        <w:rPr>
          <w:rFonts w:ascii="宋体" w:hAnsi="宋体" w:cs="宋体"/>
          <w:b/>
          <w:bCs/>
        </w:rPr>
        <w:t>12</w:t>
      </w:r>
      <w:r>
        <w:rPr>
          <w:rFonts w:ascii="宋体" w:hAnsi="宋体" w:cs="宋体"/>
          <w:b/>
          <w:bCs/>
        </w:rPr>
        <w:t>、一年内到期的非流动资产</w:t>
      </w:r>
      <w:bookmarkEnd w:id="227"/>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一年内到期的长期应收款重分类</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4,486,244.14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1,540,187.78</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4,486,244.14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1,540,187.78</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pStyle w:val="3"/>
        <w:spacing w:line="280" w:lineRule="exact"/>
        <w:jc w:val="left"/>
        <w:rPr>
          <w:rFonts w:ascii="宋体" w:hAnsi="宋体" w:cs="宋体"/>
          <w:b/>
          <w:bCs/>
        </w:rPr>
      </w:pPr>
      <w:bookmarkStart w:id="228" w:name="_Toc989120"/>
      <w:r>
        <w:rPr>
          <w:rFonts w:ascii="宋体" w:hAnsi="宋体" w:cs="宋体"/>
          <w:b/>
          <w:bCs/>
        </w:rPr>
        <w:t>13</w:t>
      </w:r>
      <w:r>
        <w:rPr>
          <w:rFonts w:ascii="宋体" w:hAnsi="宋体" w:cs="宋体"/>
          <w:b/>
          <w:bCs/>
        </w:rPr>
        <w:t>、其他流动资产</w:t>
      </w:r>
      <w:bookmarkEnd w:id="228"/>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增值税留抵扣额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103,589,765.67</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156,323,361.62</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以抵销后净额列示的所得税预缴税额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1,138,331.75</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15,339,092.28</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104,728,097.42</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171,662,453.90</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pStyle w:val="3"/>
        <w:spacing w:line="280" w:lineRule="exact"/>
        <w:jc w:val="left"/>
        <w:rPr>
          <w:rFonts w:ascii="宋体" w:hAnsi="宋体" w:cs="宋体"/>
          <w:b/>
          <w:bCs/>
        </w:rPr>
      </w:pPr>
      <w:bookmarkStart w:id="229" w:name="_Toc989121"/>
      <w:r>
        <w:rPr>
          <w:rFonts w:ascii="宋体" w:hAnsi="宋体" w:cs="宋体"/>
          <w:b/>
          <w:bCs/>
        </w:rPr>
        <w:t>14</w:t>
      </w:r>
      <w:r>
        <w:rPr>
          <w:rFonts w:ascii="宋体" w:hAnsi="宋体" w:cs="宋体"/>
          <w:b/>
          <w:bCs/>
        </w:rPr>
        <w:t>、债权投资</w:t>
      </w:r>
      <w:bookmarkEnd w:id="229"/>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损失准备本期变动金额重大的账面余额变动情况</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pStyle w:val="3"/>
        <w:spacing w:line="280" w:lineRule="exact"/>
        <w:jc w:val="left"/>
        <w:rPr>
          <w:rFonts w:ascii="宋体" w:hAnsi="宋体" w:cs="宋体"/>
          <w:b/>
          <w:bCs/>
        </w:rPr>
      </w:pPr>
      <w:bookmarkStart w:id="230" w:name="_Toc989122"/>
      <w:r>
        <w:rPr>
          <w:rFonts w:ascii="宋体" w:hAnsi="宋体" w:cs="宋体"/>
          <w:b/>
          <w:bCs/>
        </w:rPr>
        <w:t>15</w:t>
      </w:r>
      <w:r>
        <w:rPr>
          <w:rFonts w:ascii="宋体" w:hAnsi="宋体" w:cs="宋体"/>
          <w:b/>
          <w:bCs/>
        </w:rPr>
        <w:t>、其他债权投资</w:t>
      </w:r>
      <w:bookmarkEnd w:id="230"/>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损失准备本期变动金额重大的账面余额变动情况</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pStyle w:val="3"/>
        <w:spacing w:line="280" w:lineRule="exact"/>
        <w:jc w:val="left"/>
        <w:rPr>
          <w:rFonts w:ascii="宋体" w:hAnsi="宋体" w:cs="宋体"/>
          <w:b/>
          <w:bCs/>
        </w:rPr>
      </w:pPr>
      <w:bookmarkStart w:id="231" w:name="_Toc989123"/>
      <w:r>
        <w:rPr>
          <w:rFonts w:ascii="宋体" w:hAnsi="宋体" w:cs="宋体"/>
          <w:b/>
          <w:bCs/>
        </w:rPr>
        <w:t>16</w:t>
      </w:r>
      <w:r>
        <w:rPr>
          <w:rFonts w:ascii="宋体" w:hAnsi="宋体" w:cs="宋体"/>
          <w:b/>
          <w:bCs/>
        </w:rPr>
        <w:t>、长期应收款</w:t>
      </w:r>
      <w:bookmarkEnd w:id="231"/>
    </w:p>
    <w:p w:rsidR="00A067C6" w:rsidRDefault="005C4966">
      <w:pPr>
        <w:keepNext/>
        <w:keepLines/>
        <w:spacing w:before="300" w:after="300" w:line="280" w:lineRule="exact"/>
        <w:outlineLvl w:val="3"/>
        <w:rPr>
          <w:rFonts w:ascii="宋体" w:eastAsia="宋体" w:hAnsi="宋体" w:cs="宋体"/>
          <w:b/>
          <w:bCs/>
          <w:szCs w:val="21"/>
        </w:rPr>
      </w:pPr>
      <w:bookmarkStart w:id="232" w:name="_Toc989124"/>
      <w:r>
        <w:rPr>
          <w:rFonts w:ascii="宋体" w:eastAsia="宋体" w:hAnsi="宋体" w:cs="宋体"/>
          <w:b/>
          <w:bCs/>
          <w:szCs w:val="21"/>
        </w:rPr>
        <w:t>（</w:t>
      </w:r>
      <w:r>
        <w:rPr>
          <w:rFonts w:ascii="宋体" w:eastAsia="宋体" w:hAnsi="宋体" w:cs="宋体"/>
          <w:b/>
          <w:bCs/>
          <w:szCs w:val="21"/>
        </w:rPr>
        <w:t>1</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长期应收款情况</w:t>
      </w:r>
      <w:bookmarkEnd w:id="232"/>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04"/>
        <w:gridCol w:w="1031"/>
        <w:gridCol w:w="992"/>
        <w:gridCol w:w="992"/>
        <w:gridCol w:w="1418"/>
        <w:gridCol w:w="1417"/>
        <w:gridCol w:w="1380"/>
        <w:gridCol w:w="1205"/>
      </w:tblGrid>
      <w:tr w:rsidR="00A067C6">
        <w:trPr>
          <w:trHeight w:val="240"/>
        </w:trPr>
        <w:tc>
          <w:tcPr>
            <w:tcW w:w="1204"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015"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215"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折现率区间</w:t>
            </w:r>
          </w:p>
        </w:tc>
      </w:tr>
      <w:tr w:rsidR="00A067C6">
        <w:trPr>
          <w:trHeight w:val="240"/>
        </w:trPr>
        <w:tc>
          <w:tcPr>
            <w:tcW w:w="1204"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03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41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41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38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120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融资租赁款</w:t>
            </w:r>
          </w:p>
        </w:tc>
        <w:tc>
          <w:tcPr>
            <w:tcW w:w="103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4,918,512.88</w:t>
            </w:r>
          </w:p>
        </w:tc>
        <w:tc>
          <w:tcPr>
            <w:tcW w:w="141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2,084,788.82</w:t>
            </w:r>
          </w:p>
        </w:tc>
        <w:tc>
          <w:tcPr>
            <w:tcW w:w="138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2,833,724.06</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120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03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4,918,512.88</w:t>
            </w:r>
          </w:p>
        </w:tc>
        <w:tc>
          <w:tcPr>
            <w:tcW w:w="141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2,084,788.82</w:t>
            </w:r>
          </w:p>
        </w:tc>
        <w:tc>
          <w:tcPr>
            <w:tcW w:w="138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2,833,724.06</w:t>
            </w:r>
          </w:p>
        </w:tc>
        <w:tc>
          <w:tcPr>
            <w:tcW w:w="1205" w:type="dxa"/>
            <w:tcBorders>
              <w:top w:val="single" w:sz="2" w:space="0" w:color="auto"/>
              <w:left w:val="single" w:sz="2" w:space="0" w:color="auto"/>
              <w:bottom w:val="single" w:sz="2" w:space="0" w:color="auto"/>
              <w:right w:val="single" w:sz="2" w:space="0" w:color="auto"/>
            </w:tcBorders>
            <w:shd w:val="clear" w:color="auto" w:fill="auto"/>
            <w:vAlign w:val="center"/>
          </w:tcPr>
          <w:p w:rsidR="00A067C6" w:rsidRDefault="00A067C6"/>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损失准备本期变动金额重大的账面余额变动情况</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keepNext/>
        <w:keepLines/>
        <w:spacing w:before="300" w:after="300" w:line="280" w:lineRule="exact"/>
        <w:outlineLvl w:val="3"/>
        <w:rPr>
          <w:rFonts w:ascii="宋体" w:eastAsia="宋体" w:hAnsi="宋体" w:cs="宋体"/>
          <w:b/>
          <w:bCs/>
          <w:szCs w:val="21"/>
        </w:rPr>
      </w:pPr>
      <w:bookmarkStart w:id="233" w:name="_Toc989125"/>
      <w:r>
        <w:rPr>
          <w:rFonts w:ascii="宋体" w:eastAsia="宋体" w:hAnsi="宋体" w:cs="宋体"/>
          <w:b/>
          <w:bCs/>
          <w:szCs w:val="21"/>
        </w:rPr>
        <w:t>（</w:t>
      </w:r>
      <w:r>
        <w:rPr>
          <w:rFonts w:ascii="宋体" w:eastAsia="宋体" w:hAnsi="宋体" w:cs="宋体"/>
          <w:b/>
          <w:bCs/>
          <w:szCs w:val="21"/>
        </w:rPr>
        <w:t>2</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因金融资产转移而终止确认的长期应收款</w:t>
      </w:r>
      <w:bookmarkEnd w:id="233"/>
    </w:p>
    <w:p w:rsidR="00A067C6" w:rsidRDefault="005C4966">
      <w:pPr>
        <w:pStyle w:val="a6"/>
        <w:rPr>
          <w:sz w:val="18"/>
          <w:szCs w:val="18"/>
        </w:rPr>
      </w:pPr>
      <w:r>
        <w:rPr>
          <w:rFonts w:hint="eastAsia"/>
          <w:sz w:val="18"/>
          <w:szCs w:val="18"/>
        </w:rPr>
        <w:t>无。</w:t>
      </w:r>
    </w:p>
    <w:p w:rsidR="00A067C6" w:rsidRDefault="005C4966">
      <w:pPr>
        <w:keepNext/>
        <w:keepLines/>
        <w:spacing w:before="300" w:after="300" w:line="280" w:lineRule="exact"/>
        <w:outlineLvl w:val="3"/>
        <w:rPr>
          <w:rFonts w:ascii="宋体" w:eastAsia="宋体" w:hAnsi="宋体" w:cs="宋体"/>
          <w:b/>
          <w:bCs/>
          <w:szCs w:val="21"/>
        </w:rPr>
      </w:pPr>
      <w:bookmarkStart w:id="234" w:name="_Toc989126"/>
      <w:r>
        <w:rPr>
          <w:rFonts w:ascii="宋体" w:eastAsia="宋体" w:hAnsi="宋体" w:cs="宋体"/>
          <w:b/>
          <w:bCs/>
          <w:szCs w:val="21"/>
        </w:rPr>
        <w:t>（</w:t>
      </w:r>
      <w:r>
        <w:rPr>
          <w:rFonts w:ascii="宋体" w:eastAsia="宋体" w:hAnsi="宋体" w:cs="宋体"/>
          <w:b/>
          <w:bCs/>
          <w:szCs w:val="21"/>
        </w:rPr>
        <w:t>3</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转移长期应收款且继续涉入形成的资产、负债金额</w:t>
      </w:r>
      <w:bookmarkEnd w:id="234"/>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ascii="宋体" w:eastAsia="宋体" w:hAnsi="宋体" w:cs="宋体" w:hint="eastAsia"/>
          <w:sz w:val="18"/>
          <w:szCs w:val="18"/>
        </w:rPr>
        <w:t>：无</w:t>
      </w:r>
    </w:p>
    <w:p w:rsidR="00A067C6" w:rsidRDefault="005C4966">
      <w:pPr>
        <w:pStyle w:val="3"/>
        <w:spacing w:line="280" w:lineRule="exact"/>
        <w:jc w:val="left"/>
        <w:rPr>
          <w:rFonts w:ascii="宋体" w:hAnsi="宋体" w:cs="宋体"/>
          <w:b/>
          <w:bCs/>
        </w:rPr>
      </w:pPr>
      <w:bookmarkStart w:id="235" w:name="_Toc989127"/>
      <w:r>
        <w:rPr>
          <w:rFonts w:ascii="宋体" w:hAnsi="宋体" w:cs="宋体"/>
          <w:b/>
          <w:bCs/>
        </w:rPr>
        <w:t>17</w:t>
      </w:r>
      <w:r>
        <w:rPr>
          <w:rFonts w:ascii="宋体" w:hAnsi="宋体" w:cs="宋体"/>
          <w:b/>
          <w:bCs/>
        </w:rPr>
        <w:t>、长期股权投资</w:t>
      </w:r>
      <w:bookmarkEnd w:id="235"/>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3"/>
        <w:gridCol w:w="803"/>
        <w:gridCol w:w="803"/>
        <w:gridCol w:w="803"/>
        <w:gridCol w:w="803"/>
        <w:gridCol w:w="803"/>
        <w:gridCol w:w="803"/>
        <w:gridCol w:w="803"/>
        <w:gridCol w:w="803"/>
        <w:gridCol w:w="805"/>
        <w:gridCol w:w="803"/>
        <w:gridCol w:w="804"/>
      </w:tblGrid>
      <w:tr w:rsidR="00A067C6">
        <w:trPr>
          <w:cantSplit/>
          <w:trHeight w:val="240"/>
        </w:trPr>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被投资单位</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期初余额（账面价值）</w:t>
            </w:r>
          </w:p>
        </w:tc>
        <w:tc>
          <w:tcPr>
            <w:tcW w:w="6426"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本期增减变动</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期末余额（账面价值）</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减值准备期末余额</w:t>
            </w:r>
          </w:p>
        </w:tc>
      </w:tr>
      <w:tr w:rsidR="00A067C6">
        <w:trPr>
          <w:cantSplit/>
          <w:trHeight w:val="240"/>
        </w:trPr>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追加投资</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减少投资</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权益法下确认的投资损益</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其他综合收益调整</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其他权益变动</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宣告发放现金股利或利润</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计提减值准备</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cantSplit/>
          <w:trHeight w:val="240"/>
        </w:trPr>
        <w:tc>
          <w:tcPr>
            <w:tcW w:w="9639"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一、合营企业</w:t>
            </w:r>
          </w:p>
        </w:tc>
      </w:tr>
      <w:tr w:rsidR="00A067C6">
        <w:trPr>
          <w:cantSplit/>
          <w:trHeight w:val="240"/>
        </w:trPr>
        <w:tc>
          <w:tcPr>
            <w:tcW w:w="9639"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二、联营企业</w:t>
            </w:r>
          </w:p>
        </w:tc>
      </w:tr>
      <w:tr w:rsidR="00A067C6">
        <w:trPr>
          <w:cantSplit/>
          <w:trHeight w:val="240"/>
        </w:trPr>
        <w:tc>
          <w:tcPr>
            <w:tcW w:w="80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江苏科孚纺织品贸易有限公司</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45,034,947.32</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45,034,947.32</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cantSplit/>
          <w:trHeight w:val="240"/>
        </w:trPr>
        <w:tc>
          <w:tcPr>
            <w:tcW w:w="80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福田实业（集团）有限公司</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230,298,074.28</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-12,852,401.20</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7,401,858.02</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224,847,531.10</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cantSplit/>
          <w:trHeight w:val="240"/>
        </w:trPr>
        <w:tc>
          <w:tcPr>
            <w:tcW w:w="80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浙江华孚产业运营有限公司</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39,994,991.32</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39,994,991.32</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cantSplit/>
          <w:trHeight w:val="240"/>
        </w:trPr>
        <w:tc>
          <w:tcPr>
            <w:tcW w:w="80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安徽环捷供应链管理有限公司</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11,649,108.42</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11,649,108.42</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cantSplit/>
          <w:trHeight w:val="240"/>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小计</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326,977,121.34</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-12,852,401.20</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7,401,858.02</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321,526,578.16</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cantSplit/>
          <w:trHeight w:val="240"/>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326,977,121.34</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-12,852,401.20</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7,401,858.02</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321,526,578.16</w:t>
            </w:r>
          </w:p>
        </w:tc>
        <w:tc>
          <w:tcPr>
            <w:tcW w:w="80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ascii="宋体" w:eastAsia="宋体" w:hAnsi="宋体" w:cs="宋体" w:hint="eastAsia"/>
          <w:sz w:val="18"/>
          <w:szCs w:val="18"/>
        </w:rPr>
        <w:t>：</w:t>
      </w:r>
      <w:r>
        <w:rPr>
          <w:rFonts w:hint="eastAsia"/>
          <w:sz w:val="18"/>
          <w:szCs w:val="18"/>
        </w:rPr>
        <w:t>本公司持有福田实业（集团）有限公司（以下简称福田实业）</w:t>
      </w:r>
      <w:r>
        <w:rPr>
          <w:rFonts w:ascii="Calibri" w:hAnsi="Calibri"/>
          <w:sz w:val="18"/>
          <w:szCs w:val="18"/>
        </w:rPr>
        <w:t>17.30%</w:t>
      </w:r>
      <w:r>
        <w:rPr>
          <w:rFonts w:hint="eastAsia"/>
          <w:sz w:val="18"/>
          <w:szCs w:val="18"/>
        </w:rPr>
        <w:t>的股权，对福田实业的表决权比例亦为</w:t>
      </w:r>
      <w:r>
        <w:rPr>
          <w:rFonts w:ascii="Calibri" w:hAnsi="Calibri"/>
          <w:sz w:val="18"/>
          <w:szCs w:val="18"/>
        </w:rPr>
        <w:t>17.30%</w:t>
      </w:r>
      <w:r>
        <w:rPr>
          <w:rFonts w:hint="eastAsia"/>
          <w:sz w:val="18"/>
          <w:szCs w:val="18"/>
        </w:rPr>
        <w:t>。虽然该比例低于</w:t>
      </w:r>
      <w:r>
        <w:rPr>
          <w:rFonts w:ascii="Calibri" w:hAnsi="Calibri"/>
          <w:sz w:val="18"/>
          <w:szCs w:val="18"/>
        </w:rPr>
        <w:t>20%</w:t>
      </w:r>
      <w:r>
        <w:rPr>
          <w:rFonts w:hint="eastAsia"/>
          <w:sz w:val="18"/>
          <w:szCs w:val="18"/>
        </w:rPr>
        <w:t>，但由于本公司在福田实业董事会中派有代表并参与对乙公司财务和经营政策的决策，所以本公司能够对乙公司施加重大影响。</w:t>
      </w:r>
    </w:p>
    <w:p w:rsidR="00A067C6" w:rsidRDefault="005C4966">
      <w:pPr>
        <w:pStyle w:val="3"/>
        <w:spacing w:line="280" w:lineRule="exact"/>
        <w:jc w:val="left"/>
        <w:rPr>
          <w:rFonts w:ascii="宋体" w:hAnsi="宋体" w:cs="宋体"/>
          <w:b/>
          <w:bCs/>
        </w:rPr>
      </w:pPr>
      <w:bookmarkStart w:id="236" w:name="_Toc989128"/>
      <w:r>
        <w:rPr>
          <w:rFonts w:ascii="宋体" w:hAnsi="宋体" w:cs="宋体"/>
          <w:b/>
          <w:bCs/>
        </w:rPr>
        <w:t>18</w:t>
      </w:r>
      <w:r>
        <w:rPr>
          <w:rFonts w:ascii="宋体" w:hAnsi="宋体" w:cs="宋体"/>
          <w:b/>
          <w:bCs/>
        </w:rPr>
        <w:t>、其他权益工具投资</w:t>
      </w:r>
      <w:bookmarkEnd w:id="236"/>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062"/>
        <w:gridCol w:w="1984"/>
        <w:gridCol w:w="1593"/>
      </w:tblGrid>
      <w:tr w:rsidR="00A067C6">
        <w:trPr>
          <w:trHeight w:val="240"/>
        </w:trPr>
        <w:tc>
          <w:tcPr>
            <w:tcW w:w="6062"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8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59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A067C6">
        <w:trPr>
          <w:trHeight w:val="240"/>
        </w:trPr>
        <w:tc>
          <w:tcPr>
            <w:tcW w:w="606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浙江八达股份有限公司</w:t>
            </w:r>
          </w:p>
        </w:tc>
        <w:tc>
          <w:tcPr>
            <w:tcW w:w="198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66,000.00</w:t>
            </w:r>
          </w:p>
        </w:tc>
        <w:tc>
          <w:tcPr>
            <w:tcW w:w="15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66,000.00</w:t>
            </w:r>
          </w:p>
        </w:tc>
      </w:tr>
      <w:tr w:rsidR="00A067C6">
        <w:trPr>
          <w:trHeight w:val="240"/>
        </w:trPr>
        <w:tc>
          <w:tcPr>
            <w:tcW w:w="606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浙江凯旋股份有限公司</w:t>
            </w:r>
          </w:p>
        </w:tc>
        <w:tc>
          <w:tcPr>
            <w:tcW w:w="198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65,945.90</w:t>
            </w:r>
          </w:p>
        </w:tc>
        <w:tc>
          <w:tcPr>
            <w:tcW w:w="15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65,945.90</w:t>
            </w:r>
          </w:p>
        </w:tc>
      </w:tr>
      <w:tr w:rsidR="00A067C6">
        <w:trPr>
          <w:trHeight w:val="240"/>
        </w:trPr>
        <w:tc>
          <w:tcPr>
            <w:tcW w:w="606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石河子国民村镇银行有限责任公司</w:t>
            </w:r>
          </w:p>
        </w:tc>
        <w:tc>
          <w:tcPr>
            <w:tcW w:w="198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5,000,000.00</w:t>
            </w:r>
          </w:p>
        </w:tc>
        <w:tc>
          <w:tcPr>
            <w:tcW w:w="15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5,000,000.00</w:t>
            </w:r>
          </w:p>
        </w:tc>
      </w:tr>
      <w:tr w:rsidR="00A067C6">
        <w:trPr>
          <w:trHeight w:val="240"/>
        </w:trPr>
        <w:tc>
          <w:tcPr>
            <w:tcW w:w="606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杭州英涉时装有限公司</w:t>
            </w:r>
          </w:p>
        </w:tc>
        <w:tc>
          <w:tcPr>
            <w:tcW w:w="198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7,830,000.00</w:t>
            </w:r>
          </w:p>
        </w:tc>
        <w:tc>
          <w:tcPr>
            <w:tcW w:w="15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7,830,000.00</w:t>
            </w:r>
          </w:p>
        </w:tc>
      </w:tr>
      <w:tr w:rsidR="00A067C6">
        <w:trPr>
          <w:trHeight w:val="240"/>
        </w:trPr>
        <w:tc>
          <w:tcPr>
            <w:tcW w:w="606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徽商银行股份有限公司</w:t>
            </w:r>
          </w:p>
        </w:tc>
        <w:tc>
          <w:tcPr>
            <w:tcW w:w="198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57,822,437.39</w:t>
            </w:r>
          </w:p>
        </w:tc>
        <w:tc>
          <w:tcPr>
            <w:tcW w:w="15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56,479,234.53</w:t>
            </w:r>
          </w:p>
        </w:tc>
      </w:tr>
      <w:tr w:rsidR="00A067C6">
        <w:trPr>
          <w:trHeight w:val="240"/>
        </w:trPr>
        <w:tc>
          <w:tcPr>
            <w:tcW w:w="606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深圳市华泰瑞麟股权投资基金合伙企业（有限合伙）</w:t>
            </w:r>
          </w:p>
        </w:tc>
        <w:tc>
          <w:tcPr>
            <w:tcW w:w="198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606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江阴市传澄电子商务有限公司</w:t>
            </w:r>
          </w:p>
        </w:tc>
        <w:tc>
          <w:tcPr>
            <w:tcW w:w="198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15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10,000,000.00</w:t>
            </w:r>
          </w:p>
        </w:tc>
      </w:tr>
      <w:tr w:rsidR="00A067C6">
        <w:trPr>
          <w:trHeight w:val="240"/>
        </w:trPr>
        <w:tc>
          <w:tcPr>
            <w:tcW w:w="606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金华市先智数字科技有限公司</w:t>
            </w:r>
          </w:p>
        </w:tc>
        <w:tc>
          <w:tcPr>
            <w:tcW w:w="198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150,000.00</w:t>
            </w:r>
          </w:p>
        </w:tc>
      </w:tr>
      <w:tr w:rsidR="00A067C6">
        <w:trPr>
          <w:trHeight w:val="240"/>
        </w:trPr>
        <w:tc>
          <w:tcPr>
            <w:tcW w:w="606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浙样文化科技（金华）有限公司</w:t>
            </w:r>
          </w:p>
        </w:tc>
        <w:tc>
          <w:tcPr>
            <w:tcW w:w="198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72,500.00</w:t>
            </w:r>
          </w:p>
        </w:tc>
      </w:tr>
      <w:tr w:rsidR="00A067C6">
        <w:trPr>
          <w:trHeight w:val="240"/>
        </w:trPr>
        <w:tc>
          <w:tcPr>
            <w:tcW w:w="606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金华市企源科技有限公司</w:t>
            </w:r>
          </w:p>
        </w:tc>
        <w:tc>
          <w:tcPr>
            <w:tcW w:w="198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84,000.00</w:t>
            </w:r>
          </w:p>
        </w:tc>
      </w:tr>
      <w:tr w:rsidR="00A067C6">
        <w:trPr>
          <w:trHeight w:val="240"/>
        </w:trPr>
        <w:tc>
          <w:tcPr>
            <w:tcW w:w="606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锦程未来网络信息技术（金华）有限公司</w:t>
            </w:r>
          </w:p>
        </w:tc>
        <w:tc>
          <w:tcPr>
            <w:tcW w:w="198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260,000.00</w:t>
            </w:r>
          </w:p>
        </w:tc>
      </w:tr>
      <w:tr w:rsidR="00A067C6">
        <w:trPr>
          <w:trHeight w:val="240"/>
        </w:trPr>
        <w:tc>
          <w:tcPr>
            <w:tcW w:w="606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金华市网链数字人才科技有限公司</w:t>
            </w:r>
          </w:p>
        </w:tc>
        <w:tc>
          <w:tcPr>
            <w:tcW w:w="198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243,000.00</w:t>
            </w:r>
          </w:p>
        </w:tc>
      </w:tr>
      <w:tr w:rsidR="00A067C6">
        <w:trPr>
          <w:trHeight w:val="240"/>
        </w:trPr>
        <w:tc>
          <w:tcPr>
            <w:tcW w:w="6062"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8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80,784,383.29</w:t>
            </w:r>
          </w:p>
        </w:tc>
        <w:tc>
          <w:tcPr>
            <w:tcW w:w="15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80,250,680.43</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分项披露本期非交易性权益工具投资</w:t>
      </w:r>
    </w:p>
    <w:p w:rsidR="00A067C6" w:rsidRDefault="005C4966">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093"/>
        <w:gridCol w:w="1134"/>
        <w:gridCol w:w="1559"/>
        <w:gridCol w:w="722"/>
        <w:gridCol w:w="1377"/>
        <w:gridCol w:w="1377"/>
        <w:gridCol w:w="1377"/>
      </w:tblGrid>
      <w:tr w:rsidR="00A067C6">
        <w:trPr>
          <w:trHeight w:val="240"/>
        </w:trPr>
        <w:tc>
          <w:tcPr>
            <w:tcW w:w="209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项目名称</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确认的股利收入</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累计利得</w:t>
            </w:r>
          </w:p>
        </w:tc>
        <w:tc>
          <w:tcPr>
            <w:tcW w:w="722"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累计损失</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其他综合收益转入留存收益的金额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指定为以公允价值计量且其变动计入其他综合收益的原因</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其他综合收益转入留存收益的原因</w:t>
            </w:r>
          </w:p>
        </w:tc>
      </w:tr>
      <w:tr w:rsidR="00A067C6">
        <w:trPr>
          <w:trHeight w:val="240"/>
        </w:trPr>
        <w:tc>
          <w:tcPr>
            <w:tcW w:w="20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徽商银行股份有限公司</w:t>
            </w:r>
          </w:p>
        </w:tc>
        <w:tc>
          <w:tcPr>
            <w:tcW w:w="113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6,773,447.44</w:t>
            </w:r>
          </w:p>
        </w:tc>
        <w:tc>
          <w:tcPr>
            <w:tcW w:w="72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三无</w:t>
            </w:r>
            <w:r>
              <w:rPr>
                <w:rFonts w:ascii="宋体" w:eastAsia="宋体" w:hAnsi="宋体" w:cs="宋体"/>
                <w:sz w:val="18"/>
                <w:szCs w:val="18"/>
              </w:rPr>
              <w:t>”</w:t>
            </w:r>
            <w:r>
              <w:rPr>
                <w:rFonts w:ascii="宋体" w:eastAsia="宋体" w:hAnsi="宋体" w:cs="宋体"/>
                <w:sz w:val="18"/>
                <w:szCs w:val="18"/>
              </w:rPr>
              <w:t>投资</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20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深圳市华泰瑞麟股权投资基金合伙企业（有限合伙）</w:t>
            </w:r>
          </w:p>
        </w:tc>
        <w:tc>
          <w:tcPr>
            <w:tcW w:w="113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221,317,605.00</w:t>
            </w:r>
          </w:p>
        </w:tc>
        <w:tc>
          <w:tcPr>
            <w:tcW w:w="72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三无</w:t>
            </w:r>
            <w:r>
              <w:rPr>
                <w:rFonts w:ascii="宋体" w:eastAsia="宋体" w:hAnsi="宋体" w:cs="宋体"/>
                <w:sz w:val="18"/>
                <w:szCs w:val="18"/>
              </w:rPr>
              <w:t>”</w:t>
            </w:r>
            <w:r>
              <w:rPr>
                <w:rFonts w:ascii="宋体" w:eastAsia="宋体" w:hAnsi="宋体" w:cs="宋体"/>
                <w:sz w:val="18"/>
                <w:szCs w:val="18"/>
              </w:rPr>
              <w:t>投资</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20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合计</w:t>
            </w:r>
          </w:p>
        </w:tc>
        <w:tc>
          <w:tcPr>
            <w:tcW w:w="113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228,091,052.44</w:t>
            </w:r>
          </w:p>
        </w:tc>
        <w:tc>
          <w:tcPr>
            <w:tcW w:w="72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ascii="宋体" w:eastAsia="宋体" w:hAnsi="宋体" w:cs="宋体" w:hint="eastAsia"/>
          <w:sz w:val="18"/>
          <w:szCs w:val="18"/>
        </w:rPr>
        <w:t>无。</w:t>
      </w:r>
    </w:p>
    <w:p w:rsidR="00A067C6" w:rsidRDefault="005C4966">
      <w:pPr>
        <w:pStyle w:val="3"/>
        <w:spacing w:line="280" w:lineRule="exact"/>
        <w:jc w:val="left"/>
        <w:rPr>
          <w:rFonts w:ascii="宋体" w:hAnsi="宋体" w:cs="宋体"/>
          <w:b/>
          <w:bCs/>
        </w:rPr>
      </w:pPr>
      <w:bookmarkStart w:id="237" w:name="_Toc989129"/>
      <w:r>
        <w:rPr>
          <w:rFonts w:ascii="宋体" w:hAnsi="宋体" w:cs="宋体"/>
          <w:b/>
          <w:bCs/>
        </w:rPr>
        <w:t>19</w:t>
      </w:r>
      <w:r>
        <w:rPr>
          <w:rFonts w:ascii="宋体" w:hAnsi="宋体" w:cs="宋体"/>
          <w:b/>
          <w:bCs/>
        </w:rPr>
        <w:t>、其他非流动金融资产</w:t>
      </w:r>
      <w:bookmarkEnd w:id="237"/>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pStyle w:val="3"/>
        <w:spacing w:line="280" w:lineRule="exact"/>
        <w:jc w:val="left"/>
        <w:rPr>
          <w:rFonts w:ascii="宋体" w:hAnsi="宋体" w:cs="宋体"/>
          <w:b/>
          <w:bCs/>
        </w:rPr>
      </w:pPr>
      <w:bookmarkStart w:id="238" w:name="_Toc989130"/>
      <w:r>
        <w:rPr>
          <w:rFonts w:ascii="宋体" w:hAnsi="宋体" w:cs="宋体"/>
          <w:b/>
          <w:bCs/>
        </w:rPr>
        <w:t>20</w:t>
      </w:r>
      <w:r>
        <w:rPr>
          <w:rFonts w:ascii="宋体" w:hAnsi="宋体" w:cs="宋体"/>
          <w:b/>
          <w:bCs/>
        </w:rPr>
        <w:t>、投资性房地产</w:t>
      </w:r>
      <w:bookmarkEnd w:id="238"/>
    </w:p>
    <w:p w:rsidR="00A067C6" w:rsidRDefault="005C4966">
      <w:pPr>
        <w:keepNext/>
        <w:keepLines/>
        <w:spacing w:before="300" w:after="300" w:line="280" w:lineRule="exact"/>
        <w:outlineLvl w:val="3"/>
        <w:rPr>
          <w:rFonts w:ascii="宋体" w:eastAsia="宋体" w:hAnsi="宋体" w:cs="宋体"/>
          <w:b/>
          <w:bCs/>
          <w:sz w:val="18"/>
          <w:szCs w:val="18"/>
        </w:rPr>
      </w:pPr>
      <w:bookmarkStart w:id="239" w:name="_Toc989131"/>
      <w:r>
        <w:rPr>
          <w:rFonts w:ascii="宋体" w:eastAsia="宋体" w:hAnsi="宋体" w:cs="宋体"/>
          <w:b/>
          <w:bCs/>
          <w:sz w:val="18"/>
          <w:szCs w:val="18"/>
        </w:rPr>
        <w:t>（</w:t>
      </w:r>
      <w:r>
        <w:rPr>
          <w:rFonts w:ascii="宋体" w:eastAsia="宋体" w:hAnsi="宋体" w:cs="宋体"/>
          <w:b/>
          <w:bCs/>
          <w:sz w:val="18"/>
          <w:szCs w:val="18"/>
        </w:rPr>
        <w:t>1</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采用成本计量模式的投资性房地产</w:t>
      </w:r>
      <w:bookmarkEnd w:id="239"/>
    </w:p>
    <w:p w:rsidR="00A067C6" w:rsidRDefault="005C4966">
      <w:pPr>
        <w:spacing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t>不适用</w:t>
      </w:r>
    </w:p>
    <w:p w:rsidR="00A067C6" w:rsidRDefault="005C4966">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077"/>
        <w:gridCol w:w="1390"/>
        <w:gridCol w:w="1391"/>
        <w:gridCol w:w="1390"/>
        <w:gridCol w:w="1391"/>
      </w:tblGrid>
      <w:tr w:rsidR="00A067C6">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39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房屋、建筑物</w:t>
            </w:r>
          </w:p>
        </w:tc>
        <w:tc>
          <w:tcPr>
            <w:tcW w:w="139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土地使用权</w:t>
            </w:r>
          </w:p>
        </w:tc>
        <w:tc>
          <w:tcPr>
            <w:tcW w:w="139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在建工程</w:t>
            </w:r>
          </w:p>
        </w:tc>
        <w:tc>
          <w:tcPr>
            <w:tcW w:w="139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A067C6">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一、账面原值</w:t>
            </w: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期初余额</w:t>
            </w: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91,384,663.37</w:t>
            </w: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91,384,663.37</w:t>
            </w:r>
          </w:p>
        </w:tc>
      </w:tr>
      <w:tr w:rsidR="00A067C6">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本期增加金额</w:t>
            </w: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1</w:t>
            </w:r>
            <w:r>
              <w:rPr>
                <w:rFonts w:ascii="宋体" w:eastAsia="宋体" w:hAnsi="宋体" w:cs="宋体"/>
                <w:sz w:val="18"/>
                <w:szCs w:val="18"/>
              </w:rPr>
              <w:t>）外购</w:t>
            </w: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2</w:t>
            </w:r>
            <w:r>
              <w:rPr>
                <w:rFonts w:ascii="宋体" w:eastAsia="宋体" w:hAnsi="宋体" w:cs="宋体"/>
                <w:sz w:val="18"/>
                <w:szCs w:val="18"/>
              </w:rPr>
              <w:t>）存货</w:t>
            </w:r>
            <w:r>
              <w:rPr>
                <w:rFonts w:ascii="宋体" w:eastAsia="宋体" w:hAnsi="宋体" w:cs="宋体"/>
                <w:sz w:val="18"/>
                <w:szCs w:val="18"/>
              </w:rPr>
              <w:t>\</w:t>
            </w:r>
            <w:r>
              <w:rPr>
                <w:rFonts w:ascii="宋体" w:eastAsia="宋体" w:hAnsi="宋体" w:cs="宋体"/>
                <w:sz w:val="18"/>
                <w:szCs w:val="18"/>
              </w:rPr>
              <w:t>固定资产</w:t>
            </w:r>
            <w:r>
              <w:rPr>
                <w:rFonts w:ascii="宋体" w:eastAsia="宋体" w:hAnsi="宋体" w:cs="宋体"/>
                <w:sz w:val="18"/>
                <w:szCs w:val="18"/>
              </w:rPr>
              <w:t>\</w:t>
            </w:r>
            <w:r>
              <w:rPr>
                <w:rFonts w:ascii="宋体" w:eastAsia="宋体" w:hAnsi="宋体" w:cs="宋体"/>
                <w:sz w:val="18"/>
                <w:szCs w:val="18"/>
              </w:rPr>
              <w:t>在建工程转入</w:t>
            </w: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3</w:t>
            </w:r>
            <w:r>
              <w:rPr>
                <w:rFonts w:ascii="宋体" w:eastAsia="宋体" w:hAnsi="宋体" w:cs="宋体"/>
                <w:sz w:val="18"/>
                <w:szCs w:val="18"/>
              </w:rPr>
              <w:t>）企业合并增加</w:t>
            </w: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40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本期减少金额</w:t>
            </w: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1</w:t>
            </w:r>
            <w:r>
              <w:rPr>
                <w:rFonts w:ascii="宋体" w:eastAsia="宋体" w:hAnsi="宋体" w:cs="宋体"/>
                <w:sz w:val="18"/>
                <w:szCs w:val="18"/>
              </w:rPr>
              <w:t>）处置</w:t>
            </w: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2</w:t>
            </w:r>
            <w:r>
              <w:rPr>
                <w:rFonts w:ascii="宋体" w:eastAsia="宋体" w:hAnsi="宋体" w:cs="宋体"/>
                <w:sz w:val="18"/>
                <w:szCs w:val="18"/>
              </w:rPr>
              <w:t>）其他转出</w:t>
            </w: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40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w:t>
            </w:r>
            <w:r>
              <w:rPr>
                <w:rFonts w:ascii="宋体" w:eastAsia="宋体" w:hAnsi="宋体" w:cs="宋体"/>
                <w:sz w:val="18"/>
                <w:szCs w:val="18"/>
              </w:rPr>
              <w:t>期末余额</w:t>
            </w: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91,384,663.37</w:t>
            </w: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91,384,663.37</w:t>
            </w:r>
          </w:p>
        </w:tc>
      </w:tr>
      <w:tr w:rsidR="00A067C6">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二、累计折旧和累计摊销</w:t>
            </w: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期初余额</w:t>
            </w: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29,791,868.89</w:t>
            </w: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29,791,868.89</w:t>
            </w:r>
          </w:p>
        </w:tc>
      </w:tr>
      <w:tr w:rsidR="00A067C6">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本期增加金额</w:t>
            </w: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1,990,795.17</w:t>
            </w: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1,990,795.17</w:t>
            </w:r>
          </w:p>
        </w:tc>
      </w:tr>
      <w:tr w:rsidR="00A067C6">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1</w:t>
            </w:r>
            <w:r>
              <w:rPr>
                <w:rFonts w:ascii="宋体" w:eastAsia="宋体" w:hAnsi="宋体" w:cs="宋体"/>
                <w:sz w:val="18"/>
                <w:szCs w:val="18"/>
              </w:rPr>
              <w:t>）计提或摊销</w:t>
            </w: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1,990,795.17</w:t>
            </w: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1,990,795.17</w:t>
            </w:r>
          </w:p>
        </w:tc>
      </w:tr>
      <w:tr w:rsidR="00A067C6">
        <w:trPr>
          <w:trHeight w:val="240"/>
        </w:trPr>
        <w:tc>
          <w:tcPr>
            <w:tcW w:w="40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本期减少金额</w:t>
            </w: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1</w:t>
            </w:r>
            <w:r>
              <w:rPr>
                <w:rFonts w:ascii="宋体" w:eastAsia="宋体" w:hAnsi="宋体" w:cs="宋体"/>
                <w:sz w:val="18"/>
                <w:szCs w:val="18"/>
              </w:rPr>
              <w:t>）处置</w:t>
            </w: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2</w:t>
            </w:r>
            <w:r>
              <w:rPr>
                <w:rFonts w:ascii="宋体" w:eastAsia="宋体" w:hAnsi="宋体" w:cs="宋体"/>
                <w:sz w:val="18"/>
                <w:szCs w:val="18"/>
              </w:rPr>
              <w:t>）其他转出</w:t>
            </w: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40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w:t>
            </w:r>
            <w:r>
              <w:rPr>
                <w:rFonts w:ascii="宋体" w:eastAsia="宋体" w:hAnsi="宋体" w:cs="宋体"/>
                <w:sz w:val="18"/>
                <w:szCs w:val="18"/>
              </w:rPr>
              <w:t>期末余额</w:t>
            </w: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31,782,664.06</w:t>
            </w: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31,782,664.06</w:t>
            </w:r>
          </w:p>
        </w:tc>
      </w:tr>
      <w:tr w:rsidR="00A067C6">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三、减值准备</w:t>
            </w: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期初余额</w:t>
            </w: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本期增加金额</w:t>
            </w: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1</w:t>
            </w:r>
            <w:r>
              <w:rPr>
                <w:rFonts w:ascii="宋体" w:eastAsia="宋体" w:hAnsi="宋体" w:cs="宋体"/>
                <w:sz w:val="18"/>
                <w:szCs w:val="18"/>
              </w:rPr>
              <w:t>）计提</w:t>
            </w: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40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本期减少金额</w:t>
            </w: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1</w:t>
            </w:r>
            <w:r>
              <w:rPr>
                <w:rFonts w:ascii="宋体" w:eastAsia="宋体" w:hAnsi="宋体" w:cs="宋体"/>
                <w:sz w:val="18"/>
                <w:szCs w:val="18"/>
              </w:rPr>
              <w:t>）处置</w:t>
            </w: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2</w:t>
            </w:r>
            <w:r>
              <w:rPr>
                <w:rFonts w:ascii="宋体" w:eastAsia="宋体" w:hAnsi="宋体" w:cs="宋体"/>
                <w:sz w:val="18"/>
                <w:szCs w:val="18"/>
              </w:rPr>
              <w:t>）其他转出</w:t>
            </w: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40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w:t>
            </w:r>
            <w:r>
              <w:rPr>
                <w:rFonts w:ascii="宋体" w:eastAsia="宋体" w:hAnsi="宋体" w:cs="宋体"/>
                <w:sz w:val="18"/>
                <w:szCs w:val="18"/>
              </w:rPr>
              <w:t>期末余额</w:t>
            </w: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四、账面价值</w:t>
            </w: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期末账面价值</w:t>
            </w: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59,601,999.31</w:t>
            </w: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59,601,999.31</w:t>
            </w:r>
          </w:p>
        </w:tc>
      </w:tr>
      <w:tr w:rsidR="00A067C6">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期初账面价值</w:t>
            </w: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61,592,794.48</w:t>
            </w: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61,592,794.48</w:t>
            </w:r>
          </w:p>
        </w:tc>
      </w:tr>
    </w:tbl>
    <w:p w:rsidR="00A067C6" w:rsidRDefault="005C4966">
      <w:pPr>
        <w:keepNext/>
        <w:keepLines/>
        <w:spacing w:before="300" w:after="300" w:line="280" w:lineRule="exact"/>
        <w:outlineLvl w:val="3"/>
        <w:rPr>
          <w:rFonts w:ascii="宋体" w:eastAsia="宋体" w:hAnsi="宋体" w:cs="宋体"/>
          <w:b/>
          <w:bCs/>
          <w:sz w:val="18"/>
          <w:szCs w:val="18"/>
        </w:rPr>
      </w:pPr>
      <w:bookmarkStart w:id="240" w:name="_Toc989132"/>
      <w:r>
        <w:rPr>
          <w:rFonts w:ascii="宋体" w:eastAsia="宋体" w:hAnsi="宋体" w:cs="宋体"/>
          <w:b/>
          <w:bCs/>
          <w:sz w:val="18"/>
          <w:szCs w:val="18"/>
        </w:rPr>
        <w:t>（</w:t>
      </w:r>
      <w:r>
        <w:rPr>
          <w:rFonts w:ascii="宋体" w:eastAsia="宋体" w:hAnsi="宋体" w:cs="宋体"/>
          <w:b/>
          <w:bCs/>
          <w:sz w:val="18"/>
          <w:szCs w:val="18"/>
        </w:rPr>
        <w:t>2</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采用公允价值计量模式的投资性房地产</w:t>
      </w:r>
      <w:bookmarkEnd w:id="240"/>
    </w:p>
    <w:p w:rsidR="00A067C6" w:rsidRDefault="005C4966">
      <w:pPr>
        <w:spacing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keepNext/>
        <w:keepLines/>
        <w:spacing w:before="300" w:after="300" w:line="280" w:lineRule="exact"/>
        <w:outlineLvl w:val="3"/>
        <w:rPr>
          <w:rFonts w:ascii="宋体" w:eastAsia="宋体" w:hAnsi="宋体" w:cs="宋体"/>
          <w:b/>
          <w:bCs/>
          <w:sz w:val="18"/>
          <w:szCs w:val="18"/>
        </w:rPr>
      </w:pPr>
      <w:bookmarkStart w:id="241" w:name="_Toc989133"/>
      <w:r>
        <w:rPr>
          <w:rFonts w:ascii="宋体" w:eastAsia="宋体" w:hAnsi="宋体" w:cs="宋体"/>
          <w:b/>
          <w:bCs/>
          <w:sz w:val="18"/>
          <w:szCs w:val="18"/>
        </w:rPr>
        <w:t>（</w:t>
      </w:r>
      <w:r>
        <w:rPr>
          <w:rFonts w:ascii="宋体" w:eastAsia="宋体" w:hAnsi="宋体" w:cs="宋体"/>
          <w:b/>
          <w:bCs/>
          <w:sz w:val="18"/>
          <w:szCs w:val="18"/>
        </w:rPr>
        <w:t>3</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未办妥产权证书的投资性房地产情况</w:t>
      </w:r>
      <w:bookmarkEnd w:id="241"/>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ascii="宋体" w:eastAsia="宋体" w:hAnsi="宋体" w:cs="宋体" w:hint="eastAsia"/>
          <w:sz w:val="18"/>
          <w:szCs w:val="18"/>
        </w:rPr>
        <w:t>：</w:t>
      </w:r>
      <w:r>
        <w:rPr>
          <w:rFonts w:hint="eastAsia"/>
          <w:sz w:val="18"/>
          <w:szCs w:val="18"/>
        </w:rPr>
        <w:t>无。</w:t>
      </w:r>
    </w:p>
    <w:p w:rsidR="00A067C6" w:rsidRDefault="005C4966">
      <w:pPr>
        <w:pStyle w:val="3"/>
        <w:spacing w:line="280" w:lineRule="exact"/>
        <w:jc w:val="left"/>
        <w:rPr>
          <w:rFonts w:ascii="宋体" w:hAnsi="宋体" w:cs="宋体"/>
          <w:b/>
          <w:bCs/>
        </w:rPr>
      </w:pPr>
      <w:bookmarkStart w:id="242" w:name="_Toc989134"/>
      <w:r>
        <w:rPr>
          <w:rFonts w:ascii="宋体" w:hAnsi="宋体" w:cs="宋体"/>
          <w:b/>
          <w:bCs/>
        </w:rPr>
        <w:t>21</w:t>
      </w:r>
      <w:r>
        <w:rPr>
          <w:rFonts w:ascii="宋体" w:hAnsi="宋体" w:cs="宋体"/>
          <w:b/>
          <w:bCs/>
        </w:rPr>
        <w:t>、固定资产</w:t>
      </w:r>
      <w:bookmarkEnd w:id="242"/>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4,765,077,711.99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4,986,998,558.40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固定资产清理</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1,103,045.72</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411,500.27</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4,766,180,757.71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4,987,410,058.67</w:t>
            </w:r>
          </w:p>
        </w:tc>
      </w:tr>
    </w:tbl>
    <w:p w:rsidR="00A067C6" w:rsidRDefault="005C4966">
      <w:pPr>
        <w:keepNext/>
        <w:keepLines/>
        <w:spacing w:before="300" w:after="300" w:line="280" w:lineRule="exact"/>
        <w:outlineLvl w:val="3"/>
        <w:rPr>
          <w:rFonts w:ascii="宋体" w:eastAsia="宋体" w:hAnsi="宋体" w:cs="宋体"/>
          <w:b/>
          <w:bCs/>
          <w:szCs w:val="21"/>
        </w:rPr>
      </w:pPr>
      <w:bookmarkStart w:id="243" w:name="_Toc989135"/>
      <w:r>
        <w:rPr>
          <w:rFonts w:ascii="宋体" w:eastAsia="宋体" w:hAnsi="宋体" w:cs="宋体"/>
          <w:b/>
          <w:bCs/>
          <w:szCs w:val="21"/>
        </w:rPr>
        <w:t>（</w:t>
      </w:r>
      <w:r>
        <w:rPr>
          <w:rFonts w:ascii="宋体" w:eastAsia="宋体" w:hAnsi="宋体" w:cs="宋体"/>
          <w:b/>
          <w:bCs/>
          <w:szCs w:val="21"/>
        </w:rPr>
        <w:t>1</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固定资产情况</w:t>
      </w:r>
      <w:bookmarkEnd w:id="243"/>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6"/>
        <w:gridCol w:w="1606"/>
        <w:gridCol w:w="1606"/>
        <w:gridCol w:w="1607"/>
        <w:gridCol w:w="1607"/>
        <w:gridCol w:w="1607"/>
      </w:tblGrid>
      <w:tr w:rsidR="00A067C6">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jc w:val="center"/>
              <w:rPr>
                <w:rFonts w:ascii="宋体" w:eastAsia="宋体" w:hAnsi="宋体" w:cs="宋体"/>
                <w:sz w:val="18"/>
                <w:szCs w:val="18"/>
              </w:rPr>
            </w:pPr>
            <w:r>
              <w:rPr>
                <w:rFonts w:ascii="宋体" w:eastAsia="宋体" w:hAnsi="宋体" w:cs="宋体"/>
                <w:sz w:val="18"/>
                <w:szCs w:val="18"/>
              </w:rPr>
              <w:t>房屋及建筑物</w:t>
            </w:r>
          </w:p>
        </w:tc>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jc w:val="center"/>
              <w:rPr>
                <w:rFonts w:ascii="宋体" w:eastAsia="宋体" w:hAnsi="宋体" w:cs="宋体"/>
                <w:sz w:val="18"/>
                <w:szCs w:val="18"/>
              </w:rPr>
            </w:pPr>
            <w:r>
              <w:rPr>
                <w:rFonts w:ascii="宋体" w:eastAsia="宋体" w:hAnsi="宋体" w:cs="宋体"/>
                <w:sz w:val="18"/>
                <w:szCs w:val="18"/>
              </w:rPr>
              <w:t>机器设备</w:t>
            </w:r>
          </w:p>
        </w:tc>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jc w:val="center"/>
              <w:rPr>
                <w:rFonts w:ascii="宋体" w:eastAsia="宋体" w:hAnsi="宋体" w:cs="宋体"/>
                <w:sz w:val="18"/>
                <w:szCs w:val="18"/>
              </w:rPr>
            </w:pPr>
            <w:r>
              <w:rPr>
                <w:rFonts w:ascii="宋体" w:eastAsia="宋体" w:hAnsi="宋体" w:cs="宋体"/>
                <w:sz w:val="18"/>
                <w:szCs w:val="18"/>
              </w:rPr>
              <w:t>运输工具</w:t>
            </w:r>
          </w:p>
        </w:tc>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jc w:val="center"/>
              <w:rPr>
                <w:rFonts w:ascii="宋体" w:eastAsia="宋体" w:hAnsi="宋体" w:cs="宋体"/>
                <w:sz w:val="18"/>
                <w:szCs w:val="18"/>
              </w:rPr>
            </w:pPr>
            <w:r>
              <w:rPr>
                <w:rFonts w:ascii="宋体" w:eastAsia="宋体" w:hAnsi="宋体" w:cs="宋体"/>
                <w:sz w:val="18"/>
                <w:szCs w:val="18"/>
              </w:rPr>
              <w:t>电子及其他设备</w:t>
            </w:r>
          </w:p>
        </w:tc>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A067C6">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一、账面原值：</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期初余额</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3,478,963,569.03</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5,245,216,957.91</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63,678,404.15</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223,716,267.72</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9,011,575,198.81</w:t>
            </w:r>
          </w:p>
        </w:tc>
      </w:tr>
      <w:tr w:rsidR="00A067C6">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本期增加金额</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34,387,814.26</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55,575,710.97</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665,488.30</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2,534,886.43</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93,163,899.96</w:t>
            </w:r>
          </w:p>
        </w:tc>
      </w:tr>
      <w:tr w:rsidR="00A067C6">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1</w:t>
            </w:r>
            <w:r>
              <w:rPr>
                <w:rFonts w:ascii="宋体" w:eastAsia="宋体" w:hAnsi="宋体" w:cs="宋体"/>
                <w:sz w:val="18"/>
                <w:szCs w:val="18"/>
              </w:rPr>
              <w:t>）购置</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14,147,568.13</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16,011,995.86</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154,867.26</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2,370,593.82</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32,685,025.07</w:t>
            </w:r>
          </w:p>
        </w:tc>
      </w:tr>
      <w:tr w:rsidR="00A067C6">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2</w:t>
            </w:r>
            <w:r>
              <w:rPr>
                <w:rFonts w:ascii="宋体" w:eastAsia="宋体" w:hAnsi="宋体" w:cs="宋体"/>
                <w:sz w:val="18"/>
                <w:szCs w:val="18"/>
              </w:rPr>
              <w:t>）在建工程转入</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1,124,464.90</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10,051,339.89</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205,636.36</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11,381,441.15</w:t>
            </w:r>
          </w:p>
        </w:tc>
      </w:tr>
      <w:tr w:rsidR="00A067C6">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3</w:t>
            </w:r>
            <w:r>
              <w:rPr>
                <w:rFonts w:ascii="宋体" w:eastAsia="宋体" w:hAnsi="宋体" w:cs="宋体"/>
                <w:sz w:val="18"/>
                <w:szCs w:val="18"/>
              </w:rPr>
              <w:t>）企业合并增加</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xml:space="preserve"> </w:t>
            </w:r>
            <w:r>
              <w:rPr>
                <w:rFonts w:ascii="宋体" w:eastAsia="宋体" w:hAnsi="宋体" w:cs="宋体"/>
                <w:sz w:val="18"/>
                <w:szCs w:val="18"/>
              </w:rPr>
              <w:t>外币报表折算差额</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19,115,781.23</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29,512,375.22</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304,984.68</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164,292.61</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49,097,433.74</w:t>
            </w:r>
          </w:p>
        </w:tc>
      </w:tr>
      <w:tr w:rsidR="00A067C6">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本期减少金额</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10,071,435.83</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46,265,554.73</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1,335,032.36</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4,078,106.56</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61,750,129.48</w:t>
            </w:r>
          </w:p>
        </w:tc>
      </w:tr>
      <w:tr w:rsidR="00A067C6">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1</w:t>
            </w:r>
            <w:r>
              <w:rPr>
                <w:rFonts w:ascii="宋体" w:eastAsia="宋体" w:hAnsi="宋体" w:cs="宋体"/>
                <w:sz w:val="18"/>
                <w:szCs w:val="18"/>
              </w:rPr>
              <w:t>）处置或报废</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1,884,214.99</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34,939,485.60</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1,335,032.36</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1,860,568.71</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40,019,301.66</w:t>
            </w:r>
          </w:p>
        </w:tc>
      </w:tr>
      <w:tr w:rsidR="00A067C6">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投资性房地产转入</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处置子公司</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8,187,220.84</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11,326,069.13</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2,217,537.85</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21,730,827.82</w:t>
            </w:r>
          </w:p>
        </w:tc>
      </w:tr>
      <w:tr w:rsidR="00A067C6">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外币报表折算差额</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w:t>
            </w:r>
            <w:r>
              <w:rPr>
                <w:rFonts w:ascii="宋体" w:eastAsia="宋体" w:hAnsi="宋体" w:cs="宋体"/>
                <w:sz w:val="18"/>
                <w:szCs w:val="18"/>
              </w:rPr>
              <w:t>期末余额</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3,505,225,154.83</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5,277,127,228.72</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63,076,171.40</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206,126,234.33</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9,051,554,789.28</w:t>
            </w:r>
          </w:p>
        </w:tc>
      </w:tr>
      <w:tr w:rsidR="00A067C6">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二、累计折旧</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期初余额</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1,036,867,174.17</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2,684,736,362.21</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48,346,985.07</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215,699,166.17</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3,985,649,687.62</w:t>
            </w:r>
          </w:p>
        </w:tc>
      </w:tr>
      <w:tr w:rsidR="00A067C6">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本期增加金额</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82,033,725.10</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214,187,222.92</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2,320,696.35</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1,479,175.72</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300,020,820.09</w:t>
            </w:r>
          </w:p>
        </w:tc>
      </w:tr>
      <w:tr w:rsidR="00A067C6">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1</w:t>
            </w:r>
            <w:r>
              <w:rPr>
                <w:rFonts w:ascii="宋体" w:eastAsia="宋体" w:hAnsi="宋体" w:cs="宋体"/>
                <w:sz w:val="18"/>
                <w:szCs w:val="18"/>
              </w:rPr>
              <w:t>）计提</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63,632,403.60</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185,149,298.88</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2,098,657.42</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1,334,492.08</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252,214,851.98</w:t>
            </w:r>
          </w:p>
        </w:tc>
      </w:tr>
      <w:tr w:rsidR="00A067C6">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外币报表折算差额</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18,401,321.50</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29,037,924.04</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222,038.93</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144,683.64</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47,805,968.11</w:t>
            </w:r>
          </w:p>
        </w:tc>
      </w:tr>
      <w:tr w:rsidR="00A067C6">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本期减少金额</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4,631,169.29</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37,094,464.56</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1,492,015.95</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3,468,553.40</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46,686,203.20</w:t>
            </w:r>
          </w:p>
        </w:tc>
      </w:tr>
      <w:tr w:rsidR="00A067C6">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1</w:t>
            </w:r>
            <w:r>
              <w:rPr>
                <w:rFonts w:ascii="宋体" w:eastAsia="宋体" w:hAnsi="宋体" w:cs="宋体"/>
                <w:sz w:val="18"/>
                <w:szCs w:val="18"/>
              </w:rPr>
              <w:t>）处置或报废</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173,727.18</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28,380,374.35</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1,263,557.71</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1,633,368.75</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31,451,027.99</w:t>
            </w:r>
          </w:p>
        </w:tc>
      </w:tr>
      <w:tr w:rsidR="00A067C6">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处置子公司</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4,457,442.11</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8,714,090.21</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228,458.24</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1,835,184.65</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15,235,175.21</w:t>
            </w:r>
          </w:p>
        </w:tc>
      </w:tr>
      <w:tr w:rsidR="00A067C6">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w:t>
            </w:r>
            <w:r>
              <w:rPr>
                <w:rFonts w:ascii="宋体" w:eastAsia="宋体" w:hAnsi="宋体" w:cs="宋体"/>
                <w:sz w:val="18"/>
                <w:szCs w:val="18"/>
              </w:rPr>
              <w:t>期末余额</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1,114,269,729.98</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2,861,829,120.57</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49,175,665.47</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213,709,788.49</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4,238,984,304.51</w:t>
            </w:r>
          </w:p>
        </w:tc>
      </w:tr>
      <w:tr w:rsidR="00A067C6">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三、减值准备</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期初余额</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27,855,790.59</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10,863,099.09</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38,569.60</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169,493.51</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38,926,952.79</w:t>
            </w:r>
          </w:p>
        </w:tc>
      </w:tr>
      <w:tr w:rsidR="00A067C6">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本期增加金额</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1</w:t>
            </w:r>
            <w:r>
              <w:rPr>
                <w:rFonts w:ascii="宋体" w:eastAsia="宋体" w:hAnsi="宋体" w:cs="宋体"/>
                <w:sz w:val="18"/>
                <w:szCs w:val="18"/>
              </w:rPr>
              <w:t>）计提</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A067C6">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本期减少金额</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1</w:t>
            </w:r>
            <w:r>
              <w:rPr>
                <w:rFonts w:ascii="宋体" w:eastAsia="宋体" w:hAnsi="宋体" w:cs="宋体"/>
                <w:sz w:val="18"/>
                <w:szCs w:val="18"/>
              </w:rPr>
              <w:t>）处置或报废</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A067C6">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w:t>
            </w:r>
            <w:r>
              <w:rPr>
                <w:rFonts w:ascii="宋体" w:eastAsia="宋体" w:hAnsi="宋体" w:cs="宋体"/>
                <w:sz w:val="18"/>
                <w:szCs w:val="18"/>
              </w:rPr>
              <w:t>期末余额</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27,855,790.59</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10,863,099.09</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38,569.60</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169,493.51</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38,926,952.79</w:t>
            </w:r>
          </w:p>
        </w:tc>
      </w:tr>
      <w:tr w:rsidR="00A067C6">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四、账面价值</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期末账面价值</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2,361,154,426.89</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2,381,834,894.49</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13,794,625.02</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8,293,765.59</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4,765,077,711.99</w:t>
            </w:r>
          </w:p>
        </w:tc>
      </w:tr>
      <w:tr w:rsidR="00A067C6">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期初账面价值</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2,414,240,604.27</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2,549,617,496.61</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15,292,849.48</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7,847,608.04</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4,986,998,558.40</w:t>
            </w:r>
          </w:p>
        </w:tc>
      </w:tr>
    </w:tbl>
    <w:p w:rsidR="00A067C6" w:rsidRDefault="005C4966">
      <w:pPr>
        <w:keepNext/>
        <w:keepLines/>
        <w:spacing w:before="300" w:after="300" w:line="280" w:lineRule="exact"/>
        <w:outlineLvl w:val="3"/>
        <w:rPr>
          <w:rFonts w:ascii="宋体" w:eastAsia="宋体" w:hAnsi="宋体" w:cs="宋体"/>
          <w:b/>
          <w:bCs/>
          <w:szCs w:val="21"/>
        </w:rPr>
      </w:pPr>
      <w:bookmarkStart w:id="244" w:name="_Toc989136"/>
      <w:r>
        <w:rPr>
          <w:rFonts w:ascii="宋体" w:eastAsia="宋体" w:hAnsi="宋体" w:cs="宋体"/>
          <w:b/>
          <w:bCs/>
          <w:szCs w:val="21"/>
        </w:rPr>
        <w:t>（</w:t>
      </w:r>
      <w:r>
        <w:rPr>
          <w:rFonts w:ascii="宋体" w:eastAsia="宋体" w:hAnsi="宋体" w:cs="宋体"/>
          <w:b/>
          <w:bCs/>
          <w:szCs w:val="21"/>
        </w:rPr>
        <w:t>2</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暂时闲置的固定资产情况</w:t>
      </w:r>
      <w:bookmarkEnd w:id="244"/>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6"/>
        <w:gridCol w:w="1606"/>
        <w:gridCol w:w="1606"/>
        <w:gridCol w:w="1607"/>
        <w:gridCol w:w="1607"/>
        <w:gridCol w:w="1607"/>
      </w:tblGrid>
      <w:tr w:rsidR="00A067C6">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账面原值</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累计折旧</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备注</w:t>
            </w:r>
          </w:p>
        </w:tc>
      </w:tr>
      <w:tr w:rsidR="00A067C6">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房屋及建筑物</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182,658,859.38</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76,884,473.38</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10,518,148.49</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95,256,237.51</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机器设备</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34,635,868.75</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27,888,295.91</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6,747,572.84</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运输设备</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1,740,450.36</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1,566,405.33</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174,045.03</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电子及其他设备</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8,072,268.09</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7,264,279.91</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807,988.18</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227,107,446.58</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113,603,454.54</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10,518,148.49</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102,985,843.55</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bl>
    <w:p w:rsidR="00A067C6" w:rsidRDefault="005C4966">
      <w:pPr>
        <w:keepNext/>
        <w:keepLines/>
        <w:spacing w:before="300" w:after="300" w:line="280" w:lineRule="exact"/>
        <w:outlineLvl w:val="3"/>
        <w:rPr>
          <w:rFonts w:ascii="宋体" w:eastAsia="宋体" w:hAnsi="宋体" w:cs="宋体"/>
          <w:b/>
          <w:bCs/>
          <w:szCs w:val="21"/>
        </w:rPr>
      </w:pPr>
      <w:bookmarkStart w:id="245" w:name="_Toc989137"/>
      <w:r>
        <w:rPr>
          <w:rFonts w:ascii="宋体" w:eastAsia="宋体" w:hAnsi="宋体" w:cs="宋体"/>
          <w:b/>
          <w:bCs/>
          <w:szCs w:val="21"/>
        </w:rPr>
        <w:t>（</w:t>
      </w:r>
      <w:r>
        <w:rPr>
          <w:rFonts w:ascii="宋体" w:eastAsia="宋体" w:hAnsi="宋体" w:cs="宋体"/>
          <w:b/>
          <w:bCs/>
          <w:szCs w:val="21"/>
        </w:rPr>
        <w:t>3</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通过经营租赁租出的固定资产</w:t>
      </w:r>
      <w:bookmarkEnd w:id="245"/>
    </w:p>
    <w:p w:rsidR="00A067C6" w:rsidRDefault="005C4966">
      <w:pPr>
        <w:keepNext/>
        <w:keepLines/>
        <w:spacing w:before="300" w:after="300" w:line="280" w:lineRule="exact"/>
        <w:outlineLvl w:val="3"/>
        <w:rPr>
          <w:rFonts w:ascii="宋体" w:eastAsia="宋体" w:hAnsi="宋体" w:cs="宋体"/>
          <w:sz w:val="18"/>
          <w:szCs w:val="18"/>
        </w:rPr>
      </w:pPr>
      <w:bookmarkStart w:id="246" w:name="_Toc989138"/>
      <w:r>
        <w:rPr>
          <w:rFonts w:ascii="宋体" w:eastAsia="宋体" w:hAnsi="宋体" w:cs="宋体" w:hint="eastAsia"/>
          <w:sz w:val="18"/>
          <w:szCs w:val="18"/>
        </w:rPr>
        <w:t>无。</w:t>
      </w:r>
    </w:p>
    <w:p w:rsidR="00A067C6" w:rsidRDefault="005C4966">
      <w:pPr>
        <w:keepNext/>
        <w:keepLines/>
        <w:spacing w:before="300" w:after="300" w:line="280" w:lineRule="exact"/>
        <w:outlineLvl w:val="3"/>
        <w:rPr>
          <w:rFonts w:ascii="宋体" w:eastAsia="宋体" w:hAnsi="宋体" w:cs="宋体"/>
          <w:b/>
          <w:bCs/>
          <w:szCs w:val="21"/>
        </w:rPr>
      </w:pPr>
      <w:r>
        <w:rPr>
          <w:rFonts w:ascii="宋体" w:eastAsia="宋体" w:hAnsi="宋体" w:cs="宋体"/>
          <w:b/>
          <w:bCs/>
          <w:szCs w:val="21"/>
        </w:rPr>
        <w:t>（</w:t>
      </w:r>
      <w:r>
        <w:rPr>
          <w:rFonts w:ascii="宋体" w:eastAsia="宋体" w:hAnsi="宋体" w:cs="宋体"/>
          <w:b/>
          <w:bCs/>
          <w:szCs w:val="21"/>
        </w:rPr>
        <w:t>4</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未办妥产权证书的固定资产情况</w:t>
      </w:r>
      <w:bookmarkEnd w:id="246"/>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未办妥产权证书的原因</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房屋及建筑物</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304,054,359.54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尚在办理中</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ascii="宋体" w:eastAsia="宋体" w:hAnsi="宋体" w:cs="宋体" w:hint="eastAsia"/>
          <w:sz w:val="18"/>
          <w:szCs w:val="18"/>
        </w:rPr>
        <w:t>：</w:t>
      </w:r>
      <w:r>
        <w:rPr>
          <w:rFonts w:hint="eastAsia"/>
          <w:sz w:val="18"/>
          <w:szCs w:val="18"/>
        </w:rPr>
        <w:t>无。</w:t>
      </w:r>
    </w:p>
    <w:p w:rsidR="00A067C6" w:rsidRDefault="005C4966">
      <w:pPr>
        <w:keepNext/>
        <w:keepLines/>
        <w:spacing w:before="300" w:after="300" w:line="280" w:lineRule="exact"/>
        <w:outlineLvl w:val="3"/>
        <w:rPr>
          <w:rFonts w:ascii="宋体" w:eastAsia="宋体" w:hAnsi="宋体" w:cs="宋体"/>
          <w:b/>
          <w:bCs/>
          <w:szCs w:val="21"/>
        </w:rPr>
      </w:pPr>
      <w:bookmarkStart w:id="247" w:name="_Toc989139"/>
      <w:r>
        <w:rPr>
          <w:rFonts w:ascii="宋体" w:eastAsia="宋体" w:hAnsi="宋体" w:cs="宋体"/>
          <w:b/>
          <w:bCs/>
          <w:szCs w:val="21"/>
        </w:rPr>
        <w:t>（</w:t>
      </w:r>
      <w:r>
        <w:rPr>
          <w:rFonts w:ascii="宋体" w:eastAsia="宋体" w:hAnsi="宋体" w:cs="宋体"/>
          <w:b/>
          <w:bCs/>
          <w:szCs w:val="21"/>
        </w:rPr>
        <w:t>5</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固定资产清理</w:t>
      </w:r>
      <w:bookmarkEnd w:id="247"/>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待处理设备</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1,103,045.72</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411,500.27</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1,103,045.72</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411,500.27</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pStyle w:val="3"/>
        <w:spacing w:line="280" w:lineRule="exact"/>
        <w:jc w:val="left"/>
        <w:rPr>
          <w:rFonts w:ascii="宋体" w:hAnsi="宋体" w:cs="宋体"/>
          <w:b/>
          <w:bCs/>
        </w:rPr>
      </w:pPr>
      <w:bookmarkStart w:id="248" w:name="_Toc989140"/>
      <w:r>
        <w:rPr>
          <w:rFonts w:ascii="宋体" w:hAnsi="宋体" w:cs="宋体"/>
          <w:b/>
          <w:bCs/>
        </w:rPr>
        <w:t>22</w:t>
      </w:r>
      <w:r>
        <w:rPr>
          <w:rFonts w:ascii="宋体" w:hAnsi="宋体" w:cs="宋体"/>
          <w:b/>
          <w:bCs/>
        </w:rPr>
        <w:t>、在建工程</w:t>
      </w:r>
      <w:bookmarkEnd w:id="248"/>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492,426,795.80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405,320,838.98</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492,426,795.80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405,320,838.98</w:t>
            </w:r>
          </w:p>
        </w:tc>
      </w:tr>
    </w:tbl>
    <w:p w:rsidR="00A067C6" w:rsidRDefault="005C4966">
      <w:pPr>
        <w:keepNext/>
        <w:keepLines/>
        <w:spacing w:before="300" w:after="300" w:line="280" w:lineRule="exact"/>
        <w:outlineLvl w:val="3"/>
        <w:rPr>
          <w:rFonts w:ascii="宋体" w:eastAsia="宋体" w:hAnsi="宋体" w:cs="宋体"/>
          <w:b/>
          <w:bCs/>
          <w:szCs w:val="21"/>
        </w:rPr>
      </w:pPr>
      <w:bookmarkStart w:id="249" w:name="_Toc989141"/>
      <w:r>
        <w:rPr>
          <w:rFonts w:ascii="宋体" w:eastAsia="宋体" w:hAnsi="宋体" w:cs="宋体"/>
          <w:b/>
          <w:bCs/>
          <w:szCs w:val="21"/>
        </w:rPr>
        <w:t>（</w:t>
      </w:r>
      <w:r>
        <w:rPr>
          <w:rFonts w:ascii="宋体" w:eastAsia="宋体" w:hAnsi="宋体" w:cs="宋体"/>
          <w:b/>
          <w:bCs/>
          <w:szCs w:val="21"/>
        </w:rPr>
        <w:t>1</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在建工程情况</w:t>
      </w:r>
      <w:bookmarkEnd w:id="249"/>
    </w:p>
    <w:p w:rsidR="00A067C6" w:rsidRDefault="00A067C6">
      <w:pPr>
        <w:keepNext/>
        <w:keepLines/>
        <w:spacing w:before="300" w:after="300" w:line="280" w:lineRule="exact"/>
        <w:outlineLvl w:val="3"/>
        <w:rPr>
          <w:rFonts w:ascii="宋体" w:eastAsia="宋体" w:hAnsi="宋体" w:cs="宋体"/>
          <w:b/>
          <w:bCs/>
          <w:szCs w:val="21"/>
        </w:rPr>
      </w:pPr>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566"/>
        <w:gridCol w:w="993"/>
        <w:gridCol w:w="1572"/>
        <w:gridCol w:w="1546"/>
        <w:gridCol w:w="992"/>
        <w:gridCol w:w="1593"/>
      </w:tblGrid>
      <w:tr w:rsidR="00A067C6">
        <w:trPr>
          <w:cantSplit/>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A067C6">
        <w:trPr>
          <w:cantSplit/>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56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99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572"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54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59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A067C6">
        <w:trPr>
          <w:cantSplit/>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浙江色纺二期项目</w:t>
            </w:r>
          </w:p>
        </w:tc>
        <w:tc>
          <w:tcPr>
            <w:tcW w:w="156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1,936,730.16</w:t>
            </w:r>
          </w:p>
        </w:tc>
        <w:tc>
          <w:tcPr>
            <w:tcW w:w="99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57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1,936,730.16</w:t>
            </w:r>
          </w:p>
        </w:tc>
        <w:tc>
          <w:tcPr>
            <w:tcW w:w="154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1,955,779.15</w:t>
            </w:r>
          </w:p>
        </w:tc>
        <w:tc>
          <w:tcPr>
            <w:tcW w:w="99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1,955,779.15</w:t>
            </w:r>
          </w:p>
        </w:tc>
      </w:tr>
      <w:tr w:rsidR="00A067C6">
        <w:trPr>
          <w:cantSplit/>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阿克苏华孚在建工程</w:t>
            </w:r>
          </w:p>
        </w:tc>
        <w:tc>
          <w:tcPr>
            <w:tcW w:w="156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3,594,415.84</w:t>
            </w:r>
          </w:p>
        </w:tc>
        <w:tc>
          <w:tcPr>
            <w:tcW w:w="99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57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3,594,415.84</w:t>
            </w:r>
          </w:p>
        </w:tc>
        <w:tc>
          <w:tcPr>
            <w:tcW w:w="154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3,496,754.95</w:t>
            </w:r>
          </w:p>
        </w:tc>
        <w:tc>
          <w:tcPr>
            <w:tcW w:w="99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3,496,754.95</w:t>
            </w:r>
          </w:p>
        </w:tc>
      </w:tr>
      <w:tr w:rsidR="00A067C6">
        <w:trPr>
          <w:cantSplit/>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深圳进出口在建工程</w:t>
            </w:r>
          </w:p>
        </w:tc>
        <w:tc>
          <w:tcPr>
            <w:tcW w:w="156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9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57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54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cantSplit/>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越南华孚在建工程</w:t>
            </w:r>
          </w:p>
        </w:tc>
        <w:tc>
          <w:tcPr>
            <w:tcW w:w="156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9,075,343.08</w:t>
            </w:r>
          </w:p>
        </w:tc>
        <w:tc>
          <w:tcPr>
            <w:tcW w:w="99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57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9,075,343.08</w:t>
            </w:r>
          </w:p>
        </w:tc>
        <w:tc>
          <w:tcPr>
            <w:tcW w:w="154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2,747,347.11</w:t>
            </w:r>
          </w:p>
        </w:tc>
        <w:tc>
          <w:tcPr>
            <w:tcW w:w="99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2,747,347.11</w:t>
            </w:r>
          </w:p>
        </w:tc>
      </w:tr>
      <w:tr w:rsidR="00A067C6">
        <w:trPr>
          <w:cantSplit/>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阿克苏标信在建工程</w:t>
            </w:r>
          </w:p>
        </w:tc>
        <w:tc>
          <w:tcPr>
            <w:tcW w:w="156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33,809,104.53</w:t>
            </w:r>
          </w:p>
        </w:tc>
        <w:tc>
          <w:tcPr>
            <w:tcW w:w="99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57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33,809,104.53</w:t>
            </w:r>
          </w:p>
        </w:tc>
        <w:tc>
          <w:tcPr>
            <w:tcW w:w="154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29,253,681.20</w:t>
            </w:r>
          </w:p>
        </w:tc>
        <w:tc>
          <w:tcPr>
            <w:tcW w:w="99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29,253,681.20</w:t>
            </w:r>
          </w:p>
        </w:tc>
      </w:tr>
      <w:tr w:rsidR="00A067C6">
        <w:trPr>
          <w:cantSplit/>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淮北华孚供应链厂区建设</w:t>
            </w:r>
          </w:p>
        </w:tc>
        <w:tc>
          <w:tcPr>
            <w:tcW w:w="156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9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57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54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cantSplit/>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其他项目</w:t>
            </w:r>
          </w:p>
        </w:tc>
        <w:tc>
          <w:tcPr>
            <w:tcW w:w="156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265,486.73</w:t>
            </w:r>
          </w:p>
        </w:tc>
        <w:tc>
          <w:tcPr>
            <w:tcW w:w="99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57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265,486.73</w:t>
            </w:r>
          </w:p>
        </w:tc>
        <w:tc>
          <w:tcPr>
            <w:tcW w:w="154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265,486.73</w:t>
            </w:r>
          </w:p>
        </w:tc>
        <w:tc>
          <w:tcPr>
            <w:tcW w:w="99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265,486.73</w:t>
            </w:r>
          </w:p>
        </w:tc>
      </w:tr>
      <w:tr w:rsidR="00A067C6">
        <w:trPr>
          <w:cantSplit/>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越南英鸿工业园建设项目</w:t>
            </w:r>
          </w:p>
        </w:tc>
        <w:tc>
          <w:tcPr>
            <w:tcW w:w="156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268,543,379.49</w:t>
            </w:r>
          </w:p>
        </w:tc>
        <w:tc>
          <w:tcPr>
            <w:tcW w:w="99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57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268,543,379.49</w:t>
            </w:r>
          </w:p>
        </w:tc>
        <w:tc>
          <w:tcPr>
            <w:tcW w:w="154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213,614,727.91</w:t>
            </w:r>
          </w:p>
        </w:tc>
        <w:tc>
          <w:tcPr>
            <w:tcW w:w="99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213,614,727.91</w:t>
            </w:r>
          </w:p>
        </w:tc>
      </w:tr>
      <w:tr w:rsidR="00A067C6">
        <w:trPr>
          <w:cantSplit/>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阿大数字袜制品生产车间</w:t>
            </w:r>
          </w:p>
        </w:tc>
        <w:tc>
          <w:tcPr>
            <w:tcW w:w="156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78,994,876.03</w:t>
            </w:r>
          </w:p>
        </w:tc>
        <w:tc>
          <w:tcPr>
            <w:tcW w:w="99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57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78,994,876.03</w:t>
            </w:r>
          </w:p>
        </w:tc>
        <w:tc>
          <w:tcPr>
            <w:tcW w:w="154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86,362,522.39</w:t>
            </w:r>
          </w:p>
        </w:tc>
        <w:tc>
          <w:tcPr>
            <w:tcW w:w="99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86,362,522.39</w:t>
            </w:r>
          </w:p>
        </w:tc>
      </w:tr>
      <w:tr w:rsidR="00A067C6">
        <w:trPr>
          <w:cantSplit/>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30</w:t>
            </w:r>
            <w:r>
              <w:rPr>
                <w:rFonts w:ascii="宋体" w:eastAsia="宋体" w:hAnsi="宋体" w:cs="宋体"/>
                <w:sz w:val="18"/>
                <w:szCs w:val="18"/>
              </w:rPr>
              <w:t>万锭智能产业园项目</w:t>
            </w:r>
          </w:p>
        </w:tc>
        <w:tc>
          <w:tcPr>
            <w:tcW w:w="156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96,207,459.94</w:t>
            </w:r>
          </w:p>
        </w:tc>
        <w:tc>
          <w:tcPr>
            <w:tcW w:w="99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57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96,207,459.94</w:t>
            </w:r>
          </w:p>
        </w:tc>
        <w:tc>
          <w:tcPr>
            <w:tcW w:w="154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67,624,539.54</w:t>
            </w:r>
          </w:p>
        </w:tc>
        <w:tc>
          <w:tcPr>
            <w:tcW w:w="99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67,624,539.54</w:t>
            </w:r>
          </w:p>
        </w:tc>
      </w:tr>
      <w:tr w:rsidR="00A067C6">
        <w:trPr>
          <w:cantSplit/>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56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492,426,795.80</w:t>
            </w:r>
          </w:p>
        </w:tc>
        <w:tc>
          <w:tcPr>
            <w:tcW w:w="99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57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492,426,795.80</w:t>
            </w:r>
          </w:p>
        </w:tc>
        <w:tc>
          <w:tcPr>
            <w:tcW w:w="154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405,320,838.98</w:t>
            </w:r>
          </w:p>
        </w:tc>
        <w:tc>
          <w:tcPr>
            <w:tcW w:w="99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405,320,838.98</w:t>
            </w:r>
          </w:p>
        </w:tc>
      </w:tr>
    </w:tbl>
    <w:p w:rsidR="00A067C6" w:rsidRDefault="005C4966">
      <w:pPr>
        <w:keepNext/>
        <w:keepLines/>
        <w:spacing w:before="300" w:after="300" w:line="280" w:lineRule="exact"/>
        <w:outlineLvl w:val="3"/>
        <w:rPr>
          <w:rFonts w:ascii="宋体" w:eastAsia="宋体" w:hAnsi="宋体" w:cs="宋体"/>
          <w:b/>
          <w:bCs/>
          <w:szCs w:val="21"/>
        </w:rPr>
      </w:pPr>
      <w:bookmarkStart w:id="250" w:name="_Toc989142"/>
      <w:r>
        <w:rPr>
          <w:rFonts w:ascii="宋体" w:eastAsia="宋体" w:hAnsi="宋体" w:cs="宋体"/>
          <w:b/>
          <w:bCs/>
          <w:szCs w:val="21"/>
        </w:rPr>
        <w:t>（</w:t>
      </w:r>
      <w:r>
        <w:rPr>
          <w:rFonts w:ascii="宋体" w:eastAsia="宋体" w:hAnsi="宋体" w:cs="宋体"/>
          <w:b/>
          <w:bCs/>
          <w:szCs w:val="21"/>
        </w:rPr>
        <w:t>2</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重要在建工程项目本期变动情况</w:t>
      </w:r>
      <w:bookmarkEnd w:id="250"/>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42"/>
        <w:gridCol w:w="742"/>
        <w:gridCol w:w="742"/>
        <w:gridCol w:w="742"/>
        <w:gridCol w:w="742"/>
        <w:gridCol w:w="742"/>
        <w:gridCol w:w="741"/>
        <w:gridCol w:w="741"/>
        <w:gridCol w:w="741"/>
        <w:gridCol w:w="741"/>
        <w:gridCol w:w="741"/>
        <w:gridCol w:w="741"/>
        <w:gridCol w:w="741"/>
      </w:tblGrid>
      <w:tr w:rsidR="00A067C6">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项目名称</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预算数</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本期增加金额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本期转入固定资产金额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本期其他减少金额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工程累计投入占预算比例</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工程进度</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利息资本化累计金额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其中：本期利息资本化金额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本期利息资本化率</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资金来源</w:t>
            </w:r>
          </w:p>
        </w:tc>
      </w:tr>
      <w:tr w:rsidR="00A067C6">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越南英鸿工业园建设项目</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329,063,616.00</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213,614,727.91</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54,928,651.58</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268,543,379.49</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81.61%</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81.61%</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其他</w:t>
            </w:r>
          </w:p>
        </w:tc>
      </w:tr>
      <w:tr w:rsidR="00A067C6">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30</w:t>
            </w:r>
            <w:r>
              <w:rPr>
                <w:rFonts w:ascii="宋体" w:eastAsia="宋体" w:hAnsi="宋体" w:cs="宋体"/>
                <w:sz w:val="18"/>
                <w:szCs w:val="18"/>
              </w:rPr>
              <w:t>万锭智能产业园项目</w:t>
            </w:r>
            <w:r>
              <w:rPr>
                <w:rFonts w:ascii="宋体" w:eastAsia="宋体" w:hAnsi="宋体" w:cs="宋体"/>
                <w:sz w:val="18"/>
                <w:szCs w:val="18"/>
              </w:rPr>
              <w:t>1</w:t>
            </w:r>
            <w:r>
              <w:rPr>
                <w:rFonts w:ascii="宋体" w:eastAsia="宋体" w:hAnsi="宋体" w:cs="宋体"/>
                <w:sz w:val="18"/>
                <w:szCs w:val="18"/>
              </w:rPr>
              <w:t>期</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448,882,085.78</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67,624,539.54</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28,930,054.01</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347,133.61</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96,207,459.94</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21.51%</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21.51%</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募股资金</w:t>
            </w:r>
          </w:p>
        </w:tc>
      </w:tr>
      <w:tr w:rsidR="00A067C6">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阿大数字袜制品生产车间</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134,620,750.88</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86,362,522.39</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888,990.83</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8,256,637.19</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78,994,876.03</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64.81%</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64.81%</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其他</w:t>
            </w:r>
          </w:p>
        </w:tc>
      </w:tr>
      <w:tr w:rsidR="00A067C6">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阿克苏标信在建工程</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37,638,942.27</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29,673,564.02</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7,154,202.60</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2,598,779.27</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34,228,987.35</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97.84%</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97.84%</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其他</w:t>
            </w:r>
          </w:p>
        </w:tc>
      </w:tr>
      <w:tr w:rsidR="00A067C6">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950,205,394.93</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397,275,353.86</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91,901,899.02</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11,202,550.07</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477,974,702.81</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bl>
    <w:p w:rsidR="00A067C6" w:rsidRDefault="005C4966">
      <w:pPr>
        <w:keepNext/>
        <w:keepLines/>
        <w:spacing w:before="300" w:after="300" w:line="280" w:lineRule="exact"/>
        <w:outlineLvl w:val="3"/>
        <w:rPr>
          <w:rFonts w:ascii="宋体" w:eastAsia="宋体" w:hAnsi="宋体" w:cs="宋体"/>
          <w:b/>
          <w:bCs/>
          <w:szCs w:val="21"/>
        </w:rPr>
      </w:pPr>
      <w:bookmarkStart w:id="251" w:name="_Toc989143"/>
      <w:r>
        <w:rPr>
          <w:rFonts w:ascii="宋体" w:eastAsia="宋体" w:hAnsi="宋体" w:cs="宋体"/>
          <w:b/>
          <w:bCs/>
          <w:szCs w:val="21"/>
        </w:rPr>
        <w:t>（</w:t>
      </w:r>
      <w:r>
        <w:rPr>
          <w:rFonts w:ascii="宋体" w:eastAsia="宋体" w:hAnsi="宋体" w:cs="宋体"/>
          <w:b/>
          <w:bCs/>
          <w:szCs w:val="21"/>
        </w:rPr>
        <w:t>3</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本期计提在建工程减值准备情况</w:t>
      </w:r>
      <w:bookmarkEnd w:id="251"/>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ascii="宋体" w:eastAsia="宋体" w:hAnsi="宋体" w:cs="宋体" w:hint="eastAsia"/>
          <w:sz w:val="18"/>
          <w:szCs w:val="18"/>
        </w:rPr>
        <w:t>：</w:t>
      </w:r>
      <w:r>
        <w:rPr>
          <w:rFonts w:hint="eastAsia"/>
          <w:sz w:val="18"/>
          <w:szCs w:val="18"/>
        </w:rPr>
        <w:t>无。</w:t>
      </w:r>
    </w:p>
    <w:p w:rsidR="00A067C6" w:rsidRDefault="005C4966">
      <w:pPr>
        <w:keepNext/>
        <w:keepLines/>
        <w:spacing w:before="300" w:after="300" w:line="280" w:lineRule="exact"/>
        <w:outlineLvl w:val="3"/>
        <w:rPr>
          <w:rFonts w:ascii="宋体" w:eastAsia="宋体" w:hAnsi="宋体" w:cs="宋体"/>
          <w:b/>
          <w:bCs/>
          <w:szCs w:val="21"/>
        </w:rPr>
      </w:pPr>
      <w:bookmarkStart w:id="252" w:name="_Toc989144"/>
      <w:r>
        <w:rPr>
          <w:rFonts w:ascii="宋体" w:eastAsia="宋体" w:hAnsi="宋体" w:cs="宋体"/>
          <w:b/>
          <w:bCs/>
          <w:szCs w:val="21"/>
        </w:rPr>
        <w:t>（</w:t>
      </w:r>
      <w:r>
        <w:rPr>
          <w:rFonts w:ascii="宋体" w:eastAsia="宋体" w:hAnsi="宋体" w:cs="宋体"/>
          <w:b/>
          <w:bCs/>
          <w:szCs w:val="21"/>
        </w:rPr>
        <w:t>4</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工程物资</w:t>
      </w:r>
      <w:bookmarkEnd w:id="252"/>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pStyle w:val="3"/>
        <w:spacing w:line="280" w:lineRule="exact"/>
        <w:jc w:val="left"/>
        <w:rPr>
          <w:rFonts w:ascii="宋体" w:hAnsi="宋体" w:cs="宋体"/>
          <w:b/>
          <w:bCs/>
        </w:rPr>
      </w:pPr>
      <w:bookmarkStart w:id="253" w:name="_Toc989145"/>
      <w:r>
        <w:rPr>
          <w:rFonts w:ascii="宋体" w:hAnsi="宋体" w:cs="宋体"/>
          <w:b/>
          <w:bCs/>
        </w:rPr>
        <w:t>23</w:t>
      </w:r>
      <w:r>
        <w:rPr>
          <w:rFonts w:ascii="宋体" w:hAnsi="宋体" w:cs="宋体"/>
          <w:b/>
          <w:bCs/>
        </w:rPr>
        <w:t>、生产性生物资产</w:t>
      </w:r>
      <w:bookmarkEnd w:id="253"/>
    </w:p>
    <w:p w:rsidR="00A067C6" w:rsidRDefault="005C4966">
      <w:pPr>
        <w:keepNext/>
        <w:keepLines/>
        <w:spacing w:before="300" w:after="300" w:line="280" w:lineRule="exact"/>
        <w:outlineLvl w:val="3"/>
        <w:rPr>
          <w:rFonts w:ascii="宋体" w:eastAsia="宋体" w:hAnsi="宋体" w:cs="宋体"/>
          <w:b/>
          <w:bCs/>
          <w:szCs w:val="21"/>
        </w:rPr>
      </w:pPr>
      <w:bookmarkStart w:id="254" w:name="_Toc989146"/>
      <w:r>
        <w:rPr>
          <w:rFonts w:ascii="宋体" w:eastAsia="宋体" w:hAnsi="宋体" w:cs="宋体"/>
          <w:b/>
          <w:bCs/>
          <w:szCs w:val="21"/>
        </w:rPr>
        <w:t>（</w:t>
      </w:r>
      <w:r>
        <w:rPr>
          <w:rFonts w:ascii="宋体" w:eastAsia="宋体" w:hAnsi="宋体" w:cs="宋体"/>
          <w:b/>
          <w:bCs/>
          <w:szCs w:val="21"/>
        </w:rPr>
        <w:t>1</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采用成本计量模式的生产性生物资产</w:t>
      </w:r>
      <w:bookmarkEnd w:id="254"/>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keepNext/>
        <w:keepLines/>
        <w:spacing w:before="300" w:after="300" w:line="280" w:lineRule="exact"/>
        <w:outlineLvl w:val="3"/>
        <w:rPr>
          <w:rFonts w:ascii="宋体" w:eastAsia="宋体" w:hAnsi="宋体" w:cs="宋体"/>
          <w:b/>
          <w:bCs/>
          <w:szCs w:val="21"/>
        </w:rPr>
      </w:pPr>
      <w:bookmarkStart w:id="255" w:name="_Toc989147"/>
      <w:r>
        <w:rPr>
          <w:rFonts w:ascii="宋体" w:eastAsia="宋体" w:hAnsi="宋体" w:cs="宋体"/>
          <w:b/>
          <w:bCs/>
          <w:szCs w:val="21"/>
        </w:rPr>
        <w:t>（</w:t>
      </w:r>
      <w:r>
        <w:rPr>
          <w:rFonts w:ascii="宋体" w:eastAsia="宋体" w:hAnsi="宋体" w:cs="宋体"/>
          <w:b/>
          <w:bCs/>
          <w:szCs w:val="21"/>
        </w:rPr>
        <w:t>2</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采用公允价值计量模式的生产性生物资产</w:t>
      </w:r>
      <w:bookmarkEnd w:id="255"/>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pStyle w:val="3"/>
        <w:spacing w:line="280" w:lineRule="exact"/>
        <w:jc w:val="left"/>
        <w:rPr>
          <w:rFonts w:ascii="宋体" w:hAnsi="宋体" w:cs="宋体"/>
          <w:b/>
          <w:bCs/>
        </w:rPr>
      </w:pPr>
      <w:bookmarkStart w:id="256" w:name="_Toc989148"/>
      <w:r>
        <w:rPr>
          <w:rFonts w:ascii="宋体" w:hAnsi="宋体" w:cs="宋体"/>
          <w:b/>
          <w:bCs/>
        </w:rPr>
        <w:t>24</w:t>
      </w:r>
      <w:r>
        <w:rPr>
          <w:rFonts w:ascii="宋体" w:hAnsi="宋体" w:cs="宋体"/>
          <w:b/>
          <w:bCs/>
        </w:rPr>
        <w:t>、油气资产</w:t>
      </w:r>
      <w:bookmarkEnd w:id="256"/>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pStyle w:val="3"/>
        <w:spacing w:line="280" w:lineRule="exact"/>
        <w:jc w:val="left"/>
        <w:rPr>
          <w:rFonts w:ascii="宋体" w:hAnsi="宋体" w:cs="宋体"/>
          <w:b/>
          <w:bCs/>
        </w:rPr>
      </w:pPr>
      <w:bookmarkStart w:id="257" w:name="_Toc989149"/>
      <w:r>
        <w:rPr>
          <w:rFonts w:ascii="宋体" w:hAnsi="宋体" w:cs="宋体"/>
          <w:b/>
          <w:bCs/>
        </w:rPr>
        <w:t>25</w:t>
      </w:r>
      <w:r>
        <w:rPr>
          <w:rFonts w:ascii="宋体" w:hAnsi="宋体" w:cs="宋体"/>
          <w:b/>
          <w:bCs/>
        </w:rPr>
        <w:t>、使用权资产</w:t>
      </w:r>
      <w:bookmarkEnd w:id="257"/>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jc w:val="center"/>
              <w:rPr>
                <w:rFonts w:ascii="宋体" w:eastAsia="宋体" w:hAnsi="宋体" w:cs="宋体"/>
                <w:sz w:val="18"/>
                <w:szCs w:val="18"/>
              </w:rPr>
            </w:pPr>
            <w:r>
              <w:rPr>
                <w:rFonts w:ascii="宋体" w:eastAsia="宋体" w:hAnsi="宋体" w:cs="宋体"/>
                <w:sz w:val="18"/>
                <w:szCs w:val="18"/>
              </w:rPr>
              <w:t>房屋及建筑物</w:t>
            </w:r>
          </w:p>
        </w:tc>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jc w:val="center"/>
              <w:rPr>
                <w:rFonts w:ascii="宋体" w:eastAsia="宋体" w:hAnsi="宋体" w:cs="宋体"/>
                <w:sz w:val="18"/>
                <w:szCs w:val="18"/>
              </w:rPr>
            </w:pPr>
            <w:r>
              <w:rPr>
                <w:rFonts w:ascii="宋体" w:eastAsia="宋体" w:hAnsi="宋体" w:cs="宋体"/>
                <w:sz w:val="18"/>
                <w:szCs w:val="18"/>
              </w:rPr>
              <w:t>机器设备</w:t>
            </w:r>
          </w:p>
        </w:tc>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一、账面原值</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期初余额</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38,626,838.86</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715,358.08</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39,342,196.94</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本期增加金额</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2,327,608.31</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2,327,608.31</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xml:space="preserve"> </w:t>
            </w:r>
            <w:r>
              <w:rPr>
                <w:rFonts w:ascii="宋体" w:eastAsia="宋体" w:hAnsi="宋体" w:cs="宋体"/>
                <w:sz w:val="18"/>
                <w:szCs w:val="18"/>
              </w:rPr>
              <w:t>租赁</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2,327,608.31</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2,327,608.31</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本期减少金额</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32,220.96</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32,220.96</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处置</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32,220.96</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32,220.96</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w:t>
            </w:r>
            <w:r>
              <w:rPr>
                <w:rFonts w:ascii="宋体" w:eastAsia="宋体" w:hAnsi="宋体" w:cs="宋体"/>
                <w:sz w:val="18"/>
                <w:szCs w:val="18"/>
              </w:rPr>
              <w:t>期末余额</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40,922,226.21</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715,358.08</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41,637,584.29</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二、累计折旧</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期初余额</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15,906,186.06</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160,454.16</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16,066,640.22</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本期增加金额</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4,075,436.08</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44,247.85</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4,119,683.93</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1</w:t>
            </w:r>
            <w:r>
              <w:rPr>
                <w:rFonts w:ascii="宋体" w:eastAsia="宋体" w:hAnsi="宋体" w:cs="宋体"/>
                <w:sz w:val="18"/>
                <w:szCs w:val="18"/>
              </w:rPr>
              <w:t>）计提</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4,075,436.08</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44,247.85</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4,119,683.93</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A067C6">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本期减少金额</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1</w:t>
            </w:r>
            <w:r>
              <w:rPr>
                <w:rFonts w:ascii="宋体" w:eastAsia="宋体" w:hAnsi="宋体" w:cs="宋体"/>
                <w:sz w:val="18"/>
                <w:szCs w:val="18"/>
              </w:rPr>
              <w:t>）处置</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A067C6">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w:t>
            </w:r>
            <w:r>
              <w:rPr>
                <w:rFonts w:ascii="宋体" w:eastAsia="宋体" w:hAnsi="宋体" w:cs="宋体"/>
                <w:sz w:val="18"/>
                <w:szCs w:val="18"/>
              </w:rPr>
              <w:t>期末余额</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三、减值准备</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期初余额</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本期增加金额</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1</w:t>
            </w:r>
            <w:r>
              <w:rPr>
                <w:rFonts w:ascii="宋体" w:eastAsia="宋体" w:hAnsi="宋体" w:cs="宋体"/>
                <w:sz w:val="18"/>
                <w:szCs w:val="18"/>
              </w:rPr>
              <w:t>）计提</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A067C6">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本期减少金额</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1</w:t>
            </w:r>
            <w:r>
              <w:rPr>
                <w:rFonts w:ascii="宋体" w:eastAsia="宋体" w:hAnsi="宋体" w:cs="宋体"/>
                <w:sz w:val="18"/>
                <w:szCs w:val="18"/>
              </w:rPr>
              <w:t>）处置</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A067C6">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w:t>
            </w:r>
            <w:r>
              <w:rPr>
                <w:rFonts w:ascii="宋体" w:eastAsia="宋体" w:hAnsi="宋体" w:cs="宋体"/>
                <w:sz w:val="18"/>
                <w:szCs w:val="18"/>
              </w:rPr>
              <w:t>期末余额</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19,981,622.14</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204,702.01</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20,186,324.15</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四、账面价值</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期末账面价值</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20,940,604.07</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510,656.07</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21,451,260.14</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期初账面价值</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22,720,652.80</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554,903.92</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23,275,556.72</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pStyle w:val="3"/>
        <w:spacing w:line="280" w:lineRule="exact"/>
        <w:jc w:val="left"/>
        <w:rPr>
          <w:rFonts w:ascii="宋体" w:hAnsi="宋体" w:cs="宋体"/>
          <w:b/>
          <w:bCs/>
        </w:rPr>
      </w:pPr>
      <w:bookmarkStart w:id="258" w:name="_Toc989150"/>
      <w:r>
        <w:rPr>
          <w:rFonts w:ascii="宋体" w:hAnsi="宋体" w:cs="宋体"/>
          <w:b/>
          <w:bCs/>
        </w:rPr>
        <w:t>26</w:t>
      </w:r>
      <w:r>
        <w:rPr>
          <w:rFonts w:ascii="宋体" w:hAnsi="宋体" w:cs="宋体"/>
          <w:b/>
          <w:bCs/>
        </w:rPr>
        <w:t>、无形资产</w:t>
      </w:r>
      <w:bookmarkEnd w:id="258"/>
    </w:p>
    <w:p w:rsidR="00A067C6" w:rsidRDefault="005C4966">
      <w:pPr>
        <w:keepNext/>
        <w:keepLines/>
        <w:spacing w:before="300" w:after="300" w:line="280" w:lineRule="exact"/>
        <w:outlineLvl w:val="3"/>
        <w:rPr>
          <w:rFonts w:ascii="宋体" w:eastAsia="宋体" w:hAnsi="宋体" w:cs="宋体"/>
          <w:b/>
          <w:bCs/>
          <w:szCs w:val="21"/>
        </w:rPr>
      </w:pPr>
      <w:bookmarkStart w:id="259" w:name="_Toc989151"/>
      <w:r>
        <w:rPr>
          <w:rFonts w:ascii="宋体" w:eastAsia="宋体" w:hAnsi="宋体" w:cs="宋体"/>
          <w:b/>
          <w:bCs/>
          <w:szCs w:val="21"/>
        </w:rPr>
        <w:t>（</w:t>
      </w:r>
      <w:r>
        <w:rPr>
          <w:rFonts w:ascii="宋体" w:eastAsia="宋体" w:hAnsi="宋体" w:cs="宋体"/>
          <w:b/>
          <w:bCs/>
          <w:szCs w:val="21"/>
        </w:rPr>
        <w:t>1</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无形资产情况</w:t>
      </w:r>
      <w:bookmarkEnd w:id="259"/>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土地使用权</w:t>
            </w:r>
          </w:p>
        </w:tc>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专利权</w:t>
            </w:r>
          </w:p>
        </w:tc>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非专利技术</w:t>
            </w:r>
          </w:p>
        </w:tc>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jc w:val="center"/>
              <w:rPr>
                <w:rFonts w:ascii="宋体" w:eastAsia="宋体" w:hAnsi="宋体" w:cs="宋体"/>
                <w:sz w:val="18"/>
                <w:szCs w:val="18"/>
              </w:rPr>
            </w:pPr>
            <w:r>
              <w:rPr>
                <w:rFonts w:ascii="宋体" w:eastAsia="宋体" w:hAnsi="宋体" w:cs="宋体"/>
                <w:sz w:val="18"/>
                <w:szCs w:val="18"/>
              </w:rPr>
              <w:t>软件</w:t>
            </w:r>
          </w:p>
        </w:tc>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一、账面原值</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期初余额</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1,127,109,036.56</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29,109,593.98</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9,001,403.77</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1,165,220,034.31</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本期增加金额</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6,496,368.14</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263,957.84</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40,000.00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6,800,325.98</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1</w:t>
            </w:r>
            <w:r>
              <w:rPr>
                <w:rFonts w:ascii="宋体" w:eastAsia="宋体" w:hAnsi="宋体" w:cs="宋体"/>
                <w:sz w:val="18"/>
                <w:szCs w:val="18"/>
              </w:rPr>
              <w:t>）购置</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62,932.08</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263,957.84</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40,000.00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366,889.92</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2</w:t>
            </w:r>
            <w:r>
              <w:rPr>
                <w:rFonts w:ascii="宋体" w:eastAsia="宋体" w:hAnsi="宋体" w:cs="宋体"/>
                <w:sz w:val="18"/>
                <w:szCs w:val="18"/>
              </w:rPr>
              <w:t>）内部研发</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3</w:t>
            </w:r>
            <w:r>
              <w:rPr>
                <w:rFonts w:ascii="宋体" w:eastAsia="宋体" w:hAnsi="宋体" w:cs="宋体"/>
                <w:sz w:val="18"/>
                <w:szCs w:val="18"/>
              </w:rPr>
              <w:t>）企业合并增加</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外币报表折算差额</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6,433,436.06</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6,433,436.06</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本期减少金额</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66,990.29</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66,990.29</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1</w:t>
            </w:r>
            <w:r>
              <w:rPr>
                <w:rFonts w:ascii="宋体" w:eastAsia="宋体" w:hAnsi="宋体" w:cs="宋体"/>
                <w:sz w:val="18"/>
                <w:szCs w:val="18"/>
              </w:rPr>
              <w:t>）处置</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66,990.29</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66,990.29</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A067C6">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w:t>
            </w:r>
            <w:r>
              <w:rPr>
                <w:rFonts w:ascii="宋体" w:eastAsia="宋体" w:hAnsi="宋体" w:cs="宋体"/>
                <w:sz w:val="18"/>
                <w:szCs w:val="18"/>
              </w:rPr>
              <w:t>期末余额</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1,133,605,404.70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29,306,561.53</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9,041,403.77</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1,171,953,370.00</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二、累计摊销</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期初余额</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186,704,561.91</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22,767,799.63</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5,626,517.07</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215,098,878.61</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本期增加金额</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11,988,006.75</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718,961.12</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840,850.98</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13,547,818.85</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1</w:t>
            </w: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9,729,856.99</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718,961.12</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840,850.98</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11,289,669.09</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外币报表折算差额</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2,258,149.76</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2,258,149.76</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本期减少金额</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66,990.29</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66,990.29</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1</w:t>
            </w:r>
            <w:r>
              <w:rPr>
                <w:rFonts w:ascii="宋体" w:eastAsia="宋体" w:hAnsi="宋体" w:cs="宋体"/>
                <w:sz w:val="18"/>
                <w:szCs w:val="18"/>
              </w:rPr>
              <w:t>）处置</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66,990.29</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66,990.29</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A067C6">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w:t>
            </w:r>
            <w:r>
              <w:rPr>
                <w:rFonts w:ascii="宋体" w:eastAsia="宋体" w:hAnsi="宋体" w:cs="宋体"/>
                <w:sz w:val="18"/>
                <w:szCs w:val="18"/>
              </w:rPr>
              <w:t>期末余额</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198,692,568.66</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23,419,770.46</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6,467,368.05</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228,579,707.17</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三、减值准备</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期初余额</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本期增加金额</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1</w:t>
            </w: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A067C6">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本期减少金额</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1</w:t>
            </w:r>
            <w:r>
              <w:rPr>
                <w:rFonts w:ascii="宋体" w:eastAsia="宋体" w:hAnsi="宋体" w:cs="宋体"/>
                <w:sz w:val="18"/>
                <w:szCs w:val="18"/>
              </w:rPr>
              <w:t>）处置</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A067C6">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w:t>
            </w:r>
            <w:r>
              <w:rPr>
                <w:rFonts w:ascii="宋体" w:eastAsia="宋体" w:hAnsi="宋体" w:cs="宋体"/>
                <w:sz w:val="18"/>
                <w:szCs w:val="18"/>
              </w:rPr>
              <w:t>期末余额</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四、账面价值</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期末账面价值</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934,912,836.04</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5,886,791.07</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2,574,035.72</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943,373,662.83</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期初账面价值</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940,404,474.65</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6,341,794.35</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3,374,886.70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950,121,155.70</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本期末通过公司内部研发形成的无形资产占无形资产余额的比例</w:t>
      </w:r>
      <w:r>
        <w:rPr>
          <w:rFonts w:ascii="宋体" w:eastAsia="宋体" w:hAnsi="宋体" w:cs="宋体"/>
          <w:sz w:val="18"/>
          <w:szCs w:val="18"/>
        </w:rPr>
        <w:t>0.00%</w:t>
      </w:r>
    </w:p>
    <w:p w:rsidR="00A067C6" w:rsidRDefault="005C4966">
      <w:pPr>
        <w:keepNext/>
        <w:keepLines/>
        <w:spacing w:before="300" w:after="300" w:line="280" w:lineRule="exact"/>
        <w:outlineLvl w:val="3"/>
        <w:rPr>
          <w:rFonts w:ascii="宋体" w:eastAsia="宋体" w:hAnsi="宋体" w:cs="宋体"/>
          <w:b/>
          <w:bCs/>
          <w:szCs w:val="21"/>
        </w:rPr>
      </w:pPr>
      <w:bookmarkStart w:id="260" w:name="_Toc989152"/>
      <w:r>
        <w:rPr>
          <w:rFonts w:ascii="宋体" w:eastAsia="宋体" w:hAnsi="宋体" w:cs="宋体"/>
          <w:b/>
          <w:bCs/>
          <w:szCs w:val="21"/>
        </w:rPr>
        <w:t>（</w:t>
      </w:r>
      <w:r>
        <w:rPr>
          <w:rFonts w:ascii="宋体" w:eastAsia="宋体" w:hAnsi="宋体" w:cs="宋体"/>
          <w:b/>
          <w:bCs/>
          <w:szCs w:val="21"/>
        </w:rPr>
        <w:t>2</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未办妥产权证书的土地使用权情况</w:t>
      </w:r>
      <w:bookmarkEnd w:id="260"/>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未办妥产权证书的原因</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土地使用权</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64,961,726.80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xml:space="preserve"> </w:t>
            </w:r>
            <w:r>
              <w:rPr>
                <w:rFonts w:ascii="宋体" w:eastAsia="宋体" w:hAnsi="宋体" w:cs="宋体"/>
                <w:sz w:val="18"/>
                <w:szCs w:val="18"/>
              </w:rPr>
              <w:t>尚在办理中</w:t>
            </w:r>
          </w:p>
        </w:tc>
      </w:tr>
    </w:tbl>
    <w:p w:rsidR="00A067C6" w:rsidRDefault="005C4966">
      <w:pPr>
        <w:pStyle w:val="3"/>
        <w:spacing w:line="280" w:lineRule="exact"/>
        <w:jc w:val="left"/>
        <w:rPr>
          <w:rFonts w:ascii="宋体" w:hAnsi="宋体" w:cs="宋体"/>
          <w:b/>
          <w:bCs/>
        </w:rPr>
      </w:pPr>
      <w:bookmarkStart w:id="261" w:name="_Toc989153"/>
      <w:r>
        <w:rPr>
          <w:rFonts w:ascii="宋体" w:hAnsi="宋体" w:cs="宋体"/>
          <w:b/>
          <w:bCs/>
        </w:rPr>
        <w:t>27</w:t>
      </w:r>
      <w:r>
        <w:rPr>
          <w:rFonts w:ascii="宋体" w:hAnsi="宋体" w:cs="宋体"/>
          <w:b/>
          <w:bCs/>
        </w:rPr>
        <w:t>、开发支出</w:t>
      </w:r>
      <w:bookmarkEnd w:id="261"/>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ascii="宋体" w:eastAsia="宋体" w:hAnsi="宋体" w:cs="宋体" w:hint="eastAsia"/>
          <w:sz w:val="18"/>
          <w:szCs w:val="18"/>
        </w:rPr>
        <w:t>：</w:t>
      </w:r>
      <w:r>
        <w:rPr>
          <w:rFonts w:hint="eastAsia"/>
          <w:sz w:val="18"/>
          <w:szCs w:val="18"/>
        </w:rPr>
        <w:t>无。</w:t>
      </w:r>
    </w:p>
    <w:p w:rsidR="00A067C6" w:rsidRDefault="005C4966">
      <w:pPr>
        <w:pStyle w:val="3"/>
        <w:spacing w:line="280" w:lineRule="exact"/>
        <w:jc w:val="left"/>
        <w:rPr>
          <w:rFonts w:ascii="宋体" w:hAnsi="宋体" w:cs="宋体"/>
          <w:b/>
          <w:bCs/>
        </w:rPr>
      </w:pPr>
      <w:bookmarkStart w:id="262" w:name="_Toc989154"/>
      <w:r>
        <w:rPr>
          <w:rFonts w:ascii="宋体" w:hAnsi="宋体" w:cs="宋体"/>
          <w:b/>
          <w:bCs/>
        </w:rPr>
        <w:t>28</w:t>
      </w:r>
      <w:r>
        <w:rPr>
          <w:rFonts w:ascii="宋体" w:hAnsi="宋体" w:cs="宋体"/>
          <w:b/>
          <w:bCs/>
        </w:rPr>
        <w:t>、商誉</w:t>
      </w:r>
      <w:bookmarkEnd w:id="262"/>
    </w:p>
    <w:p w:rsidR="00A067C6" w:rsidRDefault="005C4966">
      <w:pPr>
        <w:keepNext/>
        <w:keepLines/>
        <w:spacing w:before="300" w:after="300" w:line="280" w:lineRule="exact"/>
        <w:outlineLvl w:val="3"/>
        <w:rPr>
          <w:rFonts w:ascii="宋体" w:eastAsia="宋体" w:hAnsi="宋体" w:cs="宋体"/>
          <w:b/>
          <w:bCs/>
          <w:szCs w:val="21"/>
        </w:rPr>
      </w:pPr>
      <w:bookmarkStart w:id="263" w:name="_Toc989155"/>
      <w:r>
        <w:rPr>
          <w:rFonts w:ascii="宋体" w:eastAsia="宋体" w:hAnsi="宋体" w:cs="宋体"/>
          <w:b/>
          <w:bCs/>
          <w:szCs w:val="21"/>
        </w:rPr>
        <w:t>（</w:t>
      </w:r>
      <w:r>
        <w:rPr>
          <w:rFonts w:ascii="宋体" w:eastAsia="宋体" w:hAnsi="宋体" w:cs="宋体"/>
          <w:b/>
          <w:bCs/>
          <w:szCs w:val="21"/>
        </w:rPr>
        <w:t>1</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商誉账面原值</w:t>
      </w:r>
      <w:bookmarkEnd w:id="263"/>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085"/>
        <w:gridCol w:w="1701"/>
        <w:gridCol w:w="1559"/>
        <w:gridCol w:w="1560"/>
        <w:gridCol w:w="1734"/>
      </w:tblGrid>
      <w:tr w:rsidR="00A067C6">
        <w:trPr>
          <w:trHeight w:val="240"/>
        </w:trPr>
        <w:tc>
          <w:tcPr>
            <w:tcW w:w="308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被投资单位名称或形成商誉的事项</w:t>
            </w:r>
          </w:p>
        </w:tc>
        <w:tc>
          <w:tcPr>
            <w:tcW w:w="170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734"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A067C6">
        <w:trPr>
          <w:trHeight w:val="240"/>
        </w:trPr>
        <w:tc>
          <w:tcPr>
            <w:tcW w:w="308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70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jc w:val="center"/>
              <w:rPr>
                <w:rFonts w:ascii="宋体" w:eastAsia="宋体" w:hAnsi="宋体" w:cs="宋体"/>
                <w:sz w:val="18"/>
                <w:szCs w:val="18"/>
              </w:rPr>
            </w:pPr>
            <w:r>
              <w:rPr>
                <w:rFonts w:ascii="宋体" w:eastAsia="宋体" w:hAnsi="宋体" w:cs="宋体"/>
                <w:sz w:val="18"/>
                <w:szCs w:val="18"/>
              </w:rPr>
              <w:t>企业合并形成的</w:t>
            </w:r>
          </w:p>
        </w:tc>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line="240" w:lineRule="exact"/>
              <w:jc w:val="center"/>
              <w:rPr>
                <w:rFonts w:ascii="宋体" w:eastAsia="宋体" w:hAnsi="宋体" w:cs="宋体"/>
                <w:sz w:val="18"/>
                <w:szCs w:val="18"/>
              </w:rPr>
            </w:pPr>
            <w:r>
              <w:rPr>
                <w:rFonts w:ascii="宋体" w:eastAsia="宋体" w:hAnsi="宋体" w:cs="宋体"/>
                <w:sz w:val="18"/>
                <w:szCs w:val="18"/>
              </w:rPr>
              <w:t>处置</w:t>
            </w:r>
          </w:p>
        </w:tc>
        <w:tc>
          <w:tcPr>
            <w:tcW w:w="1734"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308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新疆棉花交易市场有限责任公司</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3,861,366.21</w:t>
            </w:r>
          </w:p>
        </w:tc>
        <w:tc>
          <w:tcPr>
            <w:tcW w:w="1559" w:type="dxa"/>
            <w:tcBorders>
              <w:top w:val="single" w:sz="2" w:space="0" w:color="auto"/>
              <w:left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3,861,366.21</w:t>
            </w:r>
          </w:p>
        </w:tc>
      </w:tr>
      <w:tr w:rsidR="00A067C6">
        <w:trPr>
          <w:trHeight w:val="240"/>
        </w:trPr>
        <w:tc>
          <w:tcPr>
            <w:tcW w:w="308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浙江博忆纺织科技有限公司</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5,724,454.02</w:t>
            </w:r>
          </w:p>
        </w:tc>
        <w:tc>
          <w:tcPr>
            <w:tcW w:w="1559" w:type="dxa"/>
            <w:tcBorders>
              <w:left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560" w:type="dxa"/>
            <w:tcBorders>
              <w:left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5,724,454.02</w:t>
            </w:r>
          </w:p>
        </w:tc>
      </w:tr>
      <w:tr w:rsidR="00A067C6">
        <w:trPr>
          <w:trHeight w:val="240"/>
        </w:trPr>
        <w:tc>
          <w:tcPr>
            <w:tcW w:w="308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浙江鲲驰互联科技有限公司</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147,900,475.26</w:t>
            </w:r>
          </w:p>
        </w:tc>
        <w:tc>
          <w:tcPr>
            <w:tcW w:w="1559" w:type="dxa"/>
            <w:tcBorders>
              <w:left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560" w:type="dxa"/>
            <w:tcBorders>
              <w:left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147,900,475.26</w:t>
            </w:r>
          </w:p>
        </w:tc>
      </w:tr>
      <w:tr w:rsidR="00A067C6">
        <w:trPr>
          <w:trHeight w:val="240"/>
        </w:trPr>
        <w:tc>
          <w:tcPr>
            <w:tcW w:w="308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157,486,295.49</w:t>
            </w:r>
          </w:p>
        </w:tc>
        <w:tc>
          <w:tcPr>
            <w:tcW w:w="1559" w:type="dxa"/>
            <w:tcBorders>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560" w:type="dxa"/>
            <w:tcBorders>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157,486,295.49</w:t>
            </w:r>
          </w:p>
        </w:tc>
      </w:tr>
    </w:tbl>
    <w:p w:rsidR="00A067C6" w:rsidRDefault="005C4966">
      <w:pPr>
        <w:keepNext/>
        <w:keepLines/>
        <w:spacing w:before="300" w:after="300" w:line="280" w:lineRule="exact"/>
        <w:outlineLvl w:val="3"/>
        <w:rPr>
          <w:rFonts w:ascii="宋体" w:eastAsia="宋体" w:hAnsi="宋体" w:cs="宋体"/>
          <w:sz w:val="18"/>
          <w:szCs w:val="18"/>
        </w:rPr>
      </w:pPr>
      <w:bookmarkStart w:id="264" w:name="_Toc989156"/>
      <w:r>
        <w:rPr>
          <w:rFonts w:ascii="宋体" w:eastAsia="宋体" w:hAnsi="宋体" w:cs="宋体"/>
          <w:b/>
          <w:bCs/>
          <w:szCs w:val="21"/>
        </w:rPr>
        <w:t>（</w:t>
      </w:r>
      <w:r>
        <w:rPr>
          <w:rFonts w:ascii="宋体" w:eastAsia="宋体" w:hAnsi="宋体" w:cs="宋体"/>
          <w:b/>
          <w:bCs/>
          <w:szCs w:val="21"/>
        </w:rPr>
        <w:t>2</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商誉减值准备</w:t>
      </w:r>
      <w:bookmarkEnd w:id="264"/>
    </w:p>
    <w:p w:rsidR="00A067C6" w:rsidRDefault="005C4966">
      <w:pPr>
        <w:pStyle w:val="a6"/>
        <w:spacing w:before="0" w:beforeAutospacing="0" w:after="0" w:afterAutospacing="0" w:line="240" w:lineRule="atLeast"/>
        <w:rPr>
          <w:rFonts w:ascii="Calibri" w:hAnsi="Calibri"/>
          <w:sz w:val="21"/>
          <w:szCs w:val="21"/>
        </w:rPr>
      </w:pPr>
      <w:r>
        <w:rPr>
          <w:rFonts w:hint="eastAsia"/>
          <w:sz w:val="18"/>
          <w:szCs w:val="18"/>
        </w:rPr>
        <w:t>商誉所在资产组或资产组组合的相关信息</w:t>
      </w:r>
    </w:p>
    <w:p w:rsidR="00A067C6" w:rsidRDefault="005C4966">
      <w:pPr>
        <w:pStyle w:val="a6"/>
        <w:spacing w:before="0" w:beforeAutospacing="0" w:after="0" w:afterAutospacing="0"/>
        <w:ind w:firstLine="420"/>
      </w:pPr>
      <w:r>
        <w:rPr>
          <w:rFonts w:hint="eastAsia"/>
          <w:sz w:val="18"/>
          <w:szCs w:val="18"/>
        </w:rPr>
        <w:t>本公司之子公司新疆华孚棉业于</w:t>
      </w:r>
      <w:r>
        <w:rPr>
          <w:rFonts w:hint="eastAsia"/>
          <w:sz w:val="18"/>
          <w:szCs w:val="18"/>
        </w:rPr>
        <w:t>2018</w:t>
      </w:r>
      <w:r>
        <w:rPr>
          <w:rFonts w:hint="eastAsia"/>
          <w:sz w:val="18"/>
          <w:szCs w:val="18"/>
        </w:rPr>
        <w:t>年</w:t>
      </w:r>
      <w:r>
        <w:rPr>
          <w:rFonts w:hint="eastAsia"/>
          <w:sz w:val="18"/>
          <w:szCs w:val="18"/>
        </w:rPr>
        <w:t>1</w:t>
      </w:r>
      <w:r>
        <w:rPr>
          <w:rFonts w:hint="eastAsia"/>
          <w:sz w:val="18"/>
          <w:szCs w:val="18"/>
        </w:rPr>
        <w:t>月对新疆棉花交易市场进行增资；注入增资款</w:t>
      </w:r>
      <w:r>
        <w:rPr>
          <w:rFonts w:hint="eastAsia"/>
          <w:sz w:val="18"/>
          <w:szCs w:val="18"/>
        </w:rPr>
        <w:t>3,520.00</w:t>
      </w:r>
      <w:r>
        <w:rPr>
          <w:rFonts w:hint="eastAsia"/>
          <w:sz w:val="18"/>
          <w:szCs w:val="18"/>
        </w:rPr>
        <w:t>万元，占总价款的</w:t>
      </w:r>
      <w:r>
        <w:rPr>
          <w:rFonts w:hint="eastAsia"/>
          <w:sz w:val="18"/>
          <w:szCs w:val="18"/>
        </w:rPr>
        <w:t>100%</w:t>
      </w:r>
      <w:r>
        <w:rPr>
          <w:rFonts w:hint="eastAsia"/>
          <w:sz w:val="18"/>
          <w:szCs w:val="18"/>
        </w:rPr>
        <w:t>；合并日，取得的被投资单位可辨认净资产公允价值份额为</w:t>
      </w:r>
      <w:r>
        <w:rPr>
          <w:rFonts w:hint="eastAsia"/>
          <w:sz w:val="18"/>
          <w:szCs w:val="18"/>
        </w:rPr>
        <w:t>3233.86</w:t>
      </w:r>
      <w:r>
        <w:rPr>
          <w:rFonts w:hint="eastAsia"/>
          <w:sz w:val="18"/>
          <w:szCs w:val="18"/>
        </w:rPr>
        <w:t>万元，从而形成商誉</w:t>
      </w:r>
      <w:r>
        <w:rPr>
          <w:rFonts w:hint="eastAsia"/>
          <w:sz w:val="18"/>
          <w:szCs w:val="18"/>
        </w:rPr>
        <w:t>386.14</w:t>
      </w:r>
      <w:r>
        <w:rPr>
          <w:rFonts w:hint="eastAsia"/>
          <w:sz w:val="18"/>
          <w:szCs w:val="18"/>
        </w:rPr>
        <w:t>万元；</w:t>
      </w:r>
    </w:p>
    <w:p w:rsidR="00A067C6" w:rsidRDefault="005C4966">
      <w:pPr>
        <w:pStyle w:val="a6"/>
        <w:spacing w:before="0" w:beforeAutospacing="0" w:after="0" w:afterAutospacing="0"/>
        <w:ind w:firstLine="420"/>
      </w:pPr>
      <w:r>
        <w:rPr>
          <w:rFonts w:hint="eastAsia"/>
          <w:sz w:val="18"/>
          <w:szCs w:val="18"/>
        </w:rPr>
        <w:t>本公司子公司阿大纺织于</w:t>
      </w:r>
      <w:r>
        <w:rPr>
          <w:rFonts w:hint="eastAsia"/>
          <w:sz w:val="18"/>
          <w:szCs w:val="18"/>
        </w:rPr>
        <w:t>2019</w:t>
      </w:r>
      <w:r>
        <w:rPr>
          <w:rFonts w:hint="eastAsia"/>
          <w:sz w:val="18"/>
          <w:szCs w:val="18"/>
        </w:rPr>
        <w:t>年</w:t>
      </w:r>
      <w:r>
        <w:rPr>
          <w:rFonts w:hint="eastAsia"/>
          <w:sz w:val="18"/>
          <w:szCs w:val="18"/>
        </w:rPr>
        <w:t>8</w:t>
      </w:r>
      <w:r>
        <w:rPr>
          <w:rFonts w:hint="eastAsia"/>
          <w:sz w:val="18"/>
          <w:szCs w:val="18"/>
        </w:rPr>
        <w:t>月约定向张晚霞、许栩光收购其持有的浙江博忆、诸暨力旗</w:t>
      </w:r>
      <w:r>
        <w:rPr>
          <w:rFonts w:hint="eastAsia"/>
          <w:sz w:val="18"/>
          <w:szCs w:val="18"/>
        </w:rPr>
        <w:t>51%</w:t>
      </w:r>
      <w:r>
        <w:rPr>
          <w:rFonts w:hint="eastAsia"/>
          <w:sz w:val="18"/>
          <w:szCs w:val="18"/>
        </w:rPr>
        <w:t>股权，其中</w:t>
      </w:r>
      <w:r>
        <w:rPr>
          <w:rFonts w:hint="eastAsia"/>
          <w:sz w:val="18"/>
          <w:szCs w:val="18"/>
        </w:rPr>
        <w:t>22,893,000.00</w:t>
      </w:r>
      <w:r>
        <w:rPr>
          <w:rFonts w:hint="eastAsia"/>
          <w:sz w:val="18"/>
          <w:szCs w:val="18"/>
        </w:rPr>
        <w:t>元作为股权转让款支付给张晚霞、许栩光，另</w:t>
      </w:r>
      <w:r>
        <w:rPr>
          <w:rFonts w:hint="eastAsia"/>
          <w:sz w:val="18"/>
          <w:szCs w:val="18"/>
        </w:rPr>
        <w:t>22,893,000.00</w:t>
      </w:r>
      <w:r>
        <w:rPr>
          <w:rFonts w:hint="eastAsia"/>
          <w:sz w:val="18"/>
          <w:szCs w:val="18"/>
        </w:rPr>
        <w:t>元于</w:t>
      </w:r>
      <w:r>
        <w:rPr>
          <w:rFonts w:hint="eastAsia"/>
          <w:sz w:val="18"/>
          <w:szCs w:val="18"/>
        </w:rPr>
        <w:t>2019</w:t>
      </w:r>
      <w:r>
        <w:rPr>
          <w:rFonts w:hint="eastAsia"/>
          <w:sz w:val="18"/>
          <w:szCs w:val="18"/>
        </w:rPr>
        <w:t>年</w:t>
      </w:r>
      <w:r>
        <w:rPr>
          <w:rFonts w:hint="eastAsia"/>
          <w:sz w:val="18"/>
          <w:szCs w:val="18"/>
        </w:rPr>
        <w:t>10</w:t>
      </w:r>
      <w:r>
        <w:rPr>
          <w:rFonts w:hint="eastAsia"/>
          <w:sz w:val="18"/>
          <w:szCs w:val="18"/>
        </w:rPr>
        <w:t>月以投资款的形式分别投入到浙江博忆、诸暨力旗，投资成本合计为</w:t>
      </w:r>
      <w:r>
        <w:rPr>
          <w:rFonts w:hint="eastAsia"/>
          <w:sz w:val="18"/>
          <w:szCs w:val="18"/>
        </w:rPr>
        <w:t>45,786,0</w:t>
      </w:r>
      <w:r>
        <w:rPr>
          <w:rFonts w:hint="eastAsia"/>
          <w:sz w:val="18"/>
          <w:szCs w:val="18"/>
        </w:rPr>
        <w:t>00.00</w:t>
      </w:r>
      <w:r>
        <w:rPr>
          <w:rFonts w:hint="eastAsia"/>
          <w:sz w:val="18"/>
          <w:szCs w:val="18"/>
        </w:rPr>
        <w:t>元，合并日商誉分别为</w:t>
      </w:r>
      <w:r>
        <w:rPr>
          <w:rFonts w:hint="eastAsia"/>
          <w:sz w:val="18"/>
          <w:szCs w:val="18"/>
        </w:rPr>
        <w:t xml:space="preserve">2,047,002.37 </w:t>
      </w:r>
      <w:r>
        <w:rPr>
          <w:rFonts w:hint="eastAsia"/>
          <w:sz w:val="18"/>
          <w:szCs w:val="18"/>
        </w:rPr>
        <w:t>元、</w:t>
      </w:r>
      <w:r>
        <w:rPr>
          <w:rFonts w:hint="eastAsia"/>
          <w:sz w:val="18"/>
          <w:szCs w:val="18"/>
        </w:rPr>
        <w:t>3,677,451.65</w:t>
      </w:r>
      <w:r>
        <w:rPr>
          <w:rFonts w:hint="eastAsia"/>
          <w:sz w:val="18"/>
          <w:szCs w:val="18"/>
        </w:rPr>
        <w:t>元；浙江博忆已将力旗吸收合并到浙江博忆公司，吸收合并完成后本公司子公司对诸暨力旗的商誉合并计入浙江博忆，因此本公司对浙江博忆的商誉为</w:t>
      </w:r>
      <w:r>
        <w:rPr>
          <w:rFonts w:hint="eastAsia"/>
          <w:sz w:val="18"/>
          <w:szCs w:val="18"/>
        </w:rPr>
        <w:t>5,724,454.02</w:t>
      </w:r>
      <w:r>
        <w:rPr>
          <w:rFonts w:hint="eastAsia"/>
          <w:sz w:val="18"/>
          <w:szCs w:val="18"/>
        </w:rPr>
        <w:t>元。</w:t>
      </w:r>
    </w:p>
    <w:p w:rsidR="00A067C6" w:rsidRDefault="005C4966">
      <w:pPr>
        <w:pStyle w:val="a6"/>
        <w:spacing w:before="0" w:beforeAutospacing="0" w:after="0" w:afterAutospacing="0"/>
        <w:ind w:firstLine="420"/>
      </w:pPr>
      <w:r>
        <w:rPr>
          <w:rFonts w:hint="eastAsia"/>
          <w:sz w:val="18"/>
          <w:szCs w:val="18"/>
        </w:rPr>
        <w:t>本公司子公司深圳网链于</w:t>
      </w:r>
      <w:r>
        <w:rPr>
          <w:rFonts w:hint="eastAsia"/>
          <w:sz w:val="18"/>
          <w:szCs w:val="18"/>
        </w:rPr>
        <w:t>2021</w:t>
      </w:r>
      <w:r>
        <w:rPr>
          <w:rFonts w:hint="eastAsia"/>
          <w:sz w:val="18"/>
          <w:szCs w:val="18"/>
        </w:rPr>
        <w:t>年</w:t>
      </w:r>
      <w:r>
        <w:rPr>
          <w:rFonts w:hint="eastAsia"/>
          <w:sz w:val="18"/>
          <w:szCs w:val="18"/>
        </w:rPr>
        <w:t>8</w:t>
      </w:r>
      <w:r>
        <w:rPr>
          <w:rFonts w:hint="eastAsia"/>
          <w:sz w:val="18"/>
          <w:szCs w:val="18"/>
        </w:rPr>
        <w:t>月以现金</w:t>
      </w:r>
      <w:r>
        <w:rPr>
          <w:rFonts w:hint="eastAsia"/>
          <w:sz w:val="18"/>
          <w:szCs w:val="18"/>
        </w:rPr>
        <w:t>27,083.00</w:t>
      </w:r>
      <w:r>
        <w:rPr>
          <w:rFonts w:hint="eastAsia"/>
          <w:sz w:val="18"/>
          <w:szCs w:val="18"/>
        </w:rPr>
        <w:t>万元和持有的阿克苏纺织小商品产业园有限公司</w:t>
      </w:r>
      <w:r>
        <w:rPr>
          <w:rFonts w:hint="eastAsia"/>
          <w:sz w:val="18"/>
          <w:szCs w:val="18"/>
        </w:rPr>
        <w:t>100%</w:t>
      </w:r>
      <w:r>
        <w:rPr>
          <w:rFonts w:hint="eastAsia"/>
          <w:sz w:val="18"/>
          <w:szCs w:val="18"/>
        </w:rPr>
        <w:t>股权，浙江博忆纺织科技有限公司</w:t>
      </w:r>
      <w:r>
        <w:rPr>
          <w:rFonts w:hint="eastAsia"/>
          <w:sz w:val="18"/>
          <w:szCs w:val="18"/>
        </w:rPr>
        <w:t>51%</w:t>
      </w:r>
      <w:r>
        <w:rPr>
          <w:rFonts w:hint="eastAsia"/>
          <w:sz w:val="18"/>
          <w:szCs w:val="18"/>
        </w:rPr>
        <w:t>股权，以及浙江易孚贸易有限公司</w:t>
      </w:r>
      <w:r>
        <w:rPr>
          <w:rFonts w:hint="eastAsia"/>
          <w:sz w:val="18"/>
          <w:szCs w:val="18"/>
        </w:rPr>
        <w:t>70%</w:t>
      </w:r>
      <w:r>
        <w:rPr>
          <w:rFonts w:hint="eastAsia"/>
          <w:sz w:val="18"/>
          <w:szCs w:val="18"/>
        </w:rPr>
        <w:t>股权向目标公司浙江鲲驰互联科技有限公司进行增资</w:t>
      </w:r>
      <w:r>
        <w:rPr>
          <w:rFonts w:hint="eastAsia"/>
          <w:sz w:val="18"/>
          <w:szCs w:val="18"/>
        </w:rPr>
        <w:t>;</w:t>
      </w:r>
      <w:r>
        <w:rPr>
          <w:rFonts w:hint="eastAsia"/>
          <w:sz w:val="18"/>
          <w:szCs w:val="18"/>
        </w:rPr>
        <w:t>投资成本合计为</w:t>
      </w:r>
      <w:r>
        <w:rPr>
          <w:rFonts w:hint="eastAsia"/>
          <w:sz w:val="18"/>
          <w:szCs w:val="18"/>
        </w:rPr>
        <w:t>39,161.60</w:t>
      </w:r>
      <w:r>
        <w:rPr>
          <w:rFonts w:hint="eastAsia"/>
          <w:sz w:val="18"/>
          <w:szCs w:val="18"/>
        </w:rPr>
        <w:t>万元</w:t>
      </w:r>
      <w:r>
        <w:rPr>
          <w:rFonts w:hint="eastAsia"/>
          <w:sz w:val="18"/>
          <w:szCs w:val="18"/>
        </w:rPr>
        <w:t xml:space="preserve"> </w:t>
      </w:r>
      <w:r>
        <w:rPr>
          <w:rFonts w:hint="eastAsia"/>
          <w:sz w:val="18"/>
          <w:szCs w:val="18"/>
        </w:rPr>
        <w:t>。</w:t>
      </w:r>
    </w:p>
    <w:p w:rsidR="00A067C6" w:rsidRDefault="005C4966">
      <w:pPr>
        <w:pStyle w:val="a6"/>
        <w:spacing w:before="0" w:beforeAutospacing="0" w:after="0" w:afterAutospacing="0"/>
        <w:ind w:firstLineChars="200" w:firstLine="360"/>
        <w:rPr>
          <w:sz w:val="18"/>
          <w:szCs w:val="18"/>
        </w:rPr>
      </w:pPr>
      <w:r>
        <w:rPr>
          <w:rFonts w:hint="eastAsia"/>
          <w:sz w:val="18"/>
          <w:szCs w:val="18"/>
        </w:rPr>
        <w:t>上述资产组与购买日所确认的资产组一致。</w:t>
      </w:r>
    </w:p>
    <w:p w:rsidR="00A067C6" w:rsidRDefault="005C4966">
      <w:pPr>
        <w:spacing w:line="240" w:lineRule="exact"/>
        <w:rPr>
          <w:rFonts w:ascii="宋体" w:eastAsia="宋体" w:hAnsi="宋体" w:cs="宋体"/>
          <w:sz w:val="18"/>
          <w:szCs w:val="18"/>
        </w:rPr>
      </w:pPr>
      <w:r>
        <w:rPr>
          <w:rFonts w:ascii="宋体" w:eastAsia="宋体" w:hAnsi="宋体" w:cs="宋体"/>
          <w:sz w:val="18"/>
          <w:szCs w:val="18"/>
        </w:rPr>
        <w:t>说明商誉减值测试过程、关键参数（如预计未来现金流量现值时的预测期增长率、稳定期增长率、利润率、折现率、预测期等）及商誉减值损失的确认方法：</w:t>
      </w:r>
    </w:p>
    <w:p w:rsidR="00A067C6" w:rsidRDefault="005C4966">
      <w:pPr>
        <w:pStyle w:val="a6"/>
        <w:spacing w:before="0" w:beforeAutospacing="0" w:after="0" w:afterAutospacing="0"/>
        <w:ind w:firstLineChars="200" w:firstLine="360"/>
        <w:rPr>
          <w:sz w:val="18"/>
          <w:szCs w:val="18"/>
        </w:rPr>
      </w:pPr>
      <w:r>
        <w:rPr>
          <w:rFonts w:hint="eastAsia"/>
          <w:sz w:val="18"/>
          <w:szCs w:val="18"/>
        </w:rPr>
        <w:t>公司结合与商誉相关的能够从企业合并的协同效应中受益的资产组或者资产组组合进行商誉减值测试。在对包含商誉的相关资产组或者资产组组合进行减值测试时，如与商誉相关的资产组或者资产组组合存在减值迹象的，先对不包含商誉的资产组或者资产组组合进行减值测试，计算可收回金额，并与相关账面价值相比较，确认相应的减值损失。再对包含商誉的资产组或者资产组组合进行减值测试，比较这些相关资产组或者资产组组合的账面价值（包括所分摊的商誉的账面价值部分）与其可收回金额，如相关资产组或者资产组组合的可收回金额低于其账面价值的确认商誉的减值</w:t>
      </w:r>
      <w:r>
        <w:rPr>
          <w:rFonts w:hint="eastAsia"/>
          <w:sz w:val="18"/>
          <w:szCs w:val="18"/>
        </w:rPr>
        <w:t>损失。</w:t>
      </w:r>
      <w:r>
        <w:rPr>
          <w:rFonts w:hint="eastAsia"/>
          <w:sz w:val="18"/>
          <w:szCs w:val="18"/>
        </w:rPr>
        <w:br/>
      </w:r>
      <w:r>
        <w:rPr>
          <w:rFonts w:hint="eastAsia"/>
          <w:sz w:val="18"/>
          <w:szCs w:val="18"/>
        </w:rPr>
        <w:t>相关测试过程及结果如下：</w:t>
      </w:r>
      <w:r>
        <w:rPr>
          <w:rFonts w:hint="eastAsia"/>
          <w:sz w:val="18"/>
          <w:szCs w:val="18"/>
        </w:rPr>
        <w:br/>
        <w:t xml:space="preserve">    </w:t>
      </w:r>
      <w:r>
        <w:rPr>
          <w:rFonts w:hint="eastAsia"/>
          <w:sz w:val="18"/>
          <w:szCs w:val="18"/>
        </w:rPr>
        <w:t>（</w:t>
      </w:r>
      <w:r>
        <w:rPr>
          <w:rFonts w:hint="eastAsia"/>
          <w:sz w:val="18"/>
          <w:szCs w:val="18"/>
        </w:rPr>
        <w:t>1</w:t>
      </w:r>
      <w:r>
        <w:rPr>
          <w:rFonts w:hint="eastAsia"/>
          <w:sz w:val="18"/>
          <w:szCs w:val="18"/>
        </w:rPr>
        <w:t>）、新疆棉花交易市场相关资产组的可收回金额是基于以前年度的经营情况、行业发展水平及管理层对市场发展的预期等因素，采用</w:t>
      </w:r>
      <w:r>
        <w:rPr>
          <w:rFonts w:hint="eastAsia"/>
          <w:sz w:val="18"/>
          <w:szCs w:val="18"/>
        </w:rPr>
        <w:t>13.98%</w:t>
      </w:r>
      <w:r>
        <w:rPr>
          <w:rFonts w:hint="eastAsia"/>
          <w:sz w:val="18"/>
          <w:szCs w:val="18"/>
        </w:rPr>
        <w:t>的折现率，测算预计未来现金流量现值确定得出。经测算、评估，资产组可收回金额大于账面价值，确认商誉不存在减值的迹象，故未计提减值准备。</w:t>
      </w:r>
      <w:r>
        <w:rPr>
          <w:rFonts w:hint="eastAsia"/>
          <w:sz w:val="18"/>
          <w:szCs w:val="18"/>
        </w:rPr>
        <w:br/>
        <w:t xml:space="preserve">    </w:t>
      </w:r>
      <w:r>
        <w:rPr>
          <w:rFonts w:hint="eastAsia"/>
          <w:sz w:val="18"/>
          <w:szCs w:val="18"/>
        </w:rPr>
        <w:t>（</w:t>
      </w:r>
      <w:r>
        <w:rPr>
          <w:rFonts w:hint="eastAsia"/>
          <w:sz w:val="18"/>
          <w:szCs w:val="18"/>
        </w:rPr>
        <w:t>2</w:t>
      </w:r>
      <w:r>
        <w:rPr>
          <w:rFonts w:hint="eastAsia"/>
          <w:sz w:val="18"/>
          <w:szCs w:val="18"/>
        </w:rPr>
        <w:t>）、阿大纺织于</w:t>
      </w:r>
      <w:r>
        <w:rPr>
          <w:rFonts w:hint="eastAsia"/>
          <w:sz w:val="18"/>
          <w:szCs w:val="18"/>
        </w:rPr>
        <w:t>2019</w:t>
      </w:r>
      <w:r>
        <w:rPr>
          <w:rFonts w:hint="eastAsia"/>
          <w:sz w:val="18"/>
          <w:szCs w:val="18"/>
        </w:rPr>
        <w:t>年</w:t>
      </w:r>
      <w:r>
        <w:rPr>
          <w:rFonts w:hint="eastAsia"/>
          <w:sz w:val="18"/>
          <w:szCs w:val="18"/>
        </w:rPr>
        <w:t>10</w:t>
      </w:r>
      <w:r>
        <w:rPr>
          <w:rFonts w:hint="eastAsia"/>
          <w:sz w:val="18"/>
          <w:szCs w:val="18"/>
        </w:rPr>
        <w:t>月向浙江博忆、诸暨力旗增资后累计持有其</w:t>
      </w:r>
      <w:r>
        <w:rPr>
          <w:rFonts w:hint="eastAsia"/>
          <w:sz w:val="18"/>
          <w:szCs w:val="18"/>
        </w:rPr>
        <w:t>51%</w:t>
      </w:r>
      <w:r>
        <w:rPr>
          <w:rFonts w:hint="eastAsia"/>
          <w:sz w:val="18"/>
          <w:szCs w:val="18"/>
        </w:rPr>
        <w:t>股权，经测试，截止</w:t>
      </w:r>
      <w:r>
        <w:rPr>
          <w:rFonts w:hint="eastAsia"/>
          <w:sz w:val="18"/>
          <w:szCs w:val="18"/>
        </w:rPr>
        <w:t>2023</w:t>
      </w:r>
      <w:r>
        <w:rPr>
          <w:rFonts w:hint="eastAsia"/>
          <w:sz w:val="18"/>
          <w:szCs w:val="18"/>
        </w:rPr>
        <w:t>年</w:t>
      </w:r>
      <w:r>
        <w:rPr>
          <w:rFonts w:hint="eastAsia"/>
          <w:sz w:val="18"/>
          <w:szCs w:val="18"/>
        </w:rPr>
        <w:t>6</w:t>
      </w:r>
      <w:r>
        <w:rPr>
          <w:rFonts w:hint="eastAsia"/>
          <w:sz w:val="18"/>
          <w:szCs w:val="18"/>
        </w:rPr>
        <w:t>月</w:t>
      </w:r>
      <w:r>
        <w:rPr>
          <w:rFonts w:hint="eastAsia"/>
          <w:sz w:val="18"/>
          <w:szCs w:val="18"/>
        </w:rPr>
        <w:t>30</w:t>
      </w:r>
      <w:r>
        <w:rPr>
          <w:rFonts w:hint="eastAsia"/>
          <w:sz w:val="18"/>
          <w:szCs w:val="18"/>
        </w:rPr>
        <w:t>日，包含商誉的相关资产组或者资产组组合的预计可收回金额大于账面价值，确认商誉不存在减</w:t>
      </w:r>
      <w:r>
        <w:rPr>
          <w:rFonts w:hint="eastAsia"/>
          <w:sz w:val="18"/>
          <w:szCs w:val="18"/>
        </w:rPr>
        <w:t>值的迹象，故未计提减值准备。</w:t>
      </w:r>
      <w:r>
        <w:rPr>
          <w:rFonts w:hint="eastAsia"/>
          <w:sz w:val="18"/>
          <w:szCs w:val="18"/>
        </w:rPr>
        <w:br/>
        <w:t xml:space="preserve">    </w:t>
      </w:r>
      <w:r>
        <w:rPr>
          <w:rFonts w:hint="eastAsia"/>
          <w:sz w:val="18"/>
          <w:szCs w:val="18"/>
        </w:rPr>
        <w:t>（</w:t>
      </w:r>
      <w:r>
        <w:rPr>
          <w:rFonts w:hint="eastAsia"/>
          <w:sz w:val="18"/>
          <w:szCs w:val="18"/>
        </w:rPr>
        <w:t>3</w:t>
      </w:r>
      <w:r>
        <w:rPr>
          <w:rFonts w:hint="eastAsia"/>
          <w:sz w:val="18"/>
          <w:szCs w:val="18"/>
        </w:rPr>
        <w:t>）、深圳网链于</w:t>
      </w:r>
      <w:r>
        <w:rPr>
          <w:rFonts w:hint="eastAsia"/>
          <w:sz w:val="18"/>
          <w:szCs w:val="18"/>
        </w:rPr>
        <w:t>2021</w:t>
      </w:r>
      <w:r>
        <w:rPr>
          <w:rFonts w:hint="eastAsia"/>
          <w:sz w:val="18"/>
          <w:szCs w:val="18"/>
        </w:rPr>
        <w:t>年</w:t>
      </w:r>
      <w:r>
        <w:rPr>
          <w:rFonts w:hint="eastAsia"/>
          <w:sz w:val="18"/>
          <w:szCs w:val="18"/>
        </w:rPr>
        <w:t>8</w:t>
      </w:r>
      <w:r>
        <w:rPr>
          <w:rFonts w:hint="eastAsia"/>
          <w:sz w:val="18"/>
          <w:szCs w:val="18"/>
        </w:rPr>
        <w:t>月向浙江鲲驰增资后累计持有其</w:t>
      </w:r>
      <w:r>
        <w:rPr>
          <w:rFonts w:hint="eastAsia"/>
          <w:sz w:val="18"/>
          <w:szCs w:val="18"/>
        </w:rPr>
        <w:t>64.9515%</w:t>
      </w:r>
      <w:r>
        <w:rPr>
          <w:rFonts w:hint="eastAsia"/>
          <w:sz w:val="18"/>
          <w:szCs w:val="18"/>
        </w:rPr>
        <w:t>股权，经测试，截止</w:t>
      </w:r>
      <w:r>
        <w:rPr>
          <w:rFonts w:hint="eastAsia"/>
          <w:sz w:val="18"/>
          <w:szCs w:val="18"/>
        </w:rPr>
        <w:t>2023</w:t>
      </w:r>
      <w:r>
        <w:rPr>
          <w:rFonts w:hint="eastAsia"/>
          <w:sz w:val="18"/>
          <w:szCs w:val="18"/>
        </w:rPr>
        <w:t>年</w:t>
      </w:r>
      <w:r>
        <w:rPr>
          <w:rFonts w:hint="eastAsia"/>
          <w:sz w:val="18"/>
          <w:szCs w:val="18"/>
        </w:rPr>
        <w:t>6</w:t>
      </w:r>
      <w:r>
        <w:rPr>
          <w:rFonts w:hint="eastAsia"/>
          <w:sz w:val="18"/>
          <w:szCs w:val="18"/>
        </w:rPr>
        <w:t>月</w:t>
      </w:r>
      <w:r>
        <w:rPr>
          <w:rFonts w:hint="eastAsia"/>
          <w:sz w:val="18"/>
          <w:szCs w:val="18"/>
        </w:rPr>
        <w:t>30</w:t>
      </w:r>
      <w:r>
        <w:rPr>
          <w:rFonts w:hint="eastAsia"/>
          <w:sz w:val="18"/>
          <w:szCs w:val="18"/>
        </w:rPr>
        <w:t>日，包含商誉的相关资产组或者资产组组合的预计可收回金额大于账面价值，确认商誉不存在减值的迹象，故未计提减值准备。</w:t>
      </w:r>
    </w:p>
    <w:p w:rsidR="00A067C6" w:rsidRDefault="005C4966">
      <w:pPr>
        <w:spacing w:line="240" w:lineRule="exact"/>
        <w:rPr>
          <w:rFonts w:ascii="宋体" w:eastAsia="宋体" w:hAnsi="宋体" w:cs="宋体"/>
          <w:sz w:val="18"/>
          <w:szCs w:val="18"/>
        </w:rPr>
      </w:pPr>
      <w:r>
        <w:rPr>
          <w:rFonts w:ascii="宋体" w:eastAsia="宋体" w:hAnsi="宋体" w:cs="宋体"/>
          <w:sz w:val="18"/>
          <w:szCs w:val="18"/>
        </w:rPr>
        <w:t>商誉减值测试的影响</w:t>
      </w:r>
    </w:p>
    <w:p w:rsidR="00A067C6" w:rsidRDefault="005C4966">
      <w:pPr>
        <w:spacing w:line="240" w:lineRule="exact"/>
        <w:ind w:firstLineChars="200" w:firstLine="360"/>
        <w:rPr>
          <w:rFonts w:ascii="宋体" w:eastAsia="宋体" w:hAnsi="宋体" w:cs="宋体"/>
          <w:sz w:val="18"/>
          <w:szCs w:val="18"/>
        </w:rPr>
      </w:pPr>
      <w:r>
        <w:rPr>
          <w:rFonts w:ascii="宋体" w:eastAsia="宋体" w:hAnsi="宋体" w:cs="宋体"/>
          <w:sz w:val="18"/>
          <w:szCs w:val="18"/>
        </w:rPr>
        <w:t>其他说明</w:t>
      </w:r>
      <w:r>
        <w:rPr>
          <w:rFonts w:ascii="宋体" w:eastAsia="宋体" w:hAnsi="宋体" w:cs="宋体" w:hint="eastAsia"/>
          <w:sz w:val="18"/>
          <w:szCs w:val="18"/>
        </w:rPr>
        <w:t>：无。</w:t>
      </w:r>
    </w:p>
    <w:p w:rsidR="00A067C6" w:rsidRDefault="005C4966">
      <w:pPr>
        <w:pStyle w:val="3"/>
        <w:spacing w:line="280" w:lineRule="exact"/>
        <w:jc w:val="left"/>
        <w:rPr>
          <w:rFonts w:ascii="宋体" w:hAnsi="宋体" w:cs="宋体"/>
          <w:b/>
          <w:bCs/>
        </w:rPr>
      </w:pPr>
      <w:bookmarkStart w:id="265" w:name="_Toc989157"/>
      <w:r>
        <w:rPr>
          <w:rFonts w:ascii="宋体" w:hAnsi="宋体" w:cs="宋体"/>
          <w:b/>
          <w:bCs/>
        </w:rPr>
        <w:t>29</w:t>
      </w:r>
      <w:r>
        <w:rPr>
          <w:rFonts w:ascii="宋体" w:hAnsi="宋体" w:cs="宋体"/>
          <w:b/>
          <w:bCs/>
        </w:rPr>
        <w:t>、长期待摊费用</w:t>
      </w:r>
      <w:bookmarkEnd w:id="265"/>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6"/>
        <w:gridCol w:w="1606"/>
        <w:gridCol w:w="1606"/>
        <w:gridCol w:w="1607"/>
        <w:gridCol w:w="1607"/>
        <w:gridCol w:w="1607"/>
      </w:tblGrid>
      <w:tr w:rsidR="00A067C6">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本期摊销金额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其他减少金额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A067C6">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装修费</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15,422,242.21</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251,415.93</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4,614,641.16</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11,059,016.98</w:t>
            </w:r>
          </w:p>
        </w:tc>
      </w:tr>
      <w:tr w:rsidR="00A067C6">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机物料</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8,569,061.95</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1,874,935.54</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2,288,777.43</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8,155,220.06</w:t>
            </w:r>
          </w:p>
        </w:tc>
      </w:tr>
      <w:tr w:rsidR="00A067C6">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租赁费</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15,817.98</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15,817.98</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其他</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7,321,261.92</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671,653.54</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3,952,701.61</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4,040,213.85</w:t>
            </w:r>
          </w:p>
        </w:tc>
      </w:tr>
      <w:tr w:rsidR="00A067C6">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31,328,384.06</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2,798,005.01</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10,871,938.18</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23,254,450.89</w:t>
            </w:r>
          </w:p>
        </w:tc>
      </w:tr>
    </w:tbl>
    <w:p w:rsidR="00A067C6" w:rsidRDefault="005C4966">
      <w:pPr>
        <w:pStyle w:val="3"/>
        <w:spacing w:line="280" w:lineRule="exact"/>
        <w:jc w:val="left"/>
        <w:rPr>
          <w:rFonts w:ascii="宋体" w:hAnsi="宋体" w:cs="宋体"/>
          <w:b/>
          <w:bCs/>
        </w:rPr>
      </w:pPr>
      <w:bookmarkStart w:id="266" w:name="_Toc989158"/>
      <w:r>
        <w:rPr>
          <w:rFonts w:ascii="宋体" w:hAnsi="宋体" w:cs="宋体"/>
          <w:b/>
          <w:bCs/>
        </w:rPr>
        <w:t>30</w:t>
      </w:r>
      <w:r>
        <w:rPr>
          <w:rFonts w:ascii="宋体" w:hAnsi="宋体" w:cs="宋体"/>
          <w:b/>
          <w:bCs/>
        </w:rPr>
        <w:t>、递延所得税资产</w:t>
      </w:r>
      <w:r>
        <w:rPr>
          <w:rFonts w:ascii="宋体" w:hAnsi="宋体" w:cs="宋体"/>
          <w:b/>
          <w:bCs/>
        </w:rPr>
        <w:t>/</w:t>
      </w:r>
      <w:r>
        <w:rPr>
          <w:rFonts w:ascii="宋体" w:hAnsi="宋体" w:cs="宋体"/>
          <w:b/>
          <w:bCs/>
        </w:rPr>
        <w:t>递延所得税负债</w:t>
      </w:r>
      <w:bookmarkEnd w:id="266"/>
    </w:p>
    <w:p w:rsidR="00A067C6" w:rsidRDefault="005C4966">
      <w:pPr>
        <w:keepNext/>
        <w:keepLines/>
        <w:spacing w:before="300" w:after="300" w:line="280" w:lineRule="exact"/>
        <w:outlineLvl w:val="3"/>
        <w:rPr>
          <w:rFonts w:ascii="宋体" w:eastAsia="宋体" w:hAnsi="宋体" w:cs="宋体"/>
          <w:b/>
          <w:bCs/>
          <w:szCs w:val="21"/>
        </w:rPr>
      </w:pPr>
      <w:bookmarkStart w:id="267" w:name="_Toc989159"/>
      <w:r>
        <w:rPr>
          <w:rFonts w:ascii="宋体" w:eastAsia="宋体" w:hAnsi="宋体" w:cs="宋体"/>
          <w:b/>
          <w:bCs/>
          <w:szCs w:val="21"/>
        </w:rPr>
        <w:t>（</w:t>
      </w:r>
      <w:r>
        <w:rPr>
          <w:rFonts w:ascii="宋体" w:eastAsia="宋体" w:hAnsi="宋体" w:cs="宋体"/>
          <w:b/>
          <w:bCs/>
          <w:szCs w:val="21"/>
        </w:rPr>
        <w:t>1</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未经抵销的递延所得税资产</w:t>
      </w:r>
      <w:bookmarkEnd w:id="267"/>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A067C6">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A067C6">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可抵扣暂时性差异</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递延所得税资产</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可抵扣暂时性差异</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递延所得税资产</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资产减值准备</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79,858,214.91</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15,408,521.95</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143,822,194.21</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25,040,372.50</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内部交易未实现利润</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31,656,447.71</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7,914,111.93</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27,707.51</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6,926.88</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可抵扣亏损</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510,885,993.81</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99,874,451.97</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649,600,199.84</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129,647,829.59</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预计负债</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11,710.96</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2,927.74</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237,600.78</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57,448.36</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递延收益</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37,196,753.75</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8,162,570.23</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22,157,475.32</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4,580,278.96</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坏账准备</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227,672,471.12</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44,281,598.23</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167,698,226.86</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37,639,652.16</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交易性金融资产公允价值变动</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46,148,030.29</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8,121,680.54</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12,011,159.94</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2,998,689.99</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933,429,622.55</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183,765,862.59</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995,554,564.46</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199,971,198.44</w:t>
            </w:r>
          </w:p>
        </w:tc>
      </w:tr>
    </w:tbl>
    <w:p w:rsidR="00A067C6" w:rsidRDefault="005C4966">
      <w:pPr>
        <w:keepNext/>
        <w:keepLines/>
        <w:spacing w:before="300" w:after="300" w:line="280" w:lineRule="exact"/>
        <w:outlineLvl w:val="3"/>
        <w:rPr>
          <w:rFonts w:ascii="宋体" w:eastAsia="宋体" w:hAnsi="宋体" w:cs="宋体"/>
          <w:b/>
          <w:bCs/>
          <w:szCs w:val="21"/>
        </w:rPr>
      </w:pPr>
      <w:bookmarkStart w:id="268" w:name="_Toc989160"/>
      <w:r>
        <w:rPr>
          <w:rFonts w:ascii="宋体" w:eastAsia="宋体" w:hAnsi="宋体" w:cs="宋体"/>
          <w:b/>
          <w:bCs/>
          <w:szCs w:val="21"/>
        </w:rPr>
        <w:t>（</w:t>
      </w:r>
      <w:r>
        <w:rPr>
          <w:rFonts w:ascii="宋体" w:eastAsia="宋体" w:hAnsi="宋体" w:cs="宋体"/>
          <w:b/>
          <w:bCs/>
          <w:szCs w:val="21"/>
        </w:rPr>
        <w:t>2</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未经抵销的递延所得税负债</w:t>
      </w:r>
      <w:bookmarkEnd w:id="268"/>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A067C6">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A067C6">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应纳税暂时性差异</w:t>
            </w:r>
          </w:p>
        </w:tc>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递延所得税负债</w:t>
            </w:r>
          </w:p>
        </w:tc>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应纳税暂时性差异</w:t>
            </w:r>
          </w:p>
        </w:tc>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递延所得税负债</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非同一控制企业合并资产评估增值</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32,894,257.20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8,223,564.30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32,894,257.20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8,223,564.30</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其他权益工具投资公允价值变动</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18,199,104.53</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2,931,346.11</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18,199,104.53</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2,729,865.68</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固定资产加计扣除</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7,180,137.18</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1,795,034.30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7,180,137.18</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1,795,034.30</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已计提尚未收到的政府补助</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58,129,225.86</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8,719,383.88</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43,943,257.97</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6,591,488.70</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未实现内部交易损失</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14,378,316.66</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3,594,579.17</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交易性金融资产公允价值变动</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12,918,000.00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1,937,700.00</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116,402,724.77</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21,669,328.59</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129,513,073.54</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24,872,232.15</w:t>
            </w:r>
          </w:p>
        </w:tc>
      </w:tr>
    </w:tbl>
    <w:p w:rsidR="00A067C6" w:rsidRDefault="005C4966">
      <w:pPr>
        <w:keepNext/>
        <w:keepLines/>
        <w:spacing w:before="300" w:after="300" w:line="280" w:lineRule="exact"/>
        <w:outlineLvl w:val="3"/>
        <w:rPr>
          <w:rFonts w:ascii="宋体" w:eastAsia="宋体" w:hAnsi="宋体" w:cs="宋体"/>
          <w:b/>
          <w:bCs/>
          <w:szCs w:val="21"/>
        </w:rPr>
      </w:pPr>
      <w:bookmarkStart w:id="269" w:name="_Toc989161"/>
      <w:r>
        <w:rPr>
          <w:rFonts w:ascii="宋体" w:eastAsia="宋体" w:hAnsi="宋体" w:cs="宋体"/>
          <w:b/>
          <w:bCs/>
          <w:szCs w:val="21"/>
        </w:rPr>
        <w:t>（</w:t>
      </w:r>
      <w:r>
        <w:rPr>
          <w:rFonts w:ascii="宋体" w:eastAsia="宋体" w:hAnsi="宋体" w:cs="宋体"/>
          <w:b/>
          <w:bCs/>
          <w:szCs w:val="21"/>
        </w:rPr>
        <w:t>3</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以抵销后净额列示的递延所得税资产或负债</w:t>
      </w:r>
      <w:bookmarkEnd w:id="269"/>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递延所得税资产和负债期末互抵金额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抵销后递延所得税资产或负债期末余额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递延所得税资产和负债期初互抵金额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抵销后递延所得税资产或负债期初余额</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递延所得税资产</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183,765,862.59</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202,245,661.31</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递延所得税负债</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21,669,328.59</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24,872,232.15</w:t>
            </w:r>
          </w:p>
        </w:tc>
      </w:tr>
    </w:tbl>
    <w:p w:rsidR="00A067C6" w:rsidRDefault="005C4966">
      <w:pPr>
        <w:keepNext/>
        <w:keepLines/>
        <w:spacing w:before="300" w:after="300" w:line="280" w:lineRule="exact"/>
        <w:outlineLvl w:val="3"/>
        <w:rPr>
          <w:rFonts w:ascii="宋体" w:eastAsia="宋体" w:hAnsi="宋体" w:cs="宋体"/>
          <w:b/>
          <w:bCs/>
          <w:szCs w:val="21"/>
        </w:rPr>
      </w:pPr>
      <w:bookmarkStart w:id="270" w:name="_Toc989162"/>
      <w:r>
        <w:rPr>
          <w:rFonts w:ascii="宋体" w:eastAsia="宋体" w:hAnsi="宋体" w:cs="宋体"/>
          <w:b/>
          <w:bCs/>
          <w:szCs w:val="21"/>
        </w:rPr>
        <w:t>（</w:t>
      </w:r>
      <w:r>
        <w:rPr>
          <w:rFonts w:ascii="宋体" w:eastAsia="宋体" w:hAnsi="宋体" w:cs="宋体"/>
          <w:b/>
          <w:bCs/>
          <w:szCs w:val="21"/>
        </w:rPr>
        <w:t>4</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未确认递延所得税资产明细</w:t>
      </w:r>
      <w:bookmarkEnd w:id="270"/>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可抵扣亏损</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1,013,578,552.94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888,637,113.32</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坏账准备</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122,621,441.05</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139,393,665.59</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存货跌价准备</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9,810,170.96</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173,396,667.13</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递延收益</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8,202,669.40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52,581,059.40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预计负债</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83,071.84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88,917.42</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22,608,625.00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固定资产减值准备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27,287,286.32</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16,824,869.47</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1,181,672,109.93</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1,293,441,999.91</w:t>
            </w:r>
          </w:p>
        </w:tc>
      </w:tr>
    </w:tbl>
    <w:p w:rsidR="00A067C6" w:rsidRDefault="005C4966">
      <w:pPr>
        <w:keepNext/>
        <w:keepLines/>
        <w:spacing w:before="300" w:after="300" w:line="280" w:lineRule="exact"/>
        <w:outlineLvl w:val="3"/>
        <w:rPr>
          <w:rFonts w:ascii="宋体" w:eastAsia="宋体" w:hAnsi="宋体" w:cs="宋体"/>
          <w:b/>
          <w:bCs/>
          <w:szCs w:val="21"/>
        </w:rPr>
      </w:pPr>
      <w:bookmarkStart w:id="271" w:name="_Toc989163"/>
      <w:r>
        <w:rPr>
          <w:rFonts w:ascii="宋体" w:eastAsia="宋体" w:hAnsi="宋体" w:cs="宋体"/>
          <w:b/>
          <w:bCs/>
          <w:szCs w:val="21"/>
        </w:rPr>
        <w:t>（</w:t>
      </w:r>
      <w:r>
        <w:rPr>
          <w:rFonts w:ascii="宋体" w:eastAsia="宋体" w:hAnsi="宋体" w:cs="宋体"/>
          <w:b/>
          <w:bCs/>
          <w:szCs w:val="21"/>
        </w:rPr>
        <w:t>5</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未确认递延所得税资产的可抵扣亏损将于以下年度到期</w:t>
      </w:r>
      <w:bookmarkEnd w:id="271"/>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ascii="宋体" w:eastAsia="宋体" w:hAnsi="宋体" w:cs="宋体" w:hint="eastAsia"/>
          <w:sz w:val="18"/>
          <w:szCs w:val="18"/>
        </w:rPr>
        <w:t>：</w:t>
      </w:r>
      <w:r>
        <w:rPr>
          <w:rFonts w:hint="eastAsia"/>
          <w:sz w:val="18"/>
          <w:szCs w:val="18"/>
        </w:rPr>
        <w:t>无。</w:t>
      </w:r>
    </w:p>
    <w:p w:rsidR="00A067C6" w:rsidRDefault="005C4966">
      <w:pPr>
        <w:pStyle w:val="3"/>
        <w:spacing w:line="280" w:lineRule="exact"/>
        <w:jc w:val="left"/>
        <w:rPr>
          <w:rFonts w:ascii="宋体" w:hAnsi="宋体" w:cs="宋体"/>
          <w:b/>
          <w:bCs/>
        </w:rPr>
      </w:pPr>
      <w:bookmarkStart w:id="272" w:name="_Toc989164"/>
      <w:r>
        <w:rPr>
          <w:rFonts w:ascii="宋体" w:hAnsi="宋体" w:cs="宋体"/>
          <w:b/>
          <w:bCs/>
        </w:rPr>
        <w:t>31</w:t>
      </w:r>
      <w:r>
        <w:rPr>
          <w:rFonts w:ascii="宋体" w:hAnsi="宋体" w:cs="宋体"/>
          <w:b/>
          <w:bCs/>
        </w:rPr>
        <w:t>、其他非流动资产</w:t>
      </w:r>
      <w:bookmarkEnd w:id="272"/>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708"/>
        <w:gridCol w:w="1046"/>
        <w:gridCol w:w="1647"/>
        <w:gridCol w:w="1418"/>
        <w:gridCol w:w="992"/>
        <w:gridCol w:w="1451"/>
      </w:tblGrid>
      <w:tr w:rsidR="00A067C6">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40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86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A067C6">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70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04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64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41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45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预付工程及设备款等</w:t>
            </w:r>
          </w:p>
        </w:tc>
        <w:tc>
          <w:tcPr>
            <w:tcW w:w="170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135,420,153.56</w:t>
            </w:r>
          </w:p>
        </w:tc>
        <w:tc>
          <w:tcPr>
            <w:tcW w:w="104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4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135,420,153.56</w:t>
            </w:r>
          </w:p>
        </w:tc>
        <w:tc>
          <w:tcPr>
            <w:tcW w:w="141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43,769,369.80</w:t>
            </w:r>
          </w:p>
        </w:tc>
        <w:tc>
          <w:tcPr>
            <w:tcW w:w="99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4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43,769,369.80</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70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135,420,153.56</w:t>
            </w:r>
          </w:p>
        </w:tc>
        <w:tc>
          <w:tcPr>
            <w:tcW w:w="104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4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135,420,153.56</w:t>
            </w:r>
          </w:p>
        </w:tc>
        <w:tc>
          <w:tcPr>
            <w:tcW w:w="141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43,769,369.80</w:t>
            </w:r>
          </w:p>
        </w:tc>
        <w:tc>
          <w:tcPr>
            <w:tcW w:w="99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4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43,769,369.80</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pStyle w:val="3"/>
        <w:spacing w:line="280" w:lineRule="exact"/>
        <w:jc w:val="left"/>
        <w:rPr>
          <w:rFonts w:ascii="宋体" w:hAnsi="宋体" w:cs="宋体"/>
          <w:b/>
          <w:bCs/>
        </w:rPr>
      </w:pPr>
      <w:bookmarkStart w:id="273" w:name="_Toc989165"/>
      <w:r>
        <w:rPr>
          <w:rFonts w:ascii="宋体" w:hAnsi="宋体" w:cs="宋体"/>
          <w:b/>
          <w:bCs/>
        </w:rPr>
        <w:t>32</w:t>
      </w:r>
      <w:r>
        <w:rPr>
          <w:rFonts w:ascii="宋体" w:hAnsi="宋体" w:cs="宋体"/>
          <w:b/>
          <w:bCs/>
        </w:rPr>
        <w:t>、短期借款</w:t>
      </w:r>
      <w:bookmarkEnd w:id="273"/>
    </w:p>
    <w:p w:rsidR="00A067C6" w:rsidRDefault="005C4966">
      <w:pPr>
        <w:keepNext/>
        <w:keepLines/>
        <w:spacing w:before="300" w:after="300" w:line="280" w:lineRule="exact"/>
        <w:outlineLvl w:val="3"/>
        <w:rPr>
          <w:rFonts w:ascii="宋体" w:eastAsia="宋体" w:hAnsi="宋体" w:cs="宋体"/>
          <w:b/>
          <w:bCs/>
          <w:szCs w:val="21"/>
        </w:rPr>
      </w:pPr>
      <w:bookmarkStart w:id="274" w:name="_Toc989166"/>
      <w:r>
        <w:rPr>
          <w:rFonts w:ascii="宋体" w:eastAsia="宋体" w:hAnsi="宋体" w:cs="宋体"/>
          <w:b/>
          <w:bCs/>
          <w:szCs w:val="21"/>
        </w:rPr>
        <w:t>（</w:t>
      </w:r>
      <w:r>
        <w:rPr>
          <w:rFonts w:ascii="宋体" w:eastAsia="宋体" w:hAnsi="宋体" w:cs="宋体"/>
          <w:b/>
          <w:bCs/>
          <w:szCs w:val="21"/>
        </w:rPr>
        <w:t>1</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短期借款分类</w:t>
      </w:r>
      <w:bookmarkEnd w:id="274"/>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质押借款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1,812,079,840.66</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1,654,713,176.97</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抵押借款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488,828,839.80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658,829,156.88</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保证借款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2,754,538,600.01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454,576,905.78</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信用借款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200,000,000.00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保证、抵押借款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1,315,557,119.42</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3,077,050,000.00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保证、质押借款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727,226,585.00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保证、抵押、质押借款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750,000,000.00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1,074,834,646.23</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短期借款利息</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1,720,809.73</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2,027,395.48</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7,322,725,209.62</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7,649,257,866.34</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短期借款分类的说明：</w:t>
      </w:r>
      <w:r>
        <w:rPr>
          <w:rFonts w:hint="eastAsia"/>
          <w:sz w:val="18"/>
          <w:szCs w:val="18"/>
        </w:rPr>
        <w:t>无。</w:t>
      </w:r>
    </w:p>
    <w:p w:rsidR="00A067C6" w:rsidRDefault="005C4966">
      <w:pPr>
        <w:keepNext/>
        <w:keepLines/>
        <w:spacing w:before="300" w:after="300" w:line="280" w:lineRule="exact"/>
        <w:outlineLvl w:val="3"/>
        <w:rPr>
          <w:rFonts w:ascii="宋体" w:eastAsia="宋体" w:hAnsi="宋体" w:cs="宋体"/>
          <w:b/>
          <w:bCs/>
          <w:szCs w:val="21"/>
        </w:rPr>
      </w:pPr>
      <w:bookmarkStart w:id="275" w:name="_Toc989167"/>
      <w:r>
        <w:rPr>
          <w:rFonts w:ascii="宋体" w:eastAsia="宋体" w:hAnsi="宋体" w:cs="宋体"/>
          <w:b/>
          <w:bCs/>
          <w:szCs w:val="21"/>
        </w:rPr>
        <w:t>（</w:t>
      </w:r>
      <w:r>
        <w:rPr>
          <w:rFonts w:ascii="宋体" w:eastAsia="宋体" w:hAnsi="宋体" w:cs="宋体"/>
          <w:b/>
          <w:bCs/>
          <w:szCs w:val="21"/>
        </w:rPr>
        <w:t>2</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已逾期未偿还的短期借款情况</w:t>
      </w:r>
      <w:bookmarkEnd w:id="275"/>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本期末已逾期未偿还的短期借款总额为</w:t>
      </w:r>
      <w:r>
        <w:rPr>
          <w:rFonts w:ascii="宋体" w:eastAsia="宋体" w:hAnsi="宋体" w:cs="宋体"/>
          <w:sz w:val="18"/>
          <w:szCs w:val="18"/>
        </w:rPr>
        <w:t>0.00</w:t>
      </w:r>
      <w:r>
        <w:rPr>
          <w:rFonts w:ascii="宋体" w:eastAsia="宋体" w:hAnsi="宋体" w:cs="宋体"/>
          <w:sz w:val="18"/>
          <w:szCs w:val="18"/>
        </w:rPr>
        <w:t>元</w:t>
      </w:r>
      <w:r>
        <w:rPr>
          <w:rFonts w:ascii="宋体" w:eastAsia="宋体" w:hAnsi="宋体" w:cs="宋体" w:hint="eastAsia"/>
          <w:sz w:val="18"/>
          <w:szCs w:val="18"/>
        </w:rPr>
        <w:t>。</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其他说明</w:t>
      </w:r>
      <w:r>
        <w:rPr>
          <w:rFonts w:ascii="宋体" w:eastAsia="宋体" w:hAnsi="宋体" w:cs="宋体" w:hint="eastAsia"/>
          <w:sz w:val="18"/>
          <w:szCs w:val="18"/>
        </w:rPr>
        <w:t>：</w:t>
      </w:r>
      <w:r>
        <w:rPr>
          <w:rFonts w:hint="eastAsia"/>
          <w:sz w:val="18"/>
          <w:szCs w:val="18"/>
        </w:rPr>
        <w:t>无。</w:t>
      </w:r>
    </w:p>
    <w:p w:rsidR="00A067C6" w:rsidRDefault="005C4966">
      <w:pPr>
        <w:pStyle w:val="3"/>
        <w:spacing w:line="280" w:lineRule="exact"/>
        <w:jc w:val="left"/>
        <w:rPr>
          <w:rFonts w:ascii="宋体" w:hAnsi="宋体" w:cs="宋体"/>
          <w:b/>
          <w:bCs/>
        </w:rPr>
      </w:pPr>
      <w:bookmarkStart w:id="276" w:name="_Toc989168"/>
      <w:r>
        <w:rPr>
          <w:rFonts w:ascii="宋体" w:hAnsi="宋体" w:cs="宋体"/>
          <w:b/>
          <w:bCs/>
        </w:rPr>
        <w:t>33</w:t>
      </w:r>
      <w:r>
        <w:rPr>
          <w:rFonts w:ascii="宋体" w:hAnsi="宋体" w:cs="宋体"/>
          <w:b/>
          <w:bCs/>
        </w:rPr>
        <w:t>、交易性金融负债</w:t>
      </w:r>
      <w:bookmarkEnd w:id="276"/>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487"/>
        <w:gridCol w:w="1576"/>
        <w:gridCol w:w="1576"/>
      </w:tblGrid>
      <w:tr w:rsidR="00A067C6">
        <w:trPr>
          <w:trHeight w:val="240"/>
        </w:trPr>
        <w:tc>
          <w:tcPr>
            <w:tcW w:w="648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5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5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A067C6">
        <w:trPr>
          <w:trHeight w:val="240"/>
        </w:trPr>
        <w:tc>
          <w:tcPr>
            <w:tcW w:w="648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w:t>
            </w:r>
          </w:p>
        </w:tc>
        <w:tc>
          <w:tcPr>
            <w:tcW w:w="15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5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648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指定为以公允价值计量且其变动计入当期损益的金融负债</w:t>
            </w:r>
          </w:p>
        </w:tc>
        <w:tc>
          <w:tcPr>
            <w:tcW w:w="15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383,600.00</w:t>
            </w:r>
          </w:p>
        </w:tc>
        <w:tc>
          <w:tcPr>
            <w:tcW w:w="15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1,902,600.00</w:t>
            </w:r>
          </w:p>
        </w:tc>
      </w:tr>
      <w:tr w:rsidR="00A067C6">
        <w:trPr>
          <w:trHeight w:val="240"/>
        </w:trPr>
        <w:tc>
          <w:tcPr>
            <w:tcW w:w="648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w:t>
            </w:r>
          </w:p>
        </w:tc>
        <w:tc>
          <w:tcPr>
            <w:tcW w:w="15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5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648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5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383,600.00</w:t>
            </w:r>
          </w:p>
        </w:tc>
        <w:tc>
          <w:tcPr>
            <w:tcW w:w="15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1,902,600.00</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ascii="宋体" w:eastAsia="宋体" w:hAnsi="宋体" w:cs="宋体" w:hint="eastAsia"/>
          <w:sz w:val="18"/>
          <w:szCs w:val="18"/>
        </w:rPr>
        <w:t>无</w:t>
      </w:r>
    </w:p>
    <w:p w:rsidR="00A067C6" w:rsidRDefault="00A067C6">
      <w:pPr>
        <w:rPr>
          <w:sz w:val="18"/>
          <w:szCs w:val="18"/>
        </w:rPr>
      </w:pPr>
    </w:p>
    <w:p w:rsidR="00A067C6" w:rsidRDefault="005C4966">
      <w:pPr>
        <w:pStyle w:val="3"/>
        <w:spacing w:line="280" w:lineRule="exact"/>
        <w:jc w:val="left"/>
        <w:rPr>
          <w:rFonts w:ascii="宋体" w:hAnsi="宋体" w:cs="宋体"/>
          <w:b/>
          <w:bCs/>
        </w:rPr>
      </w:pPr>
      <w:bookmarkStart w:id="277" w:name="_Toc989169"/>
      <w:r>
        <w:rPr>
          <w:rFonts w:ascii="宋体" w:hAnsi="宋体" w:cs="宋体"/>
          <w:b/>
          <w:bCs/>
        </w:rPr>
        <w:t>34</w:t>
      </w:r>
      <w:r>
        <w:rPr>
          <w:rFonts w:ascii="宋体" w:hAnsi="宋体" w:cs="宋体"/>
          <w:b/>
          <w:bCs/>
        </w:rPr>
        <w:t>、衍生金融负债</w:t>
      </w:r>
      <w:bookmarkEnd w:id="277"/>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pStyle w:val="3"/>
        <w:spacing w:line="280" w:lineRule="exact"/>
        <w:jc w:val="left"/>
        <w:rPr>
          <w:rFonts w:ascii="宋体" w:hAnsi="宋体" w:cs="宋体"/>
          <w:b/>
          <w:bCs/>
        </w:rPr>
      </w:pPr>
      <w:bookmarkStart w:id="278" w:name="_Toc989170"/>
      <w:r>
        <w:rPr>
          <w:rFonts w:ascii="宋体" w:hAnsi="宋体" w:cs="宋体"/>
          <w:b/>
          <w:bCs/>
        </w:rPr>
        <w:t>35</w:t>
      </w:r>
      <w:r>
        <w:rPr>
          <w:rFonts w:ascii="宋体" w:hAnsi="宋体" w:cs="宋体"/>
          <w:b/>
          <w:bCs/>
        </w:rPr>
        <w:t>、应付票据</w:t>
      </w:r>
      <w:bookmarkEnd w:id="278"/>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种类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银行承兑汇票</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159,755,085.54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58,331,152.95</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159,755,085.54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58,331,152.95</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本期末已到期未支付的应付票据总额为</w:t>
      </w:r>
      <w:r>
        <w:rPr>
          <w:rFonts w:ascii="宋体" w:eastAsia="宋体" w:hAnsi="宋体" w:cs="宋体"/>
          <w:sz w:val="18"/>
          <w:szCs w:val="18"/>
        </w:rPr>
        <w:t>0.00</w:t>
      </w:r>
      <w:r>
        <w:rPr>
          <w:rFonts w:ascii="宋体" w:eastAsia="宋体" w:hAnsi="宋体" w:cs="宋体"/>
          <w:sz w:val="18"/>
          <w:szCs w:val="18"/>
        </w:rPr>
        <w:t>元。</w:t>
      </w:r>
    </w:p>
    <w:p w:rsidR="00A067C6" w:rsidRDefault="005C4966">
      <w:pPr>
        <w:pStyle w:val="3"/>
        <w:spacing w:line="280" w:lineRule="exact"/>
        <w:jc w:val="left"/>
        <w:rPr>
          <w:rFonts w:ascii="宋体" w:hAnsi="宋体" w:cs="宋体"/>
          <w:b/>
          <w:bCs/>
        </w:rPr>
      </w:pPr>
      <w:bookmarkStart w:id="279" w:name="_Toc989171"/>
      <w:r>
        <w:rPr>
          <w:rFonts w:ascii="宋体" w:hAnsi="宋体" w:cs="宋体"/>
          <w:b/>
          <w:bCs/>
        </w:rPr>
        <w:t>36</w:t>
      </w:r>
      <w:r>
        <w:rPr>
          <w:rFonts w:ascii="宋体" w:hAnsi="宋体" w:cs="宋体"/>
          <w:b/>
          <w:bCs/>
        </w:rPr>
        <w:t>、应付账款</w:t>
      </w:r>
      <w:bookmarkEnd w:id="279"/>
    </w:p>
    <w:p w:rsidR="00A067C6" w:rsidRDefault="005C4966">
      <w:pPr>
        <w:keepNext/>
        <w:keepLines/>
        <w:spacing w:before="300" w:after="300" w:line="280" w:lineRule="exact"/>
        <w:outlineLvl w:val="3"/>
        <w:rPr>
          <w:rFonts w:ascii="宋体" w:eastAsia="宋体" w:hAnsi="宋体" w:cs="宋体"/>
          <w:b/>
          <w:bCs/>
          <w:sz w:val="18"/>
          <w:szCs w:val="18"/>
        </w:rPr>
      </w:pPr>
      <w:bookmarkStart w:id="280" w:name="_Toc989172"/>
      <w:r>
        <w:rPr>
          <w:rFonts w:ascii="宋体" w:eastAsia="宋体" w:hAnsi="宋体" w:cs="宋体"/>
          <w:b/>
          <w:bCs/>
          <w:sz w:val="18"/>
          <w:szCs w:val="18"/>
        </w:rPr>
        <w:t>（</w:t>
      </w:r>
      <w:r>
        <w:rPr>
          <w:rFonts w:ascii="宋体" w:eastAsia="宋体" w:hAnsi="宋体" w:cs="宋体"/>
          <w:b/>
          <w:bCs/>
          <w:sz w:val="18"/>
          <w:szCs w:val="18"/>
        </w:rPr>
        <w:t>1</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应付账款列示</w:t>
      </w:r>
      <w:bookmarkEnd w:id="280"/>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应付货款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699,782,001.68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723,095,116.58</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应付工程款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76,163,558.99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84,395,335.24</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应付设备款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133,891,209.06</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96,597,730.22</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32,154,776.30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43,169,534.17</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941,991,546.03</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947,257,716.21</w:t>
            </w:r>
          </w:p>
        </w:tc>
      </w:tr>
    </w:tbl>
    <w:p w:rsidR="00A067C6" w:rsidRDefault="005C4966">
      <w:pPr>
        <w:keepNext/>
        <w:keepLines/>
        <w:spacing w:before="300" w:after="300" w:line="280" w:lineRule="exact"/>
        <w:outlineLvl w:val="3"/>
        <w:rPr>
          <w:rFonts w:ascii="宋体" w:eastAsia="宋体" w:hAnsi="宋体" w:cs="宋体"/>
          <w:b/>
          <w:bCs/>
          <w:sz w:val="18"/>
          <w:szCs w:val="18"/>
        </w:rPr>
      </w:pPr>
      <w:bookmarkStart w:id="281" w:name="_Toc989173"/>
      <w:r>
        <w:rPr>
          <w:rFonts w:ascii="宋体" w:eastAsia="宋体" w:hAnsi="宋体" w:cs="宋体"/>
          <w:b/>
          <w:bCs/>
          <w:sz w:val="18"/>
          <w:szCs w:val="18"/>
        </w:rPr>
        <w:t>（</w:t>
      </w:r>
      <w:r>
        <w:rPr>
          <w:rFonts w:ascii="宋体" w:eastAsia="宋体" w:hAnsi="宋体" w:cs="宋体"/>
          <w:b/>
          <w:bCs/>
          <w:sz w:val="18"/>
          <w:szCs w:val="18"/>
        </w:rPr>
        <w:t>2</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账龄超过</w:t>
      </w:r>
      <w:r>
        <w:rPr>
          <w:rFonts w:ascii="宋体" w:eastAsia="宋体" w:hAnsi="宋体" w:cs="宋体"/>
          <w:b/>
          <w:bCs/>
          <w:sz w:val="18"/>
          <w:szCs w:val="18"/>
        </w:rPr>
        <w:t>1</w:t>
      </w:r>
      <w:r>
        <w:rPr>
          <w:rFonts w:ascii="宋体" w:eastAsia="宋体" w:hAnsi="宋体" w:cs="宋体"/>
          <w:b/>
          <w:bCs/>
          <w:sz w:val="18"/>
          <w:szCs w:val="18"/>
        </w:rPr>
        <w:t>年的重要应付账款</w:t>
      </w:r>
      <w:bookmarkEnd w:id="281"/>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未偿还或结转的原因</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中煤第三建设（集团）有限责任公司</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27,107,123.28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未达到结算条件</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浙江嘉志利智能科技有限公司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12,574,000.00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未达到结算条件</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39,681,123.28</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pStyle w:val="3"/>
        <w:spacing w:line="280" w:lineRule="exact"/>
        <w:jc w:val="left"/>
        <w:rPr>
          <w:rFonts w:ascii="宋体" w:hAnsi="宋体" w:cs="宋体"/>
          <w:b/>
          <w:bCs/>
        </w:rPr>
      </w:pPr>
      <w:bookmarkStart w:id="282" w:name="_Toc989174"/>
      <w:r>
        <w:rPr>
          <w:rFonts w:ascii="宋体" w:hAnsi="宋体" w:cs="宋体"/>
          <w:b/>
          <w:bCs/>
        </w:rPr>
        <w:t>37</w:t>
      </w:r>
      <w:r>
        <w:rPr>
          <w:rFonts w:ascii="宋体" w:hAnsi="宋体" w:cs="宋体"/>
          <w:b/>
          <w:bCs/>
        </w:rPr>
        <w:t>、预收款项</w:t>
      </w:r>
      <w:bookmarkEnd w:id="282"/>
    </w:p>
    <w:p w:rsidR="00A067C6" w:rsidRDefault="005C4966">
      <w:pPr>
        <w:keepNext/>
        <w:keepLines/>
        <w:spacing w:before="300" w:after="300" w:line="280" w:lineRule="exact"/>
        <w:outlineLvl w:val="3"/>
        <w:rPr>
          <w:rFonts w:ascii="宋体" w:eastAsia="宋体" w:hAnsi="宋体" w:cs="宋体"/>
          <w:b/>
          <w:bCs/>
          <w:sz w:val="18"/>
          <w:szCs w:val="18"/>
        </w:rPr>
      </w:pPr>
      <w:bookmarkStart w:id="283" w:name="_Toc989175"/>
      <w:r>
        <w:rPr>
          <w:rFonts w:ascii="宋体" w:eastAsia="宋体" w:hAnsi="宋体" w:cs="宋体"/>
          <w:b/>
          <w:bCs/>
          <w:sz w:val="18"/>
          <w:szCs w:val="18"/>
        </w:rPr>
        <w:t>（</w:t>
      </w:r>
      <w:r>
        <w:rPr>
          <w:rFonts w:ascii="宋体" w:eastAsia="宋体" w:hAnsi="宋体" w:cs="宋体"/>
          <w:b/>
          <w:bCs/>
          <w:sz w:val="18"/>
          <w:szCs w:val="18"/>
        </w:rPr>
        <w:t>1</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预收款项列示</w:t>
      </w:r>
      <w:bookmarkEnd w:id="283"/>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预收租金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10,026,188.98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6,762,625.23</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10,026,188.98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6,762,625.23</w:t>
            </w:r>
          </w:p>
        </w:tc>
      </w:tr>
    </w:tbl>
    <w:p w:rsidR="00A067C6" w:rsidRDefault="005C4966">
      <w:pPr>
        <w:keepNext/>
        <w:keepLines/>
        <w:spacing w:before="300" w:after="300" w:line="280" w:lineRule="exact"/>
        <w:outlineLvl w:val="3"/>
        <w:rPr>
          <w:rFonts w:ascii="宋体" w:eastAsia="宋体" w:hAnsi="宋体" w:cs="宋体"/>
          <w:b/>
          <w:bCs/>
          <w:sz w:val="18"/>
          <w:szCs w:val="18"/>
        </w:rPr>
      </w:pPr>
      <w:bookmarkStart w:id="284" w:name="_Toc989176"/>
      <w:r>
        <w:rPr>
          <w:rFonts w:ascii="宋体" w:eastAsia="宋体" w:hAnsi="宋体" w:cs="宋体"/>
          <w:b/>
          <w:bCs/>
          <w:sz w:val="18"/>
          <w:szCs w:val="18"/>
        </w:rPr>
        <w:t>（</w:t>
      </w:r>
      <w:r>
        <w:rPr>
          <w:rFonts w:ascii="宋体" w:eastAsia="宋体" w:hAnsi="宋体" w:cs="宋体"/>
          <w:b/>
          <w:bCs/>
          <w:sz w:val="18"/>
          <w:szCs w:val="18"/>
        </w:rPr>
        <w:t>2</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账龄超过</w:t>
      </w:r>
      <w:r>
        <w:rPr>
          <w:rFonts w:ascii="宋体" w:eastAsia="宋体" w:hAnsi="宋体" w:cs="宋体"/>
          <w:b/>
          <w:bCs/>
          <w:sz w:val="18"/>
          <w:szCs w:val="18"/>
        </w:rPr>
        <w:t>1</w:t>
      </w:r>
      <w:r>
        <w:rPr>
          <w:rFonts w:ascii="宋体" w:eastAsia="宋体" w:hAnsi="宋体" w:cs="宋体"/>
          <w:b/>
          <w:bCs/>
          <w:sz w:val="18"/>
          <w:szCs w:val="18"/>
        </w:rPr>
        <w:t>年的重要预收款项</w:t>
      </w:r>
      <w:bookmarkEnd w:id="284"/>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期末余额中无账龄超过一年的重要预付款项。</w:t>
      </w:r>
    </w:p>
    <w:p w:rsidR="00A067C6" w:rsidRDefault="005C4966">
      <w:pPr>
        <w:pStyle w:val="3"/>
        <w:spacing w:line="280" w:lineRule="exact"/>
        <w:jc w:val="left"/>
        <w:rPr>
          <w:rFonts w:ascii="宋体" w:hAnsi="宋体" w:cs="宋体"/>
          <w:b/>
          <w:bCs/>
        </w:rPr>
      </w:pPr>
      <w:bookmarkStart w:id="285" w:name="_Toc989177"/>
      <w:r>
        <w:rPr>
          <w:rFonts w:ascii="宋体" w:hAnsi="宋体" w:cs="宋体"/>
          <w:b/>
          <w:bCs/>
        </w:rPr>
        <w:t>38</w:t>
      </w:r>
      <w:r>
        <w:rPr>
          <w:rFonts w:ascii="宋体" w:hAnsi="宋体" w:cs="宋体"/>
          <w:b/>
          <w:bCs/>
        </w:rPr>
        <w:t>、合同负债</w:t>
      </w:r>
      <w:bookmarkEnd w:id="285"/>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预收货款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757,246,830.73</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781,571,502.38</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预收设备款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600,000.00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757,846,830.73</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781,571,502.38</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报告期内账面价值发生重大变动的金额和原因</w:t>
      </w:r>
      <w:r>
        <w:rPr>
          <w:rFonts w:ascii="宋体" w:eastAsia="宋体" w:hAnsi="宋体" w:cs="宋体" w:hint="eastAsia"/>
          <w:sz w:val="18"/>
          <w:szCs w:val="18"/>
        </w:rPr>
        <w:t>：无</w:t>
      </w:r>
    </w:p>
    <w:p w:rsidR="00A067C6" w:rsidRDefault="005C4966">
      <w:pPr>
        <w:pStyle w:val="3"/>
        <w:spacing w:line="280" w:lineRule="exact"/>
        <w:jc w:val="left"/>
        <w:rPr>
          <w:rFonts w:ascii="宋体" w:hAnsi="宋体" w:cs="宋体"/>
          <w:b/>
          <w:bCs/>
        </w:rPr>
      </w:pPr>
      <w:bookmarkStart w:id="286" w:name="_Toc989178"/>
      <w:r>
        <w:rPr>
          <w:rFonts w:ascii="宋体" w:hAnsi="宋体" w:cs="宋体"/>
          <w:b/>
          <w:bCs/>
        </w:rPr>
        <w:t>39</w:t>
      </w:r>
      <w:r>
        <w:rPr>
          <w:rFonts w:ascii="宋体" w:hAnsi="宋体" w:cs="宋体"/>
          <w:b/>
          <w:bCs/>
        </w:rPr>
        <w:t>、应付职工薪酬</w:t>
      </w:r>
      <w:bookmarkEnd w:id="286"/>
    </w:p>
    <w:p w:rsidR="00A067C6" w:rsidRDefault="005C4966">
      <w:pPr>
        <w:keepNext/>
        <w:keepLines/>
        <w:spacing w:before="300" w:after="300" w:line="280" w:lineRule="exact"/>
        <w:outlineLvl w:val="3"/>
        <w:rPr>
          <w:rFonts w:ascii="宋体" w:eastAsia="宋体" w:hAnsi="宋体" w:cs="宋体"/>
          <w:b/>
          <w:bCs/>
          <w:szCs w:val="21"/>
        </w:rPr>
      </w:pPr>
      <w:bookmarkStart w:id="287" w:name="_Toc989179"/>
      <w:r>
        <w:rPr>
          <w:rFonts w:ascii="宋体" w:eastAsia="宋体" w:hAnsi="宋体" w:cs="宋体"/>
          <w:b/>
          <w:bCs/>
          <w:szCs w:val="21"/>
        </w:rPr>
        <w:t>（</w:t>
      </w:r>
      <w:r>
        <w:rPr>
          <w:rFonts w:ascii="宋体" w:eastAsia="宋体" w:hAnsi="宋体" w:cs="宋体"/>
          <w:b/>
          <w:bCs/>
          <w:szCs w:val="21"/>
        </w:rPr>
        <w:t>1</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应付职工薪酬列示</w:t>
      </w:r>
      <w:bookmarkEnd w:id="287"/>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235"/>
        <w:gridCol w:w="1851"/>
        <w:gridCol w:w="1851"/>
        <w:gridCol w:w="1851"/>
        <w:gridCol w:w="1851"/>
      </w:tblGrid>
      <w:tr w:rsidR="00A067C6">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85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85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85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85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A067C6">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一、短期薪酬</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71,137,199.18</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378,770,708.78</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379,103,262.21</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70,804,645.75</w:t>
            </w:r>
          </w:p>
        </w:tc>
      </w:tr>
      <w:tr w:rsidR="00A067C6">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二、离职后福利</w:t>
            </w:r>
            <w:r>
              <w:rPr>
                <w:rFonts w:ascii="宋体" w:eastAsia="宋体" w:hAnsi="宋体" w:cs="宋体"/>
                <w:sz w:val="18"/>
                <w:szCs w:val="18"/>
              </w:rPr>
              <w:t>-</w:t>
            </w:r>
            <w:r>
              <w:rPr>
                <w:rFonts w:ascii="宋体" w:eastAsia="宋体" w:hAnsi="宋体" w:cs="宋体"/>
                <w:sz w:val="18"/>
                <w:szCs w:val="18"/>
              </w:rPr>
              <w:t>设定提存计划</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4,281,732.30</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25,204,915.65</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25,942,699.60</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3,543,948.35</w:t>
            </w:r>
          </w:p>
        </w:tc>
      </w:tr>
      <w:tr w:rsidR="00A067C6">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三、辞退福利</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532,281.84</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532,281.84</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75,418,931.48</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404,507,906.27</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405,578,243.65</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74,348,594.10</w:t>
            </w:r>
          </w:p>
        </w:tc>
      </w:tr>
    </w:tbl>
    <w:p w:rsidR="00A067C6" w:rsidRDefault="005C4966">
      <w:pPr>
        <w:keepNext/>
        <w:keepLines/>
        <w:spacing w:before="300" w:after="300" w:line="280" w:lineRule="exact"/>
        <w:outlineLvl w:val="3"/>
        <w:rPr>
          <w:rFonts w:ascii="宋体" w:eastAsia="宋体" w:hAnsi="宋体" w:cs="宋体"/>
          <w:b/>
          <w:bCs/>
          <w:szCs w:val="21"/>
        </w:rPr>
      </w:pPr>
      <w:bookmarkStart w:id="288" w:name="_Toc989180"/>
      <w:r>
        <w:rPr>
          <w:rFonts w:ascii="宋体" w:eastAsia="宋体" w:hAnsi="宋体" w:cs="宋体"/>
          <w:b/>
          <w:bCs/>
          <w:szCs w:val="21"/>
        </w:rPr>
        <w:t>（</w:t>
      </w:r>
      <w:r>
        <w:rPr>
          <w:rFonts w:ascii="宋体" w:eastAsia="宋体" w:hAnsi="宋体" w:cs="宋体"/>
          <w:b/>
          <w:bCs/>
          <w:szCs w:val="21"/>
        </w:rPr>
        <w:t>2</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短期薪酬列示</w:t>
      </w:r>
      <w:bookmarkEnd w:id="288"/>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235"/>
        <w:gridCol w:w="1851"/>
        <w:gridCol w:w="1851"/>
        <w:gridCol w:w="1851"/>
        <w:gridCol w:w="1851"/>
      </w:tblGrid>
      <w:tr w:rsidR="00A067C6">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85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85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85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85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A067C6">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、工资、奖金、津贴和补贴</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63,538,827.20</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351,427,377.82</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352,751,710.31</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62,214,494.71</w:t>
            </w:r>
          </w:p>
        </w:tc>
      </w:tr>
      <w:tr w:rsidR="00A067C6">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、职工福利费</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451,446.44</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8,677,216.45</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8,471,756.80</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656,906.09</w:t>
            </w:r>
          </w:p>
        </w:tc>
      </w:tr>
      <w:tr w:rsidR="00A067C6">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、社会保险费</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3,520,040.82</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15,295,789.86</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15,442,232.99</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3,373,597.69</w:t>
            </w:r>
          </w:p>
        </w:tc>
      </w:tr>
      <w:tr w:rsidR="00A067C6">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其中：医疗保险费</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3,451,884.06</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13,984,141.25</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14,130,054.64</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3,305,970.67</w:t>
            </w:r>
          </w:p>
        </w:tc>
      </w:tr>
      <w:tr w:rsidR="00A067C6">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工伤保险费</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68,156.76</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1,283,854.81</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1,294,918.45</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57,093.12</w:t>
            </w:r>
          </w:p>
        </w:tc>
      </w:tr>
      <w:tr w:rsidR="00A067C6">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生育保险费</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27,793.80</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17,259.90</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10,533.90</w:t>
            </w:r>
          </w:p>
        </w:tc>
      </w:tr>
      <w:tr w:rsidR="00A067C6">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4</w:t>
            </w:r>
            <w:r>
              <w:rPr>
                <w:rFonts w:ascii="宋体" w:eastAsia="宋体" w:hAnsi="宋体" w:cs="宋体"/>
                <w:sz w:val="18"/>
                <w:szCs w:val="18"/>
              </w:rPr>
              <w:t>、住房公积金</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136,513.00</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1,523,381.60</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1,552,795.60</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107,099.00</w:t>
            </w:r>
          </w:p>
        </w:tc>
      </w:tr>
      <w:tr w:rsidR="00A067C6">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5</w:t>
            </w:r>
            <w:r>
              <w:rPr>
                <w:rFonts w:ascii="宋体" w:eastAsia="宋体" w:hAnsi="宋体" w:cs="宋体"/>
                <w:sz w:val="18"/>
                <w:szCs w:val="18"/>
              </w:rPr>
              <w:t>、工会经费和职工教育经费</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3,490,371.72</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1,846,943.05</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884,766.51</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4,452,548.26</w:t>
            </w:r>
          </w:p>
        </w:tc>
      </w:tr>
      <w:tr w:rsidR="00A067C6">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71,137,199.18</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378,770,708.78</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379,103,262.21</w:t>
            </w:r>
          </w:p>
        </w:tc>
        <w:tc>
          <w:tcPr>
            <w:tcW w:w="185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70,804,645.75</w:t>
            </w:r>
          </w:p>
        </w:tc>
      </w:tr>
    </w:tbl>
    <w:p w:rsidR="00A067C6" w:rsidRDefault="00A067C6">
      <w:pPr>
        <w:keepNext/>
        <w:keepLines/>
        <w:spacing w:before="300" w:after="300" w:line="280" w:lineRule="exact"/>
        <w:outlineLvl w:val="3"/>
        <w:rPr>
          <w:rFonts w:ascii="宋体" w:eastAsia="宋体" w:hAnsi="宋体" w:cs="宋体"/>
          <w:b/>
          <w:bCs/>
          <w:szCs w:val="21"/>
        </w:rPr>
      </w:pPr>
      <w:bookmarkStart w:id="289" w:name="_Toc989181"/>
    </w:p>
    <w:p w:rsidR="00A067C6" w:rsidRDefault="005C4966">
      <w:pPr>
        <w:keepNext/>
        <w:keepLines/>
        <w:spacing w:before="300" w:after="300" w:line="280" w:lineRule="exact"/>
        <w:outlineLvl w:val="3"/>
        <w:rPr>
          <w:rFonts w:ascii="宋体" w:eastAsia="宋体" w:hAnsi="宋体" w:cs="宋体"/>
          <w:b/>
          <w:bCs/>
          <w:szCs w:val="21"/>
        </w:rPr>
      </w:pPr>
      <w:r>
        <w:rPr>
          <w:rFonts w:ascii="宋体" w:eastAsia="宋体" w:hAnsi="宋体" w:cs="宋体"/>
          <w:b/>
          <w:bCs/>
          <w:szCs w:val="21"/>
        </w:rPr>
        <w:t>（</w:t>
      </w:r>
      <w:r>
        <w:rPr>
          <w:rFonts w:ascii="宋体" w:eastAsia="宋体" w:hAnsi="宋体" w:cs="宋体"/>
          <w:b/>
          <w:bCs/>
          <w:szCs w:val="21"/>
        </w:rPr>
        <w:t>3</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设定提存计划列示</w:t>
      </w:r>
      <w:bookmarkEnd w:id="289"/>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A067C6">
        <w:trPr>
          <w:cantSplit/>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A067C6">
        <w:trPr>
          <w:cantSplit/>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、基本养老保险</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4,010,377.40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24,490,529.82</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25,226,484.62</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3,274,422.60</w:t>
            </w:r>
          </w:p>
        </w:tc>
      </w:tr>
      <w:tr w:rsidR="00A067C6">
        <w:trPr>
          <w:cantSplit/>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、失业保险费</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271,354.90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714,385.83</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716,214.98</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269,525.75</w:t>
            </w:r>
          </w:p>
        </w:tc>
      </w:tr>
      <w:tr w:rsidR="00A067C6">
        <w:trPr>
          <w:cantSplit/>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4,281,732.30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25,204,915.65</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25,942,699.60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3,543,948.35</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ascii="宋体" w:eastAsia="宋体" w:hAnsi="宋体" w:cs="宋体" w:hint="eastAsia"/>
          <w:sz w:val="18"/>
          <w:szCs w:val="18"/>
        </w:rPr>
        <w:t>：无</w:t>
      </w:r>
    </w:p>
    <w:p w:rsidR="00A067C6" w:rsidRDefault="005C4966">
      <w:pPr>
        <w:pStyle w:val="3"/>
        <w:spacing w:line="280" w:lineRule="exact"/>
        <w:jc w:val="left"/>
        <w:rPr>
          <w:rFonts w:ascii="宋体" w:hAnsi="宋体" w:cs="宋体"/>
          <w:b/>
          <w:bCs/>
        </w:rPr>
      </w:pPr>
      <w:bookmarkStart w:id="290" w:name="_Toc989182"/>
      <w:r>
        <w:rPr>
          <w:rFonts w:ascii="宋体" w:hAnsi="宋体" w:cs="宋体"/>
          <w:b/>
          <w:bCs/>
        </w:rPr>
        <w:t>40</w:t>
      </w:r>
      <w:r>
        <w:rPr>
          <w:rFonts w:ascii="宋体" w:hAnsi="宋体" w:cs="宋体"/>
          <w:b/>
          <w:bCs/>
        </w:rPr>
        <w:t>、应交税费</w:t>
      </w:r>
      <w:bookmarkEnd w:id="290"/>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增值税</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45,408,250.53</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48,217,944.84</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企业所得税</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4,520,056.46</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35,661,872.91</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个人所得税</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1,547,081.59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1,767,094.78</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城市维护建设税</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1,823,530.66</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983,295.86</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房产税</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4,780,534.14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1,831,806.18</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土地使用税</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4,595,284.59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1,675,858.92</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教育费附加</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1,345,848.75</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773,214.24</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3,149,262.71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3,952,327.19</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67,169,849.43</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94,863,414.92</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ascii="宋体" w:eastAsia="宋体" w:hAnsi="宋体" w:cs="宋体" w:hint="eastAsia"/>
          <w:sz w:val="18"/>
          <w:szCs w:val="18"/>
        </w:rPr>
        <w:t>：无。</w:t>
      </w:r>
    </w:p>
    <w:p w:rsidR="00A067C6" w:rsidRDefault="005C4966">
      <w:pPr>
        <w:pStyle w:val="3"/>
        <w:spacing w:line="280" w:lineRule="exact"/>
        <w:jc w:val="left"/>
        <w:rPr>
          <w:rFonts w:ascii="宋体" w:hAnsi="宋体" w:cs="宋体"/>
          <w:b/>
          <w:bCs/>
        </w:rPr>
      </w:pPr>
      <w:bookmarkStart w:id="291" w:name="_Toc989183"/>
      <w:r>
        <w:rPr>
          <w:rFonts w:ascii="宋体" w:hAnsi="宋体" w:cs="宋体"/>
          <w:b/>
          <w:bCs/>
        </w:rPr>
        <w:t>41</w:t>
      </w:r>
      <w:r>
        <w:rPr>
          <w:rFonts w:ascii="宋体" w:hAnsi="宋体" w:cs="宋体"/>
          <w:b/>
          <w:bCs/>
        </w:rPr>
        <w:t>、其他应付款</w:t>
      </w:r>
      <w:bookmarkEnd w:id="291"/>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276,200,413.23</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220,752,940.26</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276,200,413.23</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220,752,940.26</w:t>
            </w:r>
          </w:p>
        </w:tc>
      </w:tr>
    </w:tbl>
    <w:p w:rsidR="00A067C6" w:rsidRDefault="005C4966">
      <w:pPr>
        <w:keepNext/>
        <w:keepLines/>
        <w:spacing w:before="300" w:after="300" w:line="280" w:lineRule="exact"/>
        <w:outlineLvl w:val="3"/>
        <w:rPr>
          <w:rFonts w:ascii="宋体" w:eastAsia="宋体" w:hAnsi="宋体" w:cs="宋体"/>
          <w:b/>
          <w:bCs/>
          <w:sz w:val="18"/>
          <w:szCs w:val="18"/>
        </w:rPr>
      </w:pPr>
      <w:bookmarkStart w:id="292" w:name="_Toc989184"/>
      <w:r>
        <w:rPr>
          <w:rFonts w:ascii="宋体" w:eastAsia="宋体" w:hAnsi="宋体" w:cs="宋体"/>
          <w:b/>
          <w:bCs/>
          <w:sz w:val="18"/>
          <w:szCs w:val="18"/>
        </w:rPr>
        <w:t>（</w:t>
      </w:r>
      <w:r>
        <w:rPr>
          <w:rFonts w:ascii="宋体" w:eastAsia="宋体" w:hAnsi="宋体" w:cs="宋体"/>
          <w:b/>
          <w:bCs/>
          <w:sz w:val="18"/>
          <w:szCs w:val="18"/>
        </w:rPr>
        <w:t>1</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应付利息</w:t>
      </w:r>
      <w:bookmarkEnd w:id="292"/>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keepNext/>
        <w:keepLines/>
        <w:spacing w:before="300" w:after="300" w:line="280" w:lineRule="exact"/>
        <w:outlineLvl w:val="3"/>
        <w:rPr>
          <w:rFonts w:ascii="宋体" w:eastAsia="宋体" w:hAnsi="宋体" w:cs="宋体"/>
          <w:b/>
          <w:bCs/>
          <w:sz w:val="18"/>
          <w:szCs w:val="18"/>
        </w:rPr>
      </w:pPr>
      <w:bookmarkStart w:id="293" w:name="_Toc989185"/>
      <w:r>
        <w:rPr>
          <w:rFonts w:ascii="宋体" w:eastAsia="宋体" w:hAnsi="宋体" w:cs="宋体"/>
          <w:b/>
          <w:bCs/>
          <w:sz w:val="18"/>
          <w:szCs w:val="18"/>
        </w:rPr>
        <w:t>（</w:t>
      </w:r>
      <w:r>
        <w:rPr>
          <w:rFonts w:ascii="宋体" w:eastAsia="宋体" w:hAnsi="宋体" w:cs="宋体"/>
          <w:b/>
          <w:bCs/>
          <w:sz w:val="18"/>
          <w:szCs w:val="18"/>
        </w:rPr>
        <w:t>2</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应付股利</w:t>
      </w:r>
      <w:bookmarkEnd w:id="293"/>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其他说明，包括重要的超过</w:t>
      </w:r>
      <w:r>
        <w:rPr>
          <w:rFonts w:ascii="宋体" w:eastAsia="宋体" w:hAnsi="宋体" w:cs="宋体"/>
          <w:sz w:val="18"/>
          <w:szCs w:val="18"/>
        </w:rPr>
        <w:t>1</w:t>
      </w:r>
      <w:r>
        <w:rPr>
          <w:rFonts w:ascii="宋体" w:eastAsia="宋体" w:hAnsi="宋体" w:cs="宋体"/>
          <w:sz w:val="18"/>
          <w:szCs w:val="18"/>
        </w:rPr>
        <w:t>年未支付的应付股利，应披露未支付原因：</w:t>
      </w:r>
      <w:r>
        <w:rPr>
          <w:rFonts w:hint="eastAsia"/>
          <w:sz w:val="18"/>
          <w:szCs w:val="18"/>
        </w:rPr>
        <w:t>无。</w:t>
      </w:r>
    </w:p>
    <w:p w:rsidR="00A067C6" w:rsidRDefault="005C4966">
      <w:pPr>
        <w:keepNext/>
        <w:keepLines/>
        <w:spacing w:before="240" w:after="240" w:line="280" w:lineRule="exact"/>
        <w:outlineLvl w:val="3"/>
        <w:rPr>
          <w:rFonts w:ascii="宋体" w:eastAsia="宋体" w:hAnsi="宋体" w:cs="宋体"/>
          <w:b/>
          <w:bCs/>
          <w:sz w:val="18"/>
          <w:szCs w:val="18"/>
        </w:rPr>
      </w:pPr>
      <w:bookmarkStart w:id="294" w:name="_Toc989186"/>
      <w:r>
        <w:rPr>
          <w:rFonts w:ascii="宋体" w:eastAsia="宋体" w:hAnsi="宋体" w:cs="宋体"/>
          <w:b/>
          <w:bCs/>
          <w:sz w:val="18"/>
          <w:szCs w:val="18"/>
        </w:rPr>
        <w:t>（</w:t>
      </w:r>
      <w:r>
        <w:rPr>
          <w:rFonts w:ascii="宋体" w:eastAsia="宋体" w:hAnsi="宋体" w:cs="宋体"/>
          <w:b/>
          <w:bCs/>
          <w:sz w:val="18"/>
          <w:szCs w:val="18"/>
        </w:rPr>
        <w:t>3</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其他应付款</w:t>
      </w:r>
      <w:bookmarkEnd w:id="294"/>
    </w:p>
    <w:p w:rsidR="00A067C6" w:rsidRDefault="00A067C6">
      <w:pPr>
        <w:keepNext/>
        <w:keepLines/>
        <w:spacing w:before="240" w:after="240" w:line="280" w:lineRule="exact"/>
        <w:outlineLvl w:val="3"/>
        <w:rPr>
          <w:rFonts w:ascii="宋体" w:eastAsia="宋体" w:hAnsi="宋体" w:cs="宋体"/>
          <w:b/>
          <w:bCs/>
          <w:sz w:val="18"/>
          <w:szCs w:val="18"/>
        </w:rPr>
      </w:pPr>
    </w:p>
    <w:p w:rsidR="00A067C6" w:rsidRDefault="005C4966">
      <w:pPr>
        <w:keepNext/>
        <w:keepLines/>
        <w:spacing w:before="300" w:after="300" w:line="280" w:lineRule="exact"/>
        <w:outlineLvl w:val="4"/>
        <w:rPr>
          <w:rFonts w:ascii="宋体" w:eastAsia="宋体" w:hAnsi="宋体" w:cs="宋体"/>
          <w:b/>
          <w:bCs/>
          <w:sz w:val="18"/>
          <w:szCs w:val="18"/>
        </w:rPr>
      </w:pPr>
      <w:bookmarkStart w:id="295" w:name="_Toc989187"/>
      <w:r>
        <w:rPr>
          <w:rFonts w:ascii="宋体" w:eastAsia="宋体" w:hAnsi="宋体" w:cs="宋体"/>
          <w:b/>
          <w:bCs/>
          <w:sz w:val="18"/>
          <w:szCs w:val="18"/>
        </w:rPr>
        <w:t>1</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按款项性质列示其他应付款</w:t>
      </w:r>
      <w:bookmarkEnd w:id="295"/>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A067C6">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质保金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2,071,318.27</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713,425.30</w:t>
            </w:r>
          </w:p>
        </w:tc>
      </w:tr>
      <w:tr w:rsidR="00A067C6">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押金及保证金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72,317,004.30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92,582,244.38</w:t>
            </w:r>
          </w:p>
        </w:tc>
      </w:tr>
      <w:tr w:rsidR="00A067C6">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佣金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1,816,796.58</w:t>
            </w:r>
          </w:p>
        </w:tc>
      </w:tr>
      <w:tr w:rsidR="00A067C6">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修理费</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29,413.00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955,200.30</w:t>
            </w:r>
          </w:p>
        </w:tc>
      </w:tr>
      <w:tr w:rsidR="00A067C6">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暂收款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25,893,925.83</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34,370,211.50</w:t>
            </w:r>
          </w:p>
        </w:tc>
      </w:tr>
      <w:tr w:rsidR="00A067C6">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运费</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17,216,001.08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31,154,999.09</w:t>
            </w:r>
          </w:p>
        </w:tc>
      </w:tr>
      <w:tr w:rsidR="00A067C6">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电费</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6,951,914.01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7,243,388.90</w:t>
            </w:r>
          </w:p>
        </w:tc>
      </w:tr>
      <w:tr w:rsidR="00A067C6">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其他预提费用</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49,961,371.58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31,281,257.75</w:t>
            </w:r>
          </w:p>
        </w:tc>
      </w:tr>
      <w:tr w:rsidR="00A067C6">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其他单位往来款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股权款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61,850,000.00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土地费用</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4,150,266.20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4,150,266.20</w:t>
            </w:r>
          </w:p>
        </w:tc>
      </w:tr>
      <w:tr w:rsidR="00A067C6">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关联方往来</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12,581,381.77</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12,525,073.89</w:t>
            </w:r>
          </w:p>
        </w:tc>
      </w:tr>
      <w:tr w:rsidR="00A067C6">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23,177,817.19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3,960,076.37</w:t>
            </w:r>
          </w:p>
        </w:tc>
      </w:tr>
      <w:tr w:rsidR="00A067C6">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276,200,413.23</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220,752,940.26</w:t>
            </w:r>
          </w:p>
        </w:tc>
      </w:tr>
    </w:tbl>
    <w:p w:rsidR="00A067C6" w:rsidRDefault="005C4966">
      <w:pPr>
        <w:keepNext/>
        <w:keepLines/>
        <w:spacing w:before="300" w:after="300" w:line="280" w:lineRule="exact"/>
        <w:outlineLvl w:val="4"/>
        <w:rPr>
          <w:rFonts w:ascii="宋体" w:eastAsia="宋体" w:hAnsi="宋体" w:cs="宋体"/>
          <w:b/>
          <w:bCs/>
          <w:sz w:val="18"/>
          <w:szCs w:val="18"/>
        </w:rPr>
      </w:pPr>
      <w:bookmarkStart w:id="296" w:name="_Toc989188"/>
      <w:r>
        <w:rPr>
          <w:rFonts w:ascii="宋体" w:eastAsia="宋体" w:hAnsi="宋体" w:cs="宋体"/>
          <w:b/>
          <w:bCs/>
          <w:sz w:val="18"/>
          <w:szCs w:val="18"/>
        </w:rPr>
        <w:t>2</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账龄超过</w:t>
      </w:r>
      <w:r>
        <w:rPr>
          <w:rFonts w:ascii="宋体" w:eastAsia="宋体" w:hAnsi="宋体" w:cs="宋体"/>
          <w:b/>
          <w:bCs/>
          <w:sz w:val="18"/>
          <w:szCs w:val="18"/>
        </w:rPr>
        <w:t>1</w:t>
      </w:r>
      <w:r>
        <w:rPr>
          <w:rFonts w:ascii="宋体" w:eastAsia="宋体" w:hAnsi="宋体" w:cs="宋体"/>
          <w:b/>
          <w:bCs/>
          <w:sz w:val="18"/>
          <w:szCs w:val="18"/>
        </w:rPr>
        <w:t>年的重要其他应付款</w:t>
      </w:r>
      <w:bookmarkEnd w:id="296"/>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未偿还或结转的原因</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石河子开发区九峰棉业有限公司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9,354,778.66</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未支付</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许栩光</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5,844,320.96</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未支付</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15,199,099.62</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ascii="宋体" w:eastAsia="宋体" w:hAnsi="宋体" w:cs="宋体" w:hint="eastAsia"/>
          <w:sz w:val="18"/>
          <w:szCs w:val="18"/>
        </w:rPr>
        <w:t>：</w:t>
      </w:r>
      <w:r>
        <w:rPr>
          <w:rFonts w:hint="eastAsia"/>
          <w:sz w:val="18"/>
          <w:szCs w:val="18"/>
        </w:rPr>
        <w:t>无。</w:t>
      </w:r>
    </w:p>
    <w:p w:rsidR="00A067C6" w:rsidRDefault="005C4966">
      <w:pPr>
        <w:pStyle w:val="3"/>
        <w:spacing w:line="280" w:lineRule="exact"/>
        <w:jc w:val="left"/>
        <w:rPr>
          <w:rFonts w:ascii="宋体" w:hAnsi="宋体" w:cs="宋体"/>
          <w:b/>
          <w:bCs/>
        </w:rPr>
      </w:pPr>
      <w:bookmarkStart w:id="297" w:name="_Toc989189"/>
      <w:r>
        <w:rPr>
          <w:rFonts w:ascii="宋体" w:hAnsi="宋体" w:cs="宋体"/>
          <w:b/>
          <w:bCs/>
        </w:rPr>
        <w:t>42</w:t>
      </w:r>
      <w:r>
        <w:rPr>
          <w:rFonts w:ascii="宋体" w:hAnsi="宋体" w:cs="宋体"/>
          <w:b/>
          <w:bCs/>
        </w:rPr>
        <w:t>、持有待售负债</w:t>
      </w:r>
      <w:bookmarkEnd w:id="297"/>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ascii="宋体" w:eastAsia="宋体" w:hAnsi="宋体" w:cs="宋体" w:hint="eastAsia"/>
          <w:sz w:val="18"/>
          <w:szCs w:val="18"/>
        </w:rPr>
        <w:t>：</w:t>
      </w:r>
      <w:r>
        <w:rPr>
          <w:rFonts w:hint="eastAsia"/>
          <w:sz w:val="18"/>
          <w:szCs w:val="18"/>
        </w:rPr>
        <w:t>无。</w:t>
      </w:r>
    </w:p>
    <w:p w:rsidR="00A067C6" w:rsidRDefault="005C4966">
      <w:pPr>
        <w:pStyle w:val="3"/>
        <w:spacing w:line="280" w:lineRule="exact"/>
        <w:jc w:val="left"/>
        <w:rPr>
          <w:rFonts w:ascii="宋体" w:hAnsi="宋体" w:cs="宋体"/>
          <w:b/>
          <w:bCs/>
        </w:rPr>
      </w:pPr>
      <w:bookmarkStart w:id="298" w:name="_Toc989190"/>
      <w:r>
        <w:rPr>
          <w:rFonts w:ascii="宋体" w:hAnsi="宋体" w:cs="宋体"/>
          <w:b/>
          <w:bCs/>
        </w:rPr>
        <w:t>43</w:t>
      </w:r>
      <w:r>
        <w:rPr>
          <w:rFonts w:ascii="宋体" w:hAnsi="宋体" w:cs="宋体"/>
          <w:b/>
          <w:bCs/>
        </w:rPr>
        <w:t>、一年内到期的非流动负债</w:t>
      </w:r>
      <w:bookmarkEnd w:id="298"/>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一年内到期的长期借款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170,200,000.00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132,000,000.00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一年内到期的长期应付款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20,000,000.00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20,000,000.00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一年内到期的租赁负债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8,615,780.84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8,589,298.01</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计提的长期借款利息</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4,228,355.16</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903,581.75</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203,044,136.00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161,492,879.76</w:t>
            </w:r>
          </w:p>
        </w:tc>
      </w:tr>
    </w:tbl>
    <w:p w:rsidR="00A067C6" w:rsidRDefault="005C4966">
      <w:pPr>
        <w:spacing w:before="100" w:after="100" w:line="240" w:lineRule="exact"/>
        <w:rPr>
          <w:rFonts w:asciiTheme="minorEastAsia" w:hAnsiTheme="minorEastAsia" w:cs="宋体"/>
          <w:sz w:val="18"/>
          <w:szCs w:val="18"/>
        </w:rPr>
      </w:pPr>
      <w:r>
        <w:rPr>
          <w:rFonts w:asciiTheme="minorEastAsia" w:hAnsiTheme="minorEastAsia" w:cs="宋体"/>
          <w:sz w:val="18"/>
          <w:szCs w:val="18"/>
        </w:rPr>
        <w:t>其他说明：</w:t>
      </w:r>
      <w:r>
        <w:rPr>
          <w:rFonts w:asciiTheme="minorEastAsia" w:hAnsiTheme="minorEastAsia" w:hint="eastAsia"/>
          <w:sz w:val="18"/>
          <w:szCs w:val="18"/>
        </w:rPr>
        <w:t>2009</w:t>
      </w:r>
      <w:r>
        <w:rPr>
          <w:rFonts w:asciiTheme="minorEastAsia" w:hAnsiTheme="minorEastAsia" w:hint="eastAsia"/>
          <w:sz w:val="18"/>
          <w:szCs w:val="18"/>
        </w:rPr>
        <w:t>年</w:t>
      </w:r>
      <w:r>
        <w:rPr>
          <w:rFonts w:asciiTheme="minorEastAsia" w:hAnsiTheme="minorEastAsia" w:hint="eastAsia"/>
          <w:sz w:val="18"/>
          <w:szCs w:val="18"/>
        </w:rPr>
        <w:t>11</w:t>
      </w:r>
      <w:r>
        <w:rPr>
          <w:rFonts w:asciiTheme="minorEastAsia" w:hAnsiTheme="minorEastAsia" w:hint="eastAsia"/>
          <w:sz w:val="18"/>
          <w:szCs w:val="18"/>
        </w:rPr>
        <w:t>月</w:t>
      </w:r>
      <w:r>
        <w:rPr>
          <w:rFonts w:asciiTheme="minorEastAsia" w:hAnsiTheme="minorEastAsia" w:hint="eastAsia"/>
          <w:sz w:val="18"/>
          <w:szCs w:val="18"/>
        </w:rPr>
        <w:t>30</w:t>
      </w:r>
      <w:r>
        <w:rPr>
          <w:rFonts w:asciiTheme="minorEastAsia" w:hAnsiTheme="minorEastAsia" w:hint="eastAsia"/>
          <w:sz w:val="18"/>
          <w:szCs w:val="18"/>
        </w:rPr>
        <w:t>日，新疆华孚纺织有限公司与石河子国有资产经营</w:t>
      </w:r>
      <w:r>
        <w:rPr>
          <w:rFonts w:asciiTheme="minorEastAsia" w:hAnsiTheme="minorEastAsia" w:hint="eastAsia"/>
          <w:sz w:val="18"/>
          <w:szCs w:val="18"/>
        </w:rPr>
        <w:t>(</w:t>
      </w:r>
      <w:r>
        <w:rPr>
          <w:rFonts w:asciiTheme="minorEastAsia" w:hAnsiTheme="minorEastAsia" w:hint="eastAsia"/>
          <w:sz w:val="18"/>
          <w:szCs w:val="18"/>
        </w:rPr>
        <w:t>集团</w:t>
      </w:r>
      <w:r>
        <w:rPr>
          <w:rFonts w:asciiTheme="minorEastAsia" w:hAnsiTheme="minorEastAsia" w:hint="eastAsia"/>
          <w:sz w:val="18"/>
          <w:szCs w:val="18"/>
        </w:rPr>
        <w:t>)</w:t>
      </w:r>
      <w:r>
        <w:rPr>
          <w:rFonts w:asciiTheme="minorEastAsia" w:hAnsiTheme="minorEastAsia" w:hint="eastAsia"/>
          <w:sz w:val="18"/>
          <w:szCs w:val="18"/>
        </w:rPr>
        <w:t>有限公司签订的股权转让合同，公司将以人民币</w:t>
      </w:r>
      <w:r>
        <w:rPr>
          <w:rFonts w:asciiTheme="minorEastAsia" w:hAnsiTheme="minorEastAsia" w:hint="eastAsia"/>
          <w:sz w:val="18"/>
          <w:szCs w:val="18"/>
        </w:rPr>
        <w:t>4,000</w:t>
      </w:r>
      <w:r>
        <w:rPr>
          <w:rFonts w:asciiTheme="minorEastAsia" w:hAnsiTheme="minorEastAsia" w:hint="eastAsia"/>
          <w:sz w:val="18"/>
          <w:szCs w:val="18"/>
        </w:rPr>
        <w:t>万元购买石河子国有资产经营</w:t>
      </w:r>
      <w:r>
        <w:rPr>
          <w:rFonts w:asciiTheme="minorEastAsia" w:hAnsiTheme="minorEastAsia" w:hint="eastAsia"/>
          <w:sz w:val="18"/>
          <w:szCs w:val="18"/>
        </w:rPr>
        <w:t>(</w:t>
      </w:r>
      <w:r>
        <w:rPr>
          <w:rFonts w:asciiTheme="minorEastAsia" w:hAnsiTheme="minorEastAsia" w:hint="eastAsia"/>
          <w:sz w:val="18"/>
          <w:szCs w:val="18"/>
        </w:rPr>
        <w:t>集团</w:t>
      </w:r>
      <w:r>
        <w:rPr>
          <w:rFonts w:asciiTheme="minorEastAsia" w:hAnsiTheme="minorEastAsia" w:hint="eastAsia"/>
          <w:sz w:val="18"/>
          <w:szCs w:val="18"/>
        </w:rPr>
        <w:t>)</w:t>
      </w:r>
      <w:r>
        <w:rPr>
          <w:rFonts w:asciiTheme="minorEastAsia" w:hAnsiTheme="minorEastAsia" w:hint="eastAsia"/>
          <w:sz w:val="18"/>
          <w:szCs w:val="18"/>
        </w:rPr>
        <w:t>有限公司及其子公司新疆石河子造纸厂共同持有的天宏新八棉全部股份，全部转让款分两次付清，即第一次在本协议签字生效后一个月内支付人民币</w:t>
      </w:r>
      <w:r>
        <w:rPr>
          <w:rFonts w:asciiTheme="minorEastAsia" w:hAnsiTheme="minorEastAsia" w:hint="eastAsia"/>
          <w:sz w:val="18"/>
          <w:szCs w:val="18"/>
        </w:rPr>
        <w:t>2,000</w:t>
      </w:r>
      <w:r>
        <w:rPr>
          <w:rFonts w:asciiTheme="minorEastAsia" w:hAnsiTheme="minorEastAsia" w:hint="eastAsia"/>
          <w:sz w:val="18"/>
          <w:szCs w:val="18"/>
        </w:rPr>
        <w:t>万元，第二次在四至五年内全部付清。本公司已支付人民币</w:t>
      </w:r>
      <w:r>
        <w:rPr>
          <w:rFonts w:asciiTheme="minorEastAsia" w:hAnsiTheme="minorEastAsia" w:hint="eastAsia"/>
          <w:sz w:val="18"/>
          <w:szCs w:val="18"/>
        </w:rPr>
        <w:t>2,000</w:t>
      </w:r>
      <w:r>
        <w:rPr>
          <w:rFonts w:asciiTheme="minorEastAsia" w:hAnsiTheme="minorEastAsia" w:hint="eastAsia"/>
          <w:sz w:val="18"/>
          <w:szCs w:val="18"/>
        </w:rPr>
        <w:t>万元，剩余尚未支付款项人民币</w:t>
      </w:r>
      <w:r>
        <w:rPr>
          <w:rFonts w:asciiTheme="minorEastAsia" w:hAnsiTheme="minorEastAsia" w:hint="eastAsia"/>
          <w:sz w:val="18"/>
          <w:szCs w:val="18"/>
        </w:rPr>
        <w:t>2,000</w:t>
      </w:r>
      <w:r>
        <w:rPr>
          <w:rFonts w:asciiTheme="minorEastAsia" w:hAnsiTheme="minorEastAsia" w:hint="eastAsia"/>
          <w:sz w:val="18"/>
          <w:szCs w:val="18"/>
        </w:rPr>
        <w:t>万元已计入一年内到期的非流动负债。</w:t>
      </w:r>
    </w:p>
    <w:p w:rsidR="00A067C6" w:rsidRDefault="005C4966">
      <w:pPr>
        <w:pStyle w:val="3"/>
        <w:spacing w:line="280" w:lineRule="exact"/>
        <w:jc w:val="left"/>
        <w:rPr>
          <w:rFonts w:ascii="宋体" w:hAnsi="宋体" w:cs="宋体"/>
          <w:b/>
          <w:bCs/>
        </w:rPr>
      </w:pPr>
      <w:bookmarkStart w:id="299" w:name="_Toc989191"/>
      <w:r>
        <w:rPr>
          <w:rFonts w:ascii="宋体" w:hAnsi="宋体" w:cs="宋体"/>
          <w:b/>
          <w:bCs/>
        </w:rPr>
        <w:t>44</w:t>
      </w:r>
      <w:r>
        <w:rPr>
          <w:rFonts w:ascii="宋体" w:hAnsi="宋体" w:cs="宋体"/>
          <w:b/>
          <w:bCs/>
        </w:rPr>
        <w:t>、其他流动负债</w:t>
      </w:r>
      <w:bookmarkEnd w:id="299"/>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保付加签借款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w:t>
            </w:r>
            <w:r>
              <w:rPr>
                <w:rFonts w:ascii="宋体" w:eastAsia="宋体" w:hAnsi="宋体" w:cs="宋体"/>
                <w:sz w:val="18"/>
                <w:szCs w:val="18"/>
              </w:rPr>
              <w:t>188,220.80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23,120,206.97</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预收货款的增值税额</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60,879,424.59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68,977,770.95</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76,067,645.39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92,097,977.92</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ascii="宋体" w:eastAsia="宋体" w:hAnsi="宋体" w:cs="宋体" w:hint="eastAsia"/>
          <w:sz w:val="18"/>
          <w:szCs w:val="18"/>
        </w:rPr>
        <w:t>无</w:t>
      </w:r>
    </w:p>
    <w:p w:rsidR="00A067C6" w:rsidRDefault="005C4966">
      <w:pPr>
        <w:pStyle w:val="3"/>
        <w:spacing w:before="0" w:after="0" w:line="280" w:lineRule="exact"/>
        <w:jc w:val="left"/>
        <w:rPr>
          <w:rFonts w:ascii="宋体" w:hAnsi="宋体" w:cs="宋体"/>
          <w:b/>
          <w:bCs/>
        </w:rPr>
      </w:pPr>
      <w:bookmarkStart w:id="300" w:name="_Toc989192"/>
      <w:r>
        <w:rPr>
          <w:rFonts w:ascii="宋体" w:hAnsi="宋体" w:cs="宋体"/>
          <w:b/>
          <w:bCs/>
        </w:rPr>
        <w:t>45</w:t>
      </w:r>
      <w:r>
        <w:rPr>
          <w:rFonts w:ascii="宋体" w:hAnsi="宋体" w:cs="宋体"/>
          <w:b/>
          <w:bCs/>
        </w:rPr>
        <w:t>、长期借款</w:t>
      </w:r>
      <w:bookmarkEnd w:id="300"/>
    </w:p>
    <w:p w:rsidR="00A067C6" w:rsidRDefault="005C4966">
      <w:pPr>
        <w:keepNext/>
        <w:keepLines/>
        <w:spacing w:line="280" w:lineRule="exact"/>
        <w:outlineLvl w:val="3"/>
        <w:rPr>
          <w:rFonts w:ascii="宋体" w:eastAsia="宋体" w:hAnsi="宋体" w:cs="宋体"/>
          <w:b/>
          <w:bCs/>
          <w:sz w:val="18"/>
          <w:szCs w:val="18"/>
        </w:rPr>
      </w:pPr>
      <w:bookmarkStart w:id="301" w:name="_Toc989193"/>
      <w:r>
        <w:rPr>
          <w:rFonts w:ascii="宋体" w:eastAsia="宋体" w:hAnsi="宋体" w:cs="宋体"/>
          <w:b/>
          <w:bCs/>
          <w:sz w:val="18"/>
          <w:szCs w:val="18"/>
        </w:rPr>
        <w:t>（</w:t>
      </w:r>
      <w:r>
        <w:rPr>
          <w:rFonts w:ascii="宋体" w:eastAsia="宋体" w:hAnsi="宋体" w:cs="宋体"/>
          <w:b/>
          <w:bCs/>
          <w:sz w:val="18"/>
          <w:szCs w:val="18"/>
        </w:rPr>
        <w:t>1</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长期借款分类</w:t>
      </w:r>
      <w:bookmarkEnd w:id="301"/>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A067C6">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保证借款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300,000,000.00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343,591,848.88</w:t>
            </w:r>
          </w:p>
        </w:tc>
      </w:tr>
      <w:tr w:rsidR="00A067C6">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信用借款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340,870,000.00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3,642,973.62</w:t>
            </w:r>
          </w:p>
        </w:tc>
      </w:tr>
      <w:tr w:rsidR="00A067C6">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保证、质押借款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91,710,000.00</w:t>
            </w:r>
          </w:p>
        </w:tc>
      </w:tr>
      <w:tr w:rsidR="00A067C6">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保证、抵押借款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622,806,000.00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613,678,748.42</w:t>
            </w:r>
          </w:p>
        </w:tc>
      </w:tr>
      <w:tr w:rsidR="00A067C6">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一年内到期的长期借款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-170,200,000.00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-132,582,748.42</w:t>
            </w:r>
          </w:p>
        </w:tc>
      </w:tr>
      <w:tr w:rsidR="00A067C6">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1,093,476,000.00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920,040,822.50</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长期借款分类的说明：</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其他说明，包括利率区间：</w:t>
      </w:r>
      <w:r>
        <w:rPr>
          <w:rFonts w:hint="eastAsia"/>
          <w:sz w:val="18"/>
          <w:szCs w:val="18"/>
        </w:rPr>
        <w:t>无。</w:t>
      </w:r>
    </w:p>
    <w:p w:rsidR="00A067C6" w:rsidRDefault="005C4966">
      <w:pPr>
        <w:pStyle w:val="3"/>
        <w:spacing w:line="280" w:lineRule="exact"/>
        <w:jc w:val="left"/>
        <w:rPr>
          <w:rFonts w:ascii="宋体" w:hAnsi="宋体" w:cs="宋体"/>
          <w:b/>
          <w:bCs/>
        </w:rPr>
      </w:pPr>
      <w:bookmarkStart w:id="302" w:name="_Toc989194"/>
      <w:r>
        <w:rPr>
          <w:rFonts w:ascii="宋体" w:hAnsi="宋体" w:cs="宋体"/>
          <w:b/>
          <w:bCs/>
        </w:rPr>
        <w:t>46</w:t>
      </w:r>
      <w:r>
        <w:rPr>
          <w:rFonts w:ascii="宋体" w:hAnsi="宋体" w:cs="宋体"/>
          <w:b/>
          <w:bCs/>
        </w:rPr>
        <w:t>、应付债券</w:t>
      </w:r>
      <w:bookmarkEnd w:id="302"/>
    </w:p>
    <w:p w:rsidR="00A067C6" w:rsidRDefault="005C4966">
      <w:pPr>
        <w:keepNext/>
        <w:keepLines/>
        <w:spacing w:before="300" w:after="300" w:line="280" w:lineRule="exact"/>
        <w:outlineLvl w:val="3"/>
        <w:rPr>
          <w:rFonts w:ascii="宋体" w:eastAsia="宋体" w:hAnsi="宋体" w:cs="宋体"/>
          <w:b/>
          <w:bCs/>
          <w:szCs w:val="21"/>
        </w:rPr>
      </w:pPr>
      <w:bookmarkStart w:id="303" w:name="_Toc989195"/>
      <w:r>
        <w:rPr>
          <w:rFonts w:ascii="宋体" w:eastAsia="宋体" w:hAnsi="宋体" w:cs="宋体"/>
          <w:b/>
          <w:bCs/>
          <w:szCs w:val="21"/>
        </w:rPr>
        <w:t>（</w:t>
      </w:r>
      <w:r>
        <w:rPr>
          <w:rFonts w:ascii="宋体" w:eastAsia="宋体" w:hAnsi="宋体" w:cs="宋体"/>
          <w:b/>
          <w:bCs/>
          <w:szCs w:val="21"/>
        </w:rPr>
        <w:t>1</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应付债券</w:t>
      </w:r>
      <w:bookmarkEnd w:id="303"/>
    </w:p>
    <w:p w:rsidR="00A067C6" w:rsidRDefault="005C4966">
      <w:pPr>
        <w:keepNext/>
        <w:keepLines/>
        <w:spacing w:before="300" w:after="300" w:line="280" w:lineRule="exact"/>
        <w:outlineLvl w:val="3"/>
        <w:rPr>
          <w:rFonts w:ascii="宋体" w:eastAsia="宋体" w:hAnsi="宋体" w:cs="宋体"/>
          <w:sz w:val="18"/>
          <w:szCs w:val="18"/>
        </w:rPr>
      </w:pPr>
      <w:bookmarkStart w:id="304" w:name="_Toc989196"/>
      <w:r>
        <w:rPr>
          <w:rFonts w:ascii="宋体" w:eastAsia="宋体" w:hAnsi="宋体" w:cs="宋体" w:hint="eastAsia"/>
          <w:sz w:val="18"/>
          <w:szCs w:val="18"/>
        </w:rPr>
        <w:t>无。</w:t>
      </w:r>
    </w:p>
    <w:p w:rsidR="00A067C6" w:rsidRDefault="005C4966">
      <w:pPr>
        <w:keepNext/>
        <w:keepLines/>
        <w:spacing w:before="300" w:after="300" w:line="280" w:lineRule="exact"/>
        <w:outlineLvl w:val="3"/>
        <w:rPr>
          <w:rFonts w:ascii="宋体" w:eastAsia="宋体" w:hAnsi="宋体" w:cs="宋体"/>
          <w:b/>
          <w:bCs/>
          <w:szCs w:val="21"/>
        </w:rPr>
      </w:pPr>
      <w:r>
        <w:rPr>
          <w:rFonts w:ascii="宋体" w:eastAsia="宋体" w:hAnsi="宋体" w:cs="宋体"/>
          <w:b/>
          <w:bCs/>
          <w:szCs w:val="21"/>
        </w:rPr>
        <w:t>（</w:t>
      </w:r>
      <w:r>
        <w:rPr>
          <w:rFonts w:ascii="宋体" w:eastAsia="宋体" w:hAnsi="宋体" w:cs="宋体"/>
          <w:b/>
          <w:bCs/>
          <w:szCs w:val="21"/>
        </w:rPr>
        <w:t>2</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应付债券的增减变动（不包括划分为金融负债的优先股、永续债等其他金融工具）</w:t>
      </w:r>
      <w:bookmarkEnd w:id="304"/>
    </w:p>
    <w:p w:rsidR="00A067C6" w:rsidRDefault="005C4966">
      <w:pPr>
        <w:keepNext/>
        <w:keepLines/>
        <w:spacing w:before="300" w:after="300" w:line="280" w:lineRule="exact"/>
        <w:outlineLvl w:val="3"/>
        <w:rPr>
          <w:rFonts w:ascii="宋体" w:eastAsia="宋体" w:hAnsi="宋体" w:cs="宋体"/>
          <w:sz w:val="18"/>
          <w:szCs w:val="18"/>
        </w:rPr>
      </w:pPr>
      <w:bookmarkStart w:id="305" w:name="_Toc989197"/>
      <w:r>
        <w:rPr>
          <w:rFonts w:ascii="宋体" w:eastAsia="宋体" w:hAnsi="宋体" w:cs="宋体" w:hint="eastAsia"/>
          <w:sz w:val="18"/>
          <w:szCs w:val="18"/>
        </w:rPr>
        <w:t>无。</w:t>
      </w:r>
    </w:p>
    <w:p w:rsidR="00A067C6" w:rsidRDefault="005C4966">
      <w:pPr>
        <w:keepNext/>
        <w:keepLines/>
        <w:spacing w:before="300" w:after="300" w:line="280" w:lineRule="exact"/>
        <w:outlineLvl w:val="3"/>
        <w:rPr>
          <w:rFonts w:ascii="宋体" w:eastAsia="宋体" w:hAnsi="宋体" w:cs="宋体"/>
          <w:b/>
          <w:bCs/>
          <w:szCs w:val="21"/>
        </w:rPr>
      </w:pPr>
      <w:r>
        <w:rPr>
          <w:rFonts w:ascii="宋体" w:eastAsia="宋体" w:hAnsi="宋体" w:cs="宋体"/>
          <w:b/>
          <w:bCs/>
          <w:szCs w:val="21"/>
        </w:rPr>
        <w:t>（</w:t>
      </w:r>
      <w:r>
        <w:rPr>
          <w:rFonts w:ascii="宋体" w:eastAsia="宋体" w:hAnsi="宋体" w:cs="宋体"/>
          <w:b/>
          <w:bCs/>
          <w:szCs w:val="21"/>
        </w:rPr>
        <w:t>3</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可转换公司债券的转股条件、转股时间说明</w:t>
      </w:r>
      <w:bookmarkEnd w:id="305"/>
    </w:p>
    <w:p w:rsidR="00A067C6" w:rsidRDefault="005C4966">
      <w:pPr>
        <w:pStyle w:val="a6"/>
        <w:rPr>
          <w:sz w:val="18"/>
          <w:szCs w:val="18"/>
        </w:rPr>
      </w:pPr>
      <w:r>
        <w:rPr>
          <w:rFonts w:hint="eastAsia"/>
          <w:sz w:val="18"/>
          <w:szCs w:val="18"/>
        </w:rPr>
        <w:t>无。</w:t>
      </w:r>
    </w:p>
    <w:p w:rsidR="00A067C6" w:rsidRDefault="005C4966">
      <w:pPr>
        <w:keepNext/>
        <w:keepLines/>
        <w:spacing w:before="300" w:after="300" w:line="280" w:lineRule="exact"/>
        <w:outlineLvl w:val="3"/>
        <w:rPr>
          <w:rFonts w:ascii="宋体" w:eastAsia="宋体" w:hAnsi="宋体" w:cs="宋体"/>
          <w:b/>
          <w:bCs/>
          <w:szCs w:val="21"/>
        </w:rPr>
      </w:pPr>
      <w:bookmarkStart w:id="306" w:name="_Toc989198"/>
      <w:r>
        <w:rPr>
          <w:rFonts w:ascii="宋体" w:eastAsia="宋体" w:hAnsi="宋体" w:cs="宋体"/>
          <w:b/>
          <w:bCs/>
          <w:szCs w:val="21"/>
        </w:rPr>
        <w:t>（</w:t>
      </w:r>
      <w:r>
        <w:rPr>
          <w:rFonts w:ascii="宋体" w:eastAsia="宋体" w:hAnsi="宋体" w:cs="宋体"/>
          <w:b/>
          <w:bCs/>
          <w:szCs w:val="21"/>
        </w:rPr>
        <w:t>4</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划分为金融负债的其他金融工具说明</w:t>
      </w:r>
      <w:bookmarkEnd w:id="306"/>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期末发行在外的优先股、永续债等其他金融工具基本情况</w:t>
      </w:r>
    </w:p>
    <w:p w:rsidR="00A067C6" w:rsidRDefault="005C4966">
      <w:pPr>
        <w:pStyle w:val="a6"/>
        <w:rPr>
          <w:sz w:val="18"/>
          <w:szCs w:val="18"/>
        </w:rPr>
      </w:pPr>
      <w:r>
        <w:rPr>
          <w:rFonts w:hint="eastAsia"/>
          <w:sz w:val="18"/>
          <w:szCs w:val="18"/>
        </w:rPr>
        <w:t>无。</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其他金融工具划分为金融负债的依据说明</w:t>
      </w:r>
    </w:p>
    <w:p w:rsidR="00A067C6" w:rsidRDefault="005C4966">
      <w:pPr>
        <w:pStyle w:val="a6"/>
        <w:rPr>
          <w:sz w:val="18"/>
          <w:szCs w:val="18"/>
        </w:rPr>
      </w:pPr>
      <w:r>
        <w:rPr>
          <w:rFonts w:hint="eastAsia"/>
          <w:sz w:val="18"/>
          <w:szCs w:val="18"/>
        </w:rPr>
        <w:t>无。</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ascii="宋体" w:eastAsia="宋体" w:hAnsi="宋体" w:cs="宋体" w:hint="eastAsia"/>
          <w:sz w:val="18"/>
          <w:szCs w:val="18"/>
        </w:rPr>
        <w:t>：</w:t>
      </w:r>
      <w:r>
        <w:rPr>
          <w:rFonts w:hint="eastAsia"/>
          <w:sz w:val="18"/>
          <w:szCs w:val="18"/>
        </w:rPr>
        <w:t>无。</w:t>
      </w:r>
    </w:p>
    <w:p w:rsidR="00A067C6" w:rsidRDefault="005C4966">
      <w:pPr>
        <w:pStyle w:val="3"/>
        <w:spacing w:line="280" w:lineRule="exact"/>
        <w:jc w:val="left"/>
        <w:rPr>
          <w:rFonts w:ascii="宋体" w:hAnsi="宋体" w:cs="宋体"/>
          <w:b/>
          <w:bCs/>
        </w:rPr>
      </w:pPr>
      <w:bookmarkStart w:id="307" w:name="_Toc989199"/>
      <w:r>
        <w:rPr>
          <w:rFonts w:ascii="宋体" w:hAnsi="宋体" w:cs="宋体"/>
          <w:b/>
          <w:bCs/>
        </w:rPr>
        <w:t>47</w:t>
      </w:r>
      <w:r>
        <w:rPr>
          <w:rFonts w:ascii="宋体" w:hAnsi="宋体" w:cs="宋体"/>
          <w:b/>
          <w:bCs/>
        </w:rPr>
        <w:t>、租赁负债</w:t>
      </w:r>
      <w:bookmarkEnd w:id="307"/>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租赁房屋建筑物</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26,661,528.14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26,790,506.43</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租赁设备</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612,094.29</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减：未确认融资费用</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-1,505,097.11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-2,141,957.13</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减：一年内到期的租赁负债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-8,615,780.84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-8,589,298.01</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16,540,650.19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16,671,345.58</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pStyle w:val="3"/>
        <w:spacing w:line="280" w:lineRule="exact"/>
        <w:jc w:val="left"/>
        <w:rPr>
          <w:rFonts w:ascii="宋体" w:hAnsi="宋体" w:cs="宋体"/>
          <w:b/>
          <w:bCs/>
        </w:rPr>
      </w:pPr>
      <w:bookmarkStart w:id="308" w:name="_Toc989200"/>
      <w:r>
        <w:rPr>
          <w:rFonts w:ascii="宋体" w:hAnsi="宋体" w:cs="宋体"/>
          <w:b/>
          <w:bCs/>
        </w:rPr>
        <w:t>48</w:t>
      </w:r>
      <w:r>
        <w:rPr>
          <w:rFonts w:ascii="宋体" w:hAnsi="宋体" w:cs="宋体"/>
          <w:b/>
          <w:bCs/>
        </w:rPr>
        <w:t>、长期应付款</w:t>
      </w:r>
      <w:bookmarkEnd w:id="308"/>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224,367,138.45</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224,367,138.45</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224,367,138.45</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224,367,138.45</w:t>
            </w:r>
          </w:p>
        </w:tc>
      </w:tr>
    </w:tbl>
    <w:p w:rsidR="00A067C6" w:rsidRDefault="005C4966">
      <w:pPr>
        <w:keepNext/>
        <w:keepLines/>
        <w:spacing w:before="300" w:after="300" w:line="280" w:lineRule="exact"/>
        <w:outlineLvl w:val="3"/>
        <w:rPr>
          <w:rFonts w:ascii="宋体" w:eastAsia="宋体" w:hAnsi="宋体" w:cs="宋体"/>
          <w:b/>
          <w:bCs/>
          <w:sz w:val="18"/>
          <w:szCs w:val="18"/>
        </w:rPr>
      </w:pPr>
      <w:bookmarkStart w:id="309" w:name="_Toc989201"/>
      <w:r>
        <w:rPr>
          <w:rFonts w:ascii="宋体" w:eastAsia="宋体" w:hAnsi="宋体" w:cs="宋体"/>
          <w:b/>
          <w:bCs/>
          <w:sz w:val="18"/>
          <w:szCs w:val="18"/>
        </w:rPr>
        <w:t>（</w:t>
      </w:r>
      <w:r>
        <w:rPr>
          <w:rFonts w:ascii="宋体" w:eastAsia="宋体" w:hAnsi="宋体" w:cs="宋体"/>
          <w:b/>
          <w:bCs/>
          <w:sz w:val="18"/>
          <w:szCs w:val="18"/>
        </w:rPr>
        <w:t>1</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按款项性质列示长期应付款</w:t>
      </w:r>
      <w:bookmarkEnd w:id="309"/>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担保损失备付金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4,367,138.45</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4,367,138.45</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附限制条件的投资款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220,000,000.00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220,000,000.00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股权款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20,000,000.00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20,000,000.00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减：一年内到期的长期应付款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20,000,000.00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20,000,000.00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224,367,138.45</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224,367,138.45</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keepNext/>
        <w:keepLines/>
        <w:spacing w:before="300" w:after="300" w:line="280" w:lineRule="exact"/>
        <w:outlineLvl w:val="3"/>
        <w:rPr>
          <w:rFonts w:ascii="宋体" w:eastAsia="宋体" w:hAnsi="宋体" w:cs="宋体"/>
          <w:b/>
          <w:bCs/>
          <w:sz w:val="18"/>
          <w:szCs w:val="18"/>
        </w:rPr>
      </w:pPr>
      <w:bookmarkStart w:id="310" w:name="_Toc989202"/>
      <w:r>
        <w:rPr>
          <w:rFonts w:ascii="宋体" w:eastAsia="宋体" w:hAnsi="宋体" w:cs="宋体"/>
          <w:b/>
          <w:bCs/>
          <w:sz w:val="18"/>
          <w:szCs w:val="18"/>
        </w:rPr>
        <w:t>（</w:t>
      </w:r>
      <w:r>
        <w:rPr>
          <w:rFonts w:ascii="宋体" w:eastAsia="宋体" w:hAnsi="宋体" w:cs="宋体"/>
          <w:b/>
          <w:bCs/>
          <w:sz w:val="18"/>
          <w:szCs w:val="18"/>
        </w:rPr>
        <w:t>2</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专项应付款</w:t>
      </w:r>
      <w:bookmarkEnd w:id="310"/>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pStyle w:val="3"/>
        <w:spacing w:line="280" w:lineRule="exact"/>
        <w:jc w:val="left"/>
        <w:rPr>
          <w:rFonts w:ascii="宋体" w:hAnsi="宋体" w:cs="宋体"/>
          <w:b/>
          <w:bCs/>
        </w:rPr>
      </w:pPr>
      <w:bookmarkStart w:id="311" w:name="_Toc989203"/>
      <w:r>
        <w:rPr>
          <w:rFonts w:ascii="宋体" w:hAnsi="宋体" w:cs="宋体"/>
          <w:b/>
          <w:bCs/>
        </w:rPr>
        <w:t>49</w:t>
      </w:r>
      <w:r>
        <w:rPr>
          <w:rFonts w:ascii="宋体" w:hAnsi="宋体" w:cs="宋体"/>
          <w:b/>
          <w:bCs/>
        </w:rPr>
        <w:t>、长期应付职工薪酬</w:t>
      </w:r>
      <w:bookmarkEnd w:id="311"/>
    </w:p>
    <w:p w:rsidR="00A067C6" w:rsidRDefault="005C4966">
      <w:pPr>
        <w:keepNext/>
        <w:keepLines/>
        <w:spacing w:before="300" w:after="300" w:line="280" w:lineRule="exact"/>
        <w:outlineLvl w:val="3"/>
        <w:rPr>
          <w:rFonts w:ascii="宋体" w:eastAsia="宋体" w:hAnsi="宋体" w:cs="宋体"/>
          <w:b/>
          <w:bCs/>
          <w:sz w:val="18"/>
          <w:szCs w:val="18"/>
        </w:rPr>
      </w:pPr>
      <w:bookmarkStart w:id="312" w:name="_Toc989204"/>
      <w:r>
        <w:rPr>
          <w:rFonts w:ascii="宋体" w:eastAsia="宋体" w:hAnsi="宋体" w:cs="宋体"/>
          <w:b/>
          <w:bCs/>
          <w:sz w:val="18"/>
          <w:szCs w:val="18"/>
        </w:rPr>
        <w:t>（</w:t>
      </w:r>
      <w:r>
        <w:rPr>
          <w:rFonts w:ascii="宋体" w:eastAsia="宋体" w:hAnsi="宋体" w:cs="宋体"/>
          <w:b/>
          <w:bCs/>
          <w:sz w:val="18"/>
          <w:szCs w:val="18"/>
        </w:rPr>
        <w:t>1</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长期应付职工薪酬表</w:t>
      </w:r>
      <w:bookmarkEnd w:id="312"/>
    </w:p>
    <w:p w:rsidR="00A067C6" w:rsidRDefault="005C4966">
      <w:pPr>
        <w:keepNext/>
        <w:keepLines/>
        <w:spacing w:before="300" w:after="300" w:line="280" w:lineRule="exact"/>
        <w:outlineLvl w:val="3"/>
        <w:rPr>
          <w:rFonts w:ascii="宋体" w:eastAsia="宋体" w:hAnsi="宋体" w:cs="宋体"/>
          <w:sz w:val="18"/>
          <w:szCs w:val="18"/>
        </w:rPr>
      </w:pPr>
      <w:bookmarkStart w:id="313" w:name="_Toc989205"/>
      <w:r>
        <w:rPr>
          <w:rFonts w:ascii="宋体" w:eastAsia="宋体" w:hAnsi="宋体" w:cs="宋体" w:hint="eastAsia"/>
          <w:sz w:val="18"/>
          <w:szCs w:val="18"/>
        </w:rPr>
        <w:t>无</w:t>
      </w:r>
    </w:p>
    <w:p w:rsidR="00A067C6" w:rsidRDefault="005C4966">
      <w:pPr>
        <w:keepNext/>
        <w:keepLines/>
        <w:spacing w:before="300" w:after="300" w:line="280" w:lineRule="exact"/>
        <w:outlineLvl w:val="3"/>
        <w:rPr>
          <w:rFonts w:ascii="宋体" w:eastAsia="宋体" w:hAnsi="宋体" w:cs="宋体"/>
          <w:b/>
          <w:bCs/>
          <w:sz w:val="18"/>
          <w:szCs w:val="18"/>
        </w:rPr>
      </w:pPr>
      <w:r>
        <w:rPr>
          <w:rFonts w:ascii="宋体" w:eastAsia="宋体" w:hAnsi="宋体" w:cs="宋体"/>
          <w:b/>
          <w:bCs/>
          <w:sz w:val="18"/>
          <w:szCs w:val="18"/>
        </w:rPr>
        <w:t>（</w:t>
      </w:r>
      <w:r>
        <w:rPr>
          <w:rFonts w:ascii="宋体" w:eastAsia="宋体" w:hAnsi="宋体" w:cs="宋体"/>
          <w:b/>
          <w:bCs/>
          <w:sz w:val="18"/>
          <w:szCs w:val="18"/>
        </w:rPr>
        <w:t>2</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设定受益计划变动情况</w:t>
      </w:r>
      <w:bookmarkEnd w:id="313"/>
    </w:p>
    <w:p w:rsidR="00A067C6" w:rsidRDefault="005C4966">
      <w:pPr>
        <w:spacing w:before="120" w:after="120" w:line="240" w:lineRule="exact"/>
        <w:rPr>
          <w:rFonts w:ascii="宋体" w:eastAsia="宋体" w:hAnsi="宋体" w:cs="宋体"/>
          <w:sz w:val="18"/>
          <w:szCs w:val="18"/>
        </w:rPr>
      </w:pPr>
      <w:r>
        <w:rPr>
          <w:rFonts w:ascii="宋体" w:eastAsia="宋体" w:hAnsi="宋体" w:cs="宋体"/>
          <w:sz w:val="18"/>
          <w:szCs w:val="18"/>
        </w:rPr>
        <w:t>设定受益计划义务现值：</w:t>
      </w:r>
      <w:r>
        <w:rPr>
          <w:rFonts w:ascii="宋体" w:eastAsia="宋体" w:hAnsi="宋体" w:cs="宋体" w:hint="eastAsia"/>
          <w:sz w:val="18"/>
          <w:szCs w:val="18"/>
        </w:rPr>
        <w:t>无</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计划资产：</w:t>
      </w:r>
      <w:r>
        <w:rPr>
          <w:rFonts w:ascii="宋体" w:eastAsia="宋体" w:hAnsi="宋体" w:cs="宋体" w:hint="eastAsia"/>
          <w:sz w:val="18"/>
          <w:szCs w:val="18"/>
        </w:rPr>
        <w:t>无</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设定受益计划净负债（净资产）</w:t>
      </w:r>
      <w:r>
        <w:rPr>
          <w:rFonts w:ascii="宋体" w:eastAsia="宋体" w:hAnsi="宋体" w:cs="宋体" w:hint="eastAsia"/>
          <w:sz w:val="18"/>
          <w:szCs w:val="18"/>
        </w:rPr>
        <w:t>：无</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设定受益计划的内容及与之相关风险、对公司未来现金流量、时间和不确定性的影响说明：</w:t>
      </w:r>
      <w:r>
        <w:rPr>
          <w:rFonts w:hint="eastAsia"/>
          <w:sz w:val="18"/>
          <w:szCs w:val="18"/>
        </w:rPr>
        <w:t>无。</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设定受益计划重大精算假设及敏感性分析结果说明：</w:t>
      </w:r>
      <w:r>
        <w:rPr>
          <w:rFonts w:hint="eastAsia"/>
          <w:sz w:val="18"/>
          <w:szCs w:val="18"/>
        </w:rPr>
        <w:t>无。</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pStyle w:val="3"/>
        <w:spacing w:line="280" w:lineRule="exact"/>
        <w:jc w:val="left"/>
        <w:rPr>
          <w:rFonts w:ascii="宋体" w:hAnsi="宋体" w:cs="宋体"/>
          <w:b/>
          <w:bCs/>
        </w:rPr>
      </w:pPr>
      <w:bookmarkStart w:id="314" w:name="_Toc989206"/>
      <w:r>
        <w:rPr>
          <w:rFonts w:ascii="宋体" w:hAnsi="宋体" w:cs="宋体"/>
          <w:b/>
          <w:bCs/>
        </w:rPr>
        <w:t>50</w:t>
      </w:r>
      <w:r>
        <w:rPr>
          <w:rFonts w:ascii="宋体" w:hAnsi="宋体" w:cs="宋体"/>
          <w:b/>
          <w:bCs/>
        </w:rPr>
        <w:t>、预计负债</w:t>
      </w:r>
      <w:bookmarkEnd w:id="314"/>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形成原因</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产品质量保证</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94,782.80</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237,600.78</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94,782.80</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237,600.78</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其他说明，包括重要预计负债的相关重要假设、估计说明：</w:t>
      </w:r>
      <w:r>
        <w:rPr>
          <w:rFonts w:hint="eastAsia"/>
          <w:sz w:val="18"/>
          <w:szCs w:val="18"/>
        </w:rPr>
        <w:t>无。</w:t>
      </w:r>
    </w:p>
    <w:p w:rsidR="00A067C6" w:rsidRDefault="005C4966">
      <w:pPr>
        <w:pStyle w:val="3"/>
        <w:spacing w:line="280" w:lineRule="exact"/>
        <w:jc w:val="left"/>
        <w:rPr>
          <w:rFonts w:ascii="宋体" w:hAnsi="宋体" w:cs="宋体"/>
          <w:b/>
          <w:bCs/>
        </w:rPr>
      </w:pPr>
      <w:bookmarkStart w:id="315" w:name="_Toc989207"/>
      <w:r>
        <w:rPr>
          <w:rFonts w:ascii="宋体" w:hAnsi="宋体" w:cs="宋体"/>
          <w:b/>
          <w:bCs/>
        </w:rPr>
        <w:t>51</w:t>
      </w:r>
      <w:r>
        <w:rPr>
          <w:rFonts w:ascii="宋体" w:hAnsi="宋体" w:cs="宋体"/>
          <w:b/>
          <w:bCs/>
        </w:rPr>
        <w:t>、递延收益</w:t>
      </w:r>
      <w:bookmarkEnd w:id="315"/>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6"/>
        <w:gridCol w:w="1606"/>
        <w:gridCol w:w="1606"/>
        <w:gridCol w:w="1607"/>
        <w:gridCol w:w="1607"/>
        <w:gridCol w:w="1607"/>
      </w:tblGrid>
      <w:tr w:rsidR="00A067C6">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形成原因</w:t>
            </w:r>
          </w:p>
        </w:tc>
      </w:tr>
      <w:tr w:rsidR="00A067C6">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政府补助</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89,437,900.44</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3,559,800.00</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47,598,277.29</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45,399,423.15</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89,437,900.44</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3,559,800.00</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47,598,277.29</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45,399,423.15</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涉及政府补助的项目：</w:t>
      </w:r>
    </w:p>
    <w:p w:rsidR="00A067C6" w:rsidRDefault="005C4966">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71"/>
        <w:gridCol w:w="1071"/>
        <w:gridCol w:w="1071"/>
        <w:gridCol w:w="1071"/>
        <w:gridCol w:w="1071"/>
        <w:gridCol w:w="1071"/>
        <w:gridCol w:w="1071"/>
        <w:gridCol w:w="1071"/>
        <w:gridCol w:w="1071"/>
      </w:tblGrid>
      <w:tr w:rsidR="00A067C6">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负债项目</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本期新增补助金额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本期计入营业外收入金额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本期计入其他收益金额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本期冲减成本费用金额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其他变动</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与资产相关</w:t>
            </w:r>
            <w:r>
              <w:rPr>
                <w:rFonts w:ascii="宋体" w:eastAsia="宋体" w:hAnsi="宋体" w:cs="宋体"/>
                <w:sz w:val="18"/>
                <w:szCs w:val="18"/>
              </w:rPr>
              <w:t>/</w:t>
            </w:r>
            <w:r>
              <w:rPr>
                <w:rFonts w:ascii="宋体" w:eastAsia="宋体" w:hAnsi="宋体" w:cs="宋体"/>
                <w:sz w:val="18"/>
                <w:szCs w:val="18"/>
              </w:rPr>
              <w:t>与收益相关</w:t>
            </w:r>
          </w:p>
        </w:tc>
      </w:tr>
      <w:tr w:rsidR="00A067C6">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平湖华孚拆迁补偿款</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45,341,984.33</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45,341,984.33</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与资产相关</w:t>
            </w:r>
          </w:p>
        </w:tc>
      </w:tr>
      <w:tr w:rsidR="00A067C6">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本公司节能设备补贴</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9,590,898.67</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247,476.00</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9,343,422.67</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与资产相关</w:t>
            </w:r>
          </w:p>
        </w:tc>
      </w:tr>
      <w:tr w:rsidR="00A067C6">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江苏华孚固定投资配套奖励款</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与资产相关</w:t>
            </w:r>
          </w:p>
        </w:tc>
      </w:tr>
      <w:tr w:rsidR="00A067C6">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新疆六孚基础设施配套款</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4,919,838.23</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66,038.10</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4,853,800.13</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与资产相关</w:t>
            </w:r>
          </w:p>
        </w:tc>
      </w:tr>
      <w:tr w:rsidR="00A067C6">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阿克苏华孚土地补贴款</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5,148,092.37</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66,713.94</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与资产相关</w:t>
            </w:r>
          </w:p>
        </w:tc>
      </w:tr>
      <w:tr w:rsidR="00A067C6">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九江华孚土地补贴款</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与资产相关</w:t>
            </w:r>
          </w:p>
        </w:tc>
      </w:tr>
      <w:tr w:rsidR="00A067C6">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阿克苏华孚产业技术改造资金</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8,303,388.73</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280,000.02</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8,023,388.71</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与资产相关</w:t>
            </w:r>
          </w:p>
        </w:tc>
      </w:tr>
      <w:tr w:rsidR="00A067C6">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五家渠华孚色纱项目建设补助</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843,987.12</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114,051.12</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729,936.00</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与资产相关</w:t>
            </w:r>
          </w:p>
        </w:tc>
      </w:tr>
      <w:tr w:rsidR="00A067C6">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新疆六孚土地补贴款</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899,249.72</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10,900.02</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888,349.70</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与资产相关</w:t>
            </w:r>
          </w:p>
        </w:tc>
      </w:tr>
      <w:tr w:rsidR="00A067C6">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九江中浩支持重点承接地厂房建设款</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576,000.00</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18,000.00</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558,000.00</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与资产相关</w:t>
            </w:r>
          </w:p>
        </w:tc>
      </w:tr>
      <w:tr w:rsidR="00A067C6">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新疆六孚技改专项补贴</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与资产相关</w:t>
            </w:r>
          </w:p>
        </w:tc>
      </w:tr>
      <w:tr w:rsidR="00A067C6">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菁英创业厂房改造补贴</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与资产相关</w:t>
            </w:r>
          </w:p>
        </w:tc>
      </w:tr>
      <w:tr w:rsidR="00A067C6">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浙江博忆数字化及设备专项补贴</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7,226,566.30</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3,559,800.00</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1,151,069.51</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9,635,296.79</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与资产相关</w:t>
            </w:r>
          </w:p>
        </w:tc>
      </w:tr>
      <w:tr w:rsidR="00A067C6">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阿克苏小商品城设备补贴</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6,587,894.97</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302,044.25</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6,587,894.97</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与资产相关</w:t>
            </w:r>
          </w:p>
        </w:tc>
      </w:tr>
      <w:tr w:rsidR="00A067C6">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合计</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89,437,900.44</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3,559,800.00</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47,048,757.04</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549,520.25</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45,399,423.15</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与资产相关</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pStyle w:val="3"/>
        <w:spacing w:line="280" w:lineRule="exact"/>
        <w:jc w:val="left"/>
        <w:rPr>
          <w:rFonts w:ascii="宋体" w:hAnsi="宋体" w:cs="宋体"/>
          <w:b/>
          <w:bCs/>
        </w:rPr>
      </w:pPr>
      <w:bookmarkStart w:id="316" w:name="_Toc989208"/>
      <w:r>
        <w:rPr>
          <w:rFonts w:ascii="宋体" w:hAnsi="宋体" w:cs="宋体"/>
          <w:b/>
          <w:bCs/>
        </w:rPr>
        <w:t>52</w:t>
      </w:r>
      <w:r>
        <w:rPr>
          <w:rFonts w:ascii="宋体" w:hAnsi="宋体" w:cs="宋体"/>
          <w:b/>
          <w:bCs/>
        </w:rPr>
        <w:t>、其他非流动负债</w:t>
      </w:r>
      <w:bookmarkEnd w:id="316"/>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pStyle w:val="3"/>
        <w:spacing w:line="280" w:lineRule="exact"/>
        <w:jc w:val="left"/>
        <w:rPr>
          <w:rFonts w:ascii="宋体" w:hAnsi="宋体" w:cs="宋体"/>
          <w:b/>
          <w:bCs/>
        </w:rPr>
      </w:pPr>
      <w:bookmarkStart w:id="317" w:name="_Toc989209"/>
      <w:r>
        <w:rPr>
          <w:rFonts w:ascii="宋体" w:hAnsi="宋体" w:cs="宋体"/>
          <w:b/>
          <w:bCs/>
        </w:rPr>
        <w:t>53</w:t>
      </w:r>
      <w:r>
        <w:rPr>
          <w:rFonts w:ascii="宋体" w:hAnsi="宋体" w:cs="宋体"/>
          <w:b/>
          <w:bCs/>
        </w:rPr>
        <w:t>、股本</w:t>
      </w:r>
      <w:bookmarkEnd w:id="317"/>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04"/>
        <w:gridCol w:w="1739"/>
        <w:gridCol w:w="1276"/>
        <w:gridCol w:w="851"/>
        <w:gridCol w:w="1275"/>
        <w:gridCol w:w="884"/>
        <w:gridCol w:w="676"/>
        <w:gridCol w:w="1734"/>
      </w:tblGrid>
      <w:tr w:rsidR="00A067C6">
        <w:trPr>
          <w:trHeight w:val="240"/>
        </w:trPr>
        <w:tc>
          <w:tcPr>
            <w:tcW w:w="1204"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739"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4962"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本次变动增减（</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p>
        </w:tc>
        <w:tc>
          <w:tcPr>
            <w:tcW w:w="1734"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A067C6">
        <w:trPr>
          <w:trHeight w:val="240"/>
        </w:trPr>
        <w:tc>
          <w:tcPr>
            <w:tcW w:w="1204"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739"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发行新股</w:t>
            </w:r>
          </w:p>
        </w:tc>
        <w:tc>
          <w:tcPr>
            <w:tcW w:w="85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送股</w:t>
            </w:r>
          </w:p>
        </w:tc>
        <w:tc>
          <w:tcPr>
            <w:tcW w:w="127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公积金转股</w:t>
            </w:r>
          </w:p>
        </w:tc>
        <w:tc>
          <w:tcPr>
            <w:tcW w:w="88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6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小计</w:t>
            </w:r>
          </w:p>
        </w:tc>
        <w:tc>
          <w:tcPr>
            <w:tcW w:w="1734"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120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股份总数</w:t>
            </w:r>
          </w:p>
        </w:tc>
        <w:tc>
          <w:tcPr>
            <w:tcW w:w="173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12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275"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8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6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1,700,681,355.00</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pStyle w:val="3"/>
        <w:spacing w:line="280" w:lineRule="exact"/>
        <w:jc w:val="left"/>
        <w:rPr>
          <w:rFonts w:ascii="宋体" w:hAnsi="宋体" w:cs="宋体"/>
          <w:b/>
          <w:bCs/>
        </w:rPr>
      </w:pPr>
      <w:bookmarkStart w:id="318" w:name="_Toc989210"/>
      <w:r>
        <w:rPr>
          <w:rFonts w:ascii="宋体" w:hAnsi="宋体" w:cs="宋体"/>
          <w:b/>
          <w:bCs/>
        </w:rPr>
        <w:t>54</w:t>
      </w:r>
      <w:r>
        <w:rPr>
          <w:rFonts w:ascii="宋体" w:hAnsi="宋体" w:cs="宋体"/>
          <w:b/>
          <w:bCs/>
        </w:rPr>
        <w:t>、其他权益工具</w:t>
      </w:r>
      <w:bookmarkEnd w:id="318"/>
    </w:p>
    <w:p w:rsidR="00A067C6" w:rsidRDefault="005C4966">
      <w:pPr>
        <w:keepNext/>
        <w:keepLines/>
        <w:spacing w:before="300" w:after="300" w:line="280" w:lineRule="exact"/>
        <w:outlineLvl w:val="3"/>
        <w:rPr>
          <w:rFonts w:ascii="宋体" w:eastAsia="宋体" w:hAnsi="宋体" w:cs="宋体"/>
          <w:b/>
          <w:bCs/>
          <w:sz w:val="18"/>
          <w:szCs w:val="18"/>
        </w:rPr>
      </w:pPr>
      <w:bookmarkStart w:id="319" w:name="_Toc989211"/>
      <w:r>
        <w:rPr>
          <w:rFonts w:ascii="宋体" w:eastAsia="宋体" w:hAnsi="宋体" w:cs="宋体"/>
          <w:b/>
          <w:bCs/>
          <w:sz w:val="18"/>
          <w:szCs w:val="18"/>
        </w:rPr>
        <w:t>（</w:t>
      </w:r>
      <w:r>
        <w:rPr>
          <w:rFonts w:ascii="宋体" w:eastAsia="宋体" w:hAnsi="宋体" w:cs="宋体"/>
          <w:b/>
          <w:bCs/>
          <w:sz w:val="18"/>
          <w:szCs w:val="18"/>
        </w:rPr>
        <w:t>1</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期末发行在外的优先股、永续债等其他金融工具基本情况</w:t>
      </w:r>
      <w:bookmarkEnd w:id="319"/>
    </w:p>
    <w:p w:rsidR="00A067C6" w:rsidRDefault="005C4966">
      <w:pPr>
        <w:pStyle w:val="a6"/>
        <w:rPr>
          <w:sz w:val="18"/>
          <w:szCs w:val="18"/>
        </w:rPr>
      </w:pPr>
      <w:r>
        <w:rPr>
          <w:rFonts w:hint="eastAsia"/>
          <w:sz w:val="18"/>
          <w:szCs w:val="18"/>
        </w:rPr>
        <w:t>无。</w:t>
      </w:r>
    </w:p>
    <w:p w:rsidR="00A067C6" w:rsidRDefault="005C4966">
      <w:pPr>
        <w:keepNext/>
        <w:keepLines/>
        <w:spacing w:before="300" w:after="300" w:line="280" w:lineRule="exact"/>
        <w:outlineLvl w:val="3"/>
        <w:rPr>
          <w:rFonts w:ascii="宋体" w:eastAsia="宋体" w:hAnsi="宋体" w:cs="宋体"/>
          <w:b/>
          <w:bCs/>
          <w:sz w:val="18"/>
          <w:szCs w:val="18"/>
        </w:rPr>
      </w:pPr>
      <w:bookmarkStart w:id="320" w:name="_Toc989212"/>
      <w:r>
        <w:rPr>
          <w:rFonts w:ascii="宋体" w:eastAsia="宋体" w:hAnsi="宋体" w:cs="宋体"/>
          <w:b/>
          <w:bCs/>
          <w:sz w:val="18"/>
          <w:szCs w:val="18"/>
        </w:rPr>
        <w:t>（</w:t>
      </w:r>
      <w:r>
        <w:rPr>
          <w:rFonts w:ascii="宋体" w:eastAsia="宋体" w:hAnsi="宋体" w:cs="宋体"/>
          <w:b/>
          <w:bCs/>
          <w:sz w:val="18"/>
          <w:szCs w:val="18"/>
        </w:rPr>
        <w:t>2</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期末发行在外的优先股、永续债等金融工具变动情况表</w:t>
      </w:r>
      <w:bookmarkEnd w:id="320"/>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其他权益工具本期增减变动情况、变动原因说明，以及相关会计处理的依据：</w:t>
      </w:r>
      <w:r>
        <w:rPr>
          <w:rFonts w:ascii="宋体" w:eastAsia="宋体" w:hAnsi="宋体" w:cs="宋体" w:hint="eastAsia"/>
          <w:sz w:val="18"/>
          <w:szCs w:val="18"/>
        </w:rPr>
        <w:t>无。</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ascii="宋体" w:eastAsia="宋体" w:hAnsi="宋体" w:cs="宋体" w:hint="eastAsia"/>
          <w:sz w:val="18"/>
          <w:szCs w:val="18"/>
        </w:rPr>
        <w:t>无。</w:t>
      </w:r>
    </w:p>
    <w:p w:rsidR="00A067C6" w:rsidRDefault="005C4966">
      <w:pPr>
        <w:pStyle w:val="3"/>
        <w:spacing w:line="280" w:lineRule="exact"/>
        <w:jc w:val="left"/>
        <w:rPr>
          <w:rFonts w:ascii="宋体" w:hAnsi="宋体" w:cs="宋体"/>
          <w:b/>
          <w:bCs/>
        </w:rPr>
      </w:pPr>
      <w:bookmarkStart w:id="321" w:name="_Toc989213"/>
      <w:r>
        <w:rPr>
          <w:rFonts w:ascii="宋体" w:hAnsi="宋体" w:cs="宋体"/>
          <w:b/>
          <w:bCs/>
        </w:rPr>
        <w:t>55</w:t>
      </w:r>
      <w:r>
        <w:rPr>
          <w:rFonts w:ascii="宋体" w:hAnsi="宋体" w:cs="宋体"/>
          <w:b/>
          <w:bCs/>
        </w:rPr>
        <w:t>、资本公积</w:t>
      </w:r>
      <w:bookmarkEnd w:id="321"/>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资本溢价（股本溢价）</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2,737,043,736.03</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21,116,067.16</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2,715,927,668.87</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其他资本公积</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3,782,847.52</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3,782,847.52</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2,740,826,583.55</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21,116,067.16</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2,719,710,516.39</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其他说明，包括本期增减变动情况、变动原因说明：</w:t>
      </w:r>
      <w:r>
        <w:rPr>
          <w:rFonts w:hint="eastAsia"/>
          <w:sz w:val="18"/>
          <w:szCs w:val="18"/>
        </w:rPr>
        <w:t>本期资本公积减少为收购子公司平湖华孚少数股权及转让子公司呼图壁宏盛股权形成。</w:t>
      </w:r>
    </w:p>
    <w:p w:rsidR="00A067C6" w:rsidRDefault="005C4966">
      <w:pPr>
        <w:pStyle w:val="3"/>
        <w:spacing w:line="280" w:lineRule="exact"/>
        <w:jc w:val="left"/>
        <w:rPr>
          <w:rFonts w:ascii="宋体" w:hAnsi="宋体" w:cs="宋体"/>
          <w:b/>
          <w:bCs/>
        </w:rPr>
      </w:pPr>
      <w:bookmarkStart w:id="322" w:name="_Toc989214"/>
      <w:r>
        <w:rPr>
          <w:rFonts w:ascii="宋体" w:hAnsi="宋体" w:cs="宋体"/>
          <w:b/>
          <w:bCs/>
        </w:rPr>
        <w:t>56</w:t>
      </w:r>
      <w:r>
        <w:rPr>
          <w:rFonts w:ascii="宋体" w:hAnsi="宋体" w:cs="宋体"/>
          <w:b/>
          <w:bCs/>
        </w:rPr>
        <w:t>、库存股</w:t>
      </w:r>
      <w:bookmarkEnd w:id="322"/>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库存股</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46,974,359.92</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153,096,733.44</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200,071,093.36</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46,974,359.92</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153,096,733.44</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200,071,093.36</w:t>
            </w:r>
          </w:p>
        </w:tc>
      </w:tr>
    </w:tbl>
    <w:p w:rsidR="00A067C6" w:rsidRDefault="005C4966">
      <w:pPr>
        <w:spacing w:line="240" w:lineRule="exact"/>
        <w:rPr>
          <w:rFonts w:ascii="宋体" w:eastAsia="宋体" w:hAnsi="宋体" w:cs="宋体"/>
          <w:sz w:val="18"/>
          <w:szCs w:val="18"/>
        </w:rPr>
      </w:pPr>
      <w:r>
        <w:rPr>
          <w:rFonts w:ascii="宋体" w:eastAsia="宋体" w:hAnsi="宋体" w:cs="宋体"/>
          <w:sz w:val="18"/>
          <w:szCs w:val="18"/>
        </w:rPr>
        <w:t>其他说明，包括本期增减变动情况、变动原因说明：</w:t>
      </w:r>
    </w:p>
    <w:p w:rsidR="00A067C6" w:rsidRDefault="005C4966">
      <w:pPr>
        <w:pStyle w:val="a6"/>
        <w:spacing w:before="0" w:beforeAutospacing="0" w:after="0" w:afterAutospacing="0"/>
        <w:rPr>
          <w:sz w:val="18"/>
          <w:szCs w:val="18"/>
        </w:rPr>
      </w:pPr>
      <w:r>
        <w:rPr>
          <w:rFonts w:hint="eastAsia"/>
          <w:sz w:val="18"/>
          <w:szCs w:val="18"/>
        </w:rPr>
        <w:t>本公司</w:t>
      </w:r>
      <w:r>
        <w:rPr>
          <w:rFonts w:hint="eastAsia"/>
          <w:sz w:val="18"/>
          <w:szCs w:val="18"/>
        </w:rPr>
        <w:t>2023</w:t>
      </w:r>
      <w:r>
        <w:rPr>
          <w:rFonts w:hint="eastAsia"/>
          <w:sz w:val="18"/>
          <w:szCs w:val="18"/>
        </w:rPr>
        <w:t>年</w:t>
      </w:r>
      <w:r>
        <w:rPr>
          <w:rFonts w:hint="eastAsia"/>
          <w:sz w:val="18"/>
          <w:szCs w:val="18"/>
        </w:rPr>
        <w:t>3</w:t>
      </w:r>
      <w:r>
        <w:rPr>
          <w:rFonts w:hint="eastAsia"/>
          <w:sz w:val="18"/>
          <w:szCs w:val="18"/>
        </w:rPr>
        <w:t>月</w:t>
      </w:r>
      <w:r>
        <w:rPr>
          <w:rFonts w:hint="eastAsia"/>
          <w:sz w:val="18"/>
          <w:szCs w:val="18"/>
        </w:rPr>
        <w:t>17</w:t>
      </w:r>
      <w:r>
        <w:rPr>
          <w:rFonts w:hint="eastAsia"/>
          <w:sz w:val="18"/>
          <w:szCs w:val="18"/>
        </w:rPr>
        <w:t>日召开第八届董事会</w:t>
      </w:r>
      <w:r>
        <w:rPr>
          <w:rFonts w:hint="eastAsia"/>
          <w:sz w:val="18"/>
          <w:szCs w:val="18"/>
        </w:rPr>
        <w:t>2023</w:t>
      </w:r>
      <w:r>
        <w:rPr>
          <w:rFonts w:hint="eastAsia"/>
          <w:sz w:val="18"/>
          <w:szCs w:val="18"/>
        </w:rPr>
        <w:t>年第一次临时会议审议通过《关于</w:t>
      </w:r>
      <w:r>
        <w:rPr>
          <w:rFonts w:hint="eastAsia"/>
          <w:sz w:val="18"/>
          <w:szCs w:val="18"/>
        </w:rPr>
        <w:t>2023</w:t>
      </w:r>
      <w:r>
        <w:rPr>
          <w:rFonts w:hint="eastAsia"/>
          <w:sz w:val="18"/>
          <w:szCs w:val="18"/>
        </w:rPr>
        <w:t>年回购公司股份方案的议案》。本次回购的股份种类为公司发行的人民币普通股（</w:t>
      </w:r>
      <w:r>
        <w:rPr>
          <w:rFonts w:hint="eastAsia"/>
          <w:sz w:val="18"/>
          <w:szCs w:val="18"/>
        </w:rPr>
        <w:t>A</w:t>
      </w:r>
      <w:r>
        <w:rPr>
          <w:rFonts w:hint="eastAsia"/>
          <w:sz w:val="18"/>
          <w:szCs w:val="18"/>
        </w:rPr>
        <w:t>股），回购股份的资金总额不低于人民币</w:t>
      </w:r>
      <w:r>
        <w:rPr>
          <w:rFonts w:hint="eastAsia"/>
          <w:sz w:val="18"/>
          <w:szCs w:val="18"/>
        </w:rPr>
        <w:t>10,000</w:t>
      </w:r>
      <w:r>
        <w:rPr>
          <w:rFonts w:hint="eastAsia"/>
          <w:sz w:val="18"/>
          <w:szCs w:val="18"/>
        </w:rPr>
        <w:t>万元，不超过人民币</w:t>
      </w:r>
      <w:r>
        <w:rPr>
          <w:rFonts w:hint="eastAsia"/>
          <w:sz w:val="18"/>
          <w:szCs w:val="18"/>
        </w:rPr>
        <w:t>20,000</w:t>
      </w:r>
      <w:r>
        <w:rPr>
          <w:rFonts w:hint="eastAsia"/>
          <w:sz w:val="18"/>
          <w:szCs w:val="18"/>
        </w:rPr>
        <w:t>万元，回购股份的价格不超过</w:t>
      </w:r>
      <w:r>
        <w:rPr>
          <w:rFonts w:hint="eastAsia"/>
          <w:sz w:val="18"/>
          <w:szCs w:val="18"/>
        </w:rPr>
        <w:t>4.60</w:t>
      </w:r>
      <w:r>
        <w:rPr>
          <w:rFonts w:hint="eastAsia"/>
          <w:sz w:val="18"/>
          <w:szCs w:val="18"/>
        </w:rPr>
        <w:t>元</w:t>
      </w:r>
      <w:r>
        <w:rPr>
          <w:rFonts w:hint="eastAsia"/>
          <w:sz w:val="18"/>
          <w:szCs w:val="18"/>
        </w:rPr>
        <w:t>/</w:t>
      </w:r>
      <w:r>
        <w:rPr>
          <w:rFonts w:hint="eastAsia"/>
          <w:sz w:val="18"/>
          <w:szCs w:val="18"/>
        </w:rPr>
        <w:t>股。截止</w:t>
      </w:r>
      <w:r>
        <w:rPr>
          <w:rFonts w:hint="eastAsia"/>
          <w:sz w:val="18"/>
          <w:szCs w:val="18"/>
        </w:rPr>
        <w:t>2023</w:t>
      </w:r>
      <w:r>
        <w:rPr>
          <w:rFonts w:hint="eastAsia"/>
          <w:sz w:val="18"/>
          <w:szCs w:val="18"/>
        </w:rPr>
        <w:t>年</w:t>
      </w:r>
      <w:r>
        <w:rPr>
          <w:rFonts w:hint="eastAsia"/>
          <w:sz w:val="18"/>
          <w:szCs w:val="18"/>
        </w:rPr>
        <w:t>6</w:t>
      </w:r>
      <w:r>
        <w:rPr>
          <w:rFonts w:hint="eastAsia"/>
          <w:sz w:val="18"/>
          <w:szCs w:val="18"/>
        </w:rPr>
        <w:t>月</w:t>
      </w:r>
      <w:r>
        <w:rPr>
          <w:rFonts w:hint="eastAsia"/>
          <w:sz w:val="18"/>
          <w:szCs w:val="18"/>
        </w:rPr>
        <w:t>30</w:t>
      </w:r>
      <w:r>
        <w:rPr>
          <w:rFonts w:hint="eastAsia"/>
          <w:sz w:val="18"/>
          <w:szCs w:val="18"/>
        </w:rPr>
        <w:t>日，公司已累计通过股票回购专用证券账户以集中竞价交易方式回购股份</w:t>
      </w:r>
      <w:r>
        <w:rPr>
          <w:rFonts w:hint="eastAsia"/>
          <w:sz w:val="18"/>
          <w:szCs w:val="18"/>
        </w:rPr>
        <w:t>61075314</w:t>
      </w:r>
      <w:r>
        <w:rPr>
          <w:rFonts w:hint="eastAsia"/>
          <w:sz w:val="18"/>
          <w:szCs w:val="18"/>
        </w:rPr>
        <w:t>股，占公司总股本</w:t>
      </w:r>
      <w:r>
        <w:rPr>
          <w:rFonts w:hint="eastAsia"/>
          <w:sz w:val="18"/>
          <w:szCs w:val="18"/>
        </w:rPr>
        <w:t>3.59%</w:t>
      </w:r>
      <w:r>
        <w:rPr>
          <w:rFonts w:hint="eastAsia"/>
          <w:sz w:val="18"/>
          <w:szCs w:val="18"/>
        </w:rPr>
        <w:t>。</w:t>
      </w:r>
    </w:p>
    <w:p w:rsidR="00A067C6" w:rsidRDefault="005C4966">
      <w:pPr>
        <w:pStyle w:val="3"/>
        <w:spacing w:line="280" w:lineRule="exact"/>
        <w:jc w:val="left"/>
        <w:rPr>
          <w:rFonts w:ascii="宋体" w:hAnsi="宋体" w:cs="宋体"/>
          <w:b/>
          <w:bCs/>
        </w:rPr>
      </w:pPr>
      <w:bookmarkStart w:id="323" w:name="_Toc989215"/>
      <w:r>
        <w:rPr>
          <w:rFonts w:ascii="宋体" w:hAnsi="宋体" w:cs="宋体"/>
          <w:b/>
          <w:bCs/>
        </w:rPr>
        <w:t>57</w:t>
      </w:r>
      <w:r>
        <w:rPr>
          <w:rFonts w:ascii="宋体" w:hAnsi="宋体" w:cs="宋体"/>
          <w:b/>
          <w:bCs/>
        </w:rPr>
        <w:t>、其他综合收益</w:t>
      </w:r>
      <w:bookmarkEnd w:id="323"/>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71"/>
        <w:gridCol w:w="1071"/>
        <w:gridCol w:w="1071"/>
        <w:gridCol w:w="1071"/>
        <w:gridCol w:w="1071"/>
        <w:gridCol w:w="1071"/>
        <w:gridCol w:w="1071"/>
        <w:gridCol w:w="1071"/>
        <w:gridCol w:w="1071"/>
      </w:tblGrid>
      <w:tr w:rsidR="00A067C6">
        <w:trPr>
          <w:trHeight w:val="240"/>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6426"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A067C6">
        <w:trPr>
          <w:trHeight w:val="240"/>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本期所得税前发生额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减：前期计入其他综合收益当期转入损益</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减：前期计入其他综合收益当期转入留存收益</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减：所得税费用</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税后归属于母公司</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税后归属于少数股东</w:t>
            </w:r>
          </w:p>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一、不能重分类进损益的其他综合收益</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15,469,238.85</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1,141,722.43</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1,141,722.43</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16,610,961.28</w:t>
            </w:r>
          </w:p>
        </w:tc>
      </w:tr>
      <w:tr w:rsidR="00A067C6">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其他权益工具投资公允价值变动</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15,469,238.85</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1,141,722.43</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1,141,722.43</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16,610,961.28</w:t>
            </w:r>
          </w:p>
        </w:tc>
      </w:tr>
      <w:tr w:rsidR="00A067C6">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二、将重分类进损益的其他综合收益</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-63,644,775.19</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21,222,193.25</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21,222,193.25</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-42,422,581.94</w:t>
            </w:r>
          </w:p>
        </w:tc>
      </w:tr>
      <w:tr w:rsidR="00A067C6">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其中：权益法下可转损益的其他综合收益</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18,999,980.01</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18,999,980.01</w:t>
            </w:r>
          </w:p>
        </w:tc>
      </w:tr>
      <w:tr w:rsidR="00A067C6">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外币财务报表折算差额</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-82,644,755.20</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21,222,193.25</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21,222,193.25</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-61,422,561.95</w:t>
            </w:r>
          </w:p>
        </w:tc>
      </w:tr>
      <w:tr w:rsidR="00A067C6">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其他综合收益合计</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-48,175,536.34</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22,363,915.68</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22,363,915.68</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-25,811,620.66</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其他说明，包括对现金流量套期损益的有效部分转为被套期项目初始确认金额调整：</w:t>
      </w:r>
      <w:r>
        <w:rPr>
          <w:rFonts w:hint="eastAsia"/>
          <w:sz w:val="18"/>
          <w:szCs w:val="18"/>
        </w:rPr>
        <w:t>无。</w:t>
      </w:r>
    </w:p>
    <w:p w:rsidR="00A067C6" w:rsidRDefault="005C4966">
      <w:pPr>
        <w:pStyle w:val="3"/>
        <w:spacing w:line="280" w:lineRule="exact"/>
        <w:jc w:val="left"/>
        <w:rPr>
          <w:rFonts w:ascii="宋体" w:hAnsi="宋体" w:cs="宋体"/>
          <w:b/>
          <w:bCs/>
        </w:rPr>
      </w:pPr>
      <w:bookmarkStart w:id="324" w:name="_Toc989216"/>
      <w:r>
        <w:rPr>
          <w:rFonts w:ascii="宋体" w:hAnsi="宋体" w:cs="宋体"/>
          <w:b/>
          <w:bCs/>
        </w:rPr>
        <w:t>58</w:t>
      </w:r>
      <w:r>
        <w:rPr>
          <w:rFonts w:ascii="宋体" w:hAnsi="宋体" w:cs="宋体"/>
          <w:b/>
          <w:bCs/>
        </w:rPr>
        <w:t>、专项储备</w:t>
      </w:r>
      <w:bookmarkEnd w:id="324"/>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其他说明，包括本期增减变动情况、变动原因说明：</w:t>
      </w:r>
      <w:r>
        <w:rPr>
          <w:rFonts w:hint="eastAsia"/>
          <w:sz w:val="18"/>
          <w:szCs w:val="18"/>
        </w:rPr>
        <w:t>无。</w:t>
      </w:r>
    </w:p>
    <w:p w:rsidR="00A067C6" w:rsidRDefault="005C4966">
      <w:pPr>
        <w:pStyle w:val="3"/>
        <w:spacing w:line="280" w:lineRule="exact"/>
        <w:jc w:val="left"/>
        <w:rPr>
          <w:rFonts w:ascii="宋体" w:hAnsi="宋体" w:cs="宋体"/>
          <w:b/>
          <w:bCs/>
        </w:rPr>
      </w:pPr>
      <w:bookmarkStart w:id="325" w:name="_Toc989217"/>
      <w:r>
        <w:rPr>
          <w:rFonts w:ascii="宋体" w:hAnsi="宋体" w:cs="宋体"/>
          <w:b/>
          <w:bCs/>
        </w:rPr>
        <w:t>59</w:t>
      </w:r>
      <w:r>
        <w:rPr>
          <w:rFonts w:ascii="宋体" w:hAnsi="宋体" w:cs="宋体"/>
          <w:b/>
          <w:bCs/>
        </w:rPr>
        <w:t>、盈余公积</w:t>
      </w:r>
      <w:bookmarkEnd w:id="325"/>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法定盈余公积</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300,959,133.88</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300,959,133.88</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任意盈余公积</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1,778,753.91</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1,778,753.91</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302,737,887.79</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302,737,887.79</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盈余公积说明，包括本期增减变动情况、变动原因说明：</w:t>
      </w:r>
      <w:r>
        <w:rPr>
          <w:rFonts w:hint="eastAsia"/>
          <w:sz w:val="18"/>
          <w:szCs w:val="18"/>
        </w:rPr>
        <w:t>无。</w:t>
      </w:r>
    </w:p>
    <w:p w:rsidR="00A067C6" w:rsidRDefault="005C4966">
      <w:pPr>
        <w:pStyle w:val="3"/>
        <w:spacing w:line="280" w:lineRule="exact"/>
        <w:jc w:val="left"/>
        <w:rPr>
          <w:rFonts w:ascii="宋体" w:hAnsi="宋体" w:cs="宋体"/>
          <w:b/>
          <w:bCs/>
        </w:rPr>
      </w:pPr>
      <w:bookmarkStart w:id="326" w:name="_Toc989218"/>
      <w:r>
        <w:rPr>
          <w:rFonts w:ascii="宋体" w:hAnsi="宋体" w:cs="宋体"/>
          <w:b/>
          <w:bCs/>
        </w:rPr>
        <w:t>60</w:t>
      </w:r>
      <w:r>
        <w:rPr>
          <w:rFonts w:ascii="宋体" w:hAnsi="宋体" w:cs="宋体"/>
          <w:b/>
          <w:bCs/>
        </w:rPr>
        <w:t>、未分配利润</w:t>
      </w:r>
      <w:bookmarkEnd w:id="326"/>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上期</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调整前上期末未分配利润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1,643,586,800.21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2,334,373,314.01</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调整后期初未分配利润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1,643,586,800.21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2,334,373,314.01</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加：本期归属于母公司所有者的净利润</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81,402,847.78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-350,966,956.53</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减：提取法定盈余公积</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47,113,217.13</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应付普通股股利</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303,778,215.90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所有者权益其他内部结转</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11,071,875.76</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期末未分配利润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1,724,989,647.99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1,643,586,800.21</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调整期初未分配利润明细：</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、由于《企业会计准则》及其相关新规定进行追溯调整，影响期初未分配利润</w:t>
      </w:r>
      <w:r>
        <w:rPr>
          <w:rFonts w:ascii="宋体" w:eastAsia="宋体" w:hAnsi="宋体" w:cs="宋体"/>
          <w:sz w:val="18"/>
          <w:szCs w:val="18"/>
        </w:rPr>
        <w:t>0.00</w:t>
      </w:r>
      <w:r>
        <w:rPr>
          <w:rFonts w:ascii="宋体" w:eastAsia="宋体" w:hAnsi="宋体" w:cs="宋体"/>
          <w:sz w:val="18"/>
          <w:szCs w:val="18"/>
        </w:rPr>
        <w:t>元。</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、由于会计政策变更，影响期初未分配利润</w:t>
      </w:r>
      <w:r>
        <w:rPr>
          <w:rFonts w:ascii="宋体" w:eastAsia="宋体" w:hAnsi="宋体" w:cs="宋体"/>
          <w:sz w:val="18"/>
          <w:szCs w:val="18"/>
        </w:rPr>
        <w:t>0.00</w:t>
      </w:r>
      <w:r>
        <w:rPr>
          <w:rFonts w:ascii="宋体" w:eastAsia="宋体" w:hAnsi="宋体" w:cs="宋体"/>
          <w:sz w:val="18"/>
          <w:szCs w:val="18"/>
        </w:rPr>
        <w:t>元。</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、由于重大会计差错更正，影响期初未分配利润</w:t>
      </w:r>
      <w:r>
        <w:rPr>
          <w:rFonts w:ascii="宋体" w:eastAsia="宋体" w:hAnsi="宋体" w:cs="宋体"/>
          <w:sz w:val="18"/>
          <w:szCs w:val="18"/>
        </w:rPr>
        <w:t>0.00</w:t>
      </w:r>
      <w:r>
        <w:rPr>
          <w:rFonts w:ascii="宋体" w:eastAsia="宋体" w:hAnsi="宋体" w:cs="宋体"/>
          <w:sz w:val="18"/>
          <w:szCs w:val="18"/>
        </w:rPr>
        <w:t>元。</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4)</w:t>
      </w:r>
      <w:r>
        <w:rPr>
          <w:rFonts w:ascii="宋体" w:eastAsia="宋体" w:hAnsi="宋体" w:cs="宋体"/>
          <w:sz w:val="18"/>
          <w:szCs w:val="18"/>
        </w:rPr>
        <w:t>、由于同一控制导致的合并范围变更，影响期初未分配利润</w:t>
      </w:r>
      <w:r>
        <w:rPr>
          <w:rFonts w:ascii="宋体" w:eastAsia="宋体" w:hAnsi="宋体" w:cs="宋体"/>
          <w:sz w:val="18"/>
          <w:szCs w:val="18"/>
        </w:rPr>
        <w:t>0.00</w:t>
      </w:r>
      <w:r>
        <w:rPr>
          <w:rFonts w:ascii="宋体" w:eastAsia="宋体" w:hAnsi="宋体" w:cs="宋体"/>
          <w:sz w:val="18"/>
          <w:szCs w:val="18"/>
        </w:rPr>
        <w:t>元。</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5)</w:t>
      </w:r>
      <w:r>
        <w:rPr>
          <w:rFonts w:ascii="宋体" w:eastAsia="宋体" w:hAnsi="宋体" w:cs="宋体"/>
          <w:sz w:val="18"/>
          <w:szCs w:val="18"/>
        </w:rPr>
        <w:t>、其他调整合计影响期初未分配利润</w:t>
      </w:r>
      <w:r>
        <w:rPr>
          <w:rFonts w:ascii="宋体" w:eastAsia="宋体" w:hAnsi="宋体" w:cs="宋体"/>
          <w:sz w:val="18"/>
          <w:szCs w:val="18"/>
        </w:rPr>
        <w:t>0.00</w:t>
      </w:r>
      <w:r>
        <w:rPr>
          <w:rFonts w:ascii="宋体" w:eastAsia="宋体" w:hAnsi="宋体" w:cs="宋体"/>
          <w:sz w:val="18"/>
          <w:szCs w:val="18"/>
        </w:rPr>
        <w:t>元。</w:t>
      </w:r>
    </w:p>
    <w:p w:rsidR="00A067C6" w:rsidRDefault="005C4966">
      <w:pPr>
        <w:pStyle w:val="3"/>
        <w:spacing w:line="280" w:lineRule="exact"/>
        <w:jc w:val="left"/>
        <w:rPr>
          <w:rFonts w:ascii="宋体" w:hAnsi="宋体" w:cs="宋体"/>
          <w:b/>
          <w:bCs/>
        </w:rPr>
      </w:pPr>
      <w:bookmarkStart w:id="327" w:name="_Toc989219"/>
      <w:r>
        <w:rPr>
          <w:rFonts w:ascii="宋体" w:hAnsi="宋体" w:cs="宋体"/>
          <w:b/>
          <w:bCs/>
        </w:rPr>
        <w:t>61</w:t>
      </w:r>
      <w:r>
        <w:rPr>
          <w:rFonts w:ascii="宋体" w:hAnsi="宋体" w:cs="宋体"/>
          <w:b/>
          <w:bCs/>
        </w:rPr>
        <w:t>、营业收入和营业成本</w:t>
      </w:r>
      <w:bookmarkEnd w:id="327"/>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A067C6">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A067C6">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主营业务</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7,700,845,560.41</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7,303,717,392.34</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8,477,748,464.62</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7,731,549,048.63</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其他业务</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52,081,152.40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32,281,070.81</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58,221,637.81</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32,193,719.57</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7,752,926,712.81</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7,335,998,463.15</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8,535,970,102.43</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7,763,742,768.20</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收入相关信息：</w:t>
      </w:r>
    </w:p>
    <w:p w:rsidR="00A067C6" w:rsidRDefault="005C4966">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A067C6">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合同分类</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分部</w:t>
            </w:r>
            <w:r>
              <w:rPr>
                <w:rFonts w:ascii="宋体" w:eastAsia="宋体" w:hAnsi="宋体" w:cs="宋体"/>
                <w:sz w:val="18"/>
                <w:szCs w:val="18"/>
              </w:rPr>
              <w:t>1</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分部</w:t>
            </w:r>
            <w:r>
              <w:rPr>
                <w:rFonts w:ascii="宋体" w:eastAsia="宋体" w:hAnsi="宋体" w:cs="宋体"/>
                <w:sz w:val="18"/>
                <w:szCs w:val="18"/>
              </w:rPr>
              <w:t>2</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A067C6">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商品类型</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纱线</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3,114,321,736.71</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3,114,321,736.71</w:t>
            </w:r>
          </w:p>
        </w:tc>
      </w:tr>
      <w:tr w:rsidR="00A067C6">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原、色纤</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4,358,353,338.59</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4,358,353,338.59</w:t>
            </w:r>
          </w:p>
        </w:tc>
      </w:tr>
      <w:tr w:rsidR="00A067C6">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祙制品</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228,170,485.11</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228,170,485.11</w:t>
            </w:r>
          </w:p>
        </w:tc>
      </w:tr>
      <w:tr w:rsidR="00A067C6">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其他收入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52,081,152.40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52,081,152.40</w:t>
            </w:r>
          </w:p>
        </w:tc>
      </w:tr>
      <w:tr w:rsidR="00A067C6">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按经营地区分类</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境外销售</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772,292,493.26</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772,292,493.26</w:t>
            </w:r>
          </w:p>
        </w:tc>
      </w:tr>
      <w:tr w:rsidR="00A067C6">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境内销售</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6,980,634,219.55</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6,980,634,219.55</w:t>
            </w:r>
          </w:p>
        </w:tc>
      </w:tr>
      <w:tr w:rsidR="00A067C6">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市场或客户类型</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合同类型</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按商品转让的时间分类</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在某一时点转让</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7,734,226,218.29</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7,734,226,218.29</w:t>
            </w:r>
          </w:p>
        </w:tc>
      </w:tr>
      <w:tr w:rsidR="00A067C6">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在某一时段内转让</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18,700,494.52</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18,700,494.52</w:t>
            </w:r>
          </w:p>
        </w:tc>
      </w:tr>
      <w:tr w:rsidR="00A067C6">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按合同期限分类</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按销售渠道分类</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与履约义务相关的信息：</w:t>
      </w:r>
      <w:r>
        <w:rPr>
          <w:rFonts w:hint="eastAsia"/>
          <w:sz w:val="18"/>
          <w:szCs w:val="18"/>
        </w:rPr>
        <w:t>无。</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与分摊至剩余履约义务的交易价格相关的信息：本报告期末已签订合同、但尚未履行或尚未履行完毕的履约义务所对应的收入金额为</w:t>
      </w:r>
      <w:r>
        <w:rPr>
          <w:rFonts w:ascii="宋体" w:eastAsia="宋体" w:hAnsi="宋体" w:cs="宋体"/>
          <w:sz w:val="18"/>
          <w:szCs w:val="18"/>
        </w:rPr>
        <w:t>0.00</w:t>
      </w:r>
      <w:r>
        <w:rPr>
          <w:rFonts w:ascii="宋体" w:eastAsia="宋体" w:hAnsi="宋体" w:cs="宋体"/>
          <w:sz w:val="18"/>
          <w:szCs w:val="18"/>
        </w:rPr>
        <w:t>元，其中，</w:t>
      </w:r>
      <w:r>
        <w:rPr>
          <w:rFonts w:ascii="宋体" w:eastAsia="宋体" w:hAnsi="宋体" w:cs="宋体"/>
          <w:sz w:val="18"/>
          <w:szCs w:val="18"/>
        </w:rPr>
        <w:t>0.00</w:t>
      </w:r>
      <w:r>
        <w:rPr>
          <w:rFonts w:ascii="宋体" w:eastAsia="宋体" w:hAnsi="宋体" w:cs="宋体"/>
          <w:sz w:val="18"/>
          <w:szCs w:val="18"/>
        </w:rPr>
        <w:t>元预计将于</w:t>
      </w:r>
      <w:r>
        <w:rPr>
          <w:rFonts w:ascii="宋体" w:eastAsia="宋体" w:hAnsi="宋体" w:cs="宋体"/>
          <w:sz w:val="18"/>
          <w:szCs w:val="18"/>
        </w:rPr>
        <w:t>0</w:t>
      </w:r>
      <w:r>
        <w:rPr>
          <w:rFonts w:ascii="宋体" w:eastAsia="宋体" w:hAnsi="宋体" w:cs="宋体"/>
          <w:sz w:val="18"/>
          <w:szCs w:val="18"/>
        </w:rPr>
        <w:t>年度确认收入，</w:t>
      </w:r>
      <w:r>
        <w:rPr>
          <w:rFonts w:ascii="宋体" w:eastAsia="宋体" w:hAnsi="宋体" w:cs="宋体"/>
          <w:sz w:val="18"/>
          <w:szCs w:val="18"/>
        </w:rPr>
        <w:t>0.00</w:t>
      </w:r>
      <w:r>
        <w:rPr>
          <w:rFonts w:ascii="宋体" w:eastAsia="宋体" w:hAnsi="宋体" w:cs="宋体"/>
          <w:sz w:val="18"/>
          <w:szCs w:val="18"/>
        </w:rPr>
        <w:t>元预计将于</w:t>
      </w:r>
      <w:r>
        <w:rPr>
          <w:rFonts w:ascii="宋体" w:eastAsia="宋体" w:hAnsi="宋体" w:cs="宋体"/>
          <w:sz w:val="18"/>
          <w:szCs w:val="18"/>
        </w:rPr>
        <w:t>0</w:t>
      </w:r>
      <w:r>
        <w:rPr>
          <w:rFonts w:ascii="宋体" w:eastAsia="宋体" w:hAnsi="宋体" w:cs="宋体"/>
          <w:sz w:val="18"/>
          <w:szCs w:val="18"/>
        </w:rPr>
        <w:t>年度确认收入，</w:t>
      </w:r>
      <w:r>
        <w:rPr>
          <w:rFonts w:ascii="宋体" w:eastAsia="宋体" w:hAnsi="宋体" w:cs="宋体"/>
          <w:sz w:val="18"/>
          <w:szCs w:val="18"/>
        </w:rPr>
        <w:t>0.00</w:t>
      </w:r>
      <w:r>
        <w:rPr>
          <w:rFonts w:ascii="宋体" w:eastAsia="宋体" w:hAnsi="宋体" w:cs="宋体"/>
          <w:sz w:val="18"/>
          <w:szCs w:val="18"/>
        </w:rPr>
        <w:t>元预计将于</w:t>
      </w:r>
      <w:r>
        <w:rPr>
          <w:rFonts w:ascii="宋体" w:eastAsia="宋体" w:hAnsi="宋体" w:cs="宋体"/>
          <w:sz w:val="18"/>
          <w:szCs w:val="18"/>
        </w:rPr>
        <w:t>0</w:t>
      </w:r>
      <w:r>
        <w:rPr>
          <w:rFonts w:ascii="宋体" w:eastAsia="宋体" w:hAnsi="宋体" w:cs="宋体"/>
          <w:sz w:val="18"/>
          <w:szCs w:val="18"/>
        </w:rPr>
        <w:t>年度确认收入。</w:t>
      </w:r>
    </w:p>
    <w:p w:rsidR="00A067C6" w:rsidRDefault="005C4966">
      <w:pPr>
        <w:pStyle w:val="3"/>
        <w:spacing w:line="280" w:lineRule="exact"/>
        <w:jc w:val="left"/>
        <w:rPr>
          <w:rFonts w:ascii="宋体" w:hAnsi="宋体" w:cs="宋体"/>
          <w:b/>
          <w:bCs/>
        </w:rPr>
      </w:pPr>
      <w:bookmarkStart w:id="328" w:name="_Toc989220"/>
      <w:r>
        <w:rPr>
          <w:rFonts w:ascii="宋体" w:hAnsi="宋体" w:cs="宋体"/>
          <w:b/>
          <w:bCs/>
        </w:rPr>
        <w:t>62</w:t>
      </w:r>
      <w:r>
        <w:rPr>
          <w:rFonts w:ascii="宋体" w:hAnsi="宋体" w:cs="宋体"/>
          <w:b/>
          <w:bCs/>
        </w:rPr>
        <w:t>、税金及附加</w:t>
      </w:r>
      <w:bookmarkEnd w:id="328"/>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城市维护建设税</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4,968,537.37</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3,676,530.86</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教育费附加</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3,615,683.90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2,639,795.39</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房产税</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12,510,338.41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9,357,376.37</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土地使用税</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11,202,822.22</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7,763,144.54</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车船使用税</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16,777.99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27,324.08</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印花税</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9,034,332.21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5,428,620.75</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1,595,053.76</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1,455,342.67</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42,943,545.86</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30,348,134.66</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pStyle w:val="3"/>
        <w:spacing w:line="280" w:lineRule="exact"/>
        <w:jc w:val="left"/>
        <w:rPr>
          <w:rFonts w:ascii="宋体" w:hAnsi="宋体" w:cs="宋体"/>
          <w:b/>
          <w:bCs/>
        </w:rPr>
      </w:pPr>
      <w:bookmarkStart w:id="329" w:name="_Toc989221"/>
      <w:r>
        <w:rPr>
          <w:rFonts w:ascii="宋体" w:hAnsi="宋体" w:cs="宋体"/>
          <w:b/>
          <w:bCs/>
        </w:rPr>
        <w:t>63</w:t>
      </w:r>
      <w:r>
        <w:rPr>
          <w:rFonts w:ascii="宋体" w:hAnsi="宋体" w:cs="宋体"/>
          <w:b/>
          <w:bCs/>
        </w:rPr>
        <w:t>、销售费用</w:t>
      </w:r>
      <w:bookmarkEnd w:id="329"/>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工资及相关费用</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19,141,669.72</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24,567,045.01</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办公费用</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1,220,485.14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1,309,058.20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租赁费</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19,559,041.74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10,190,639.83</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开发费</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565,887.68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160,378.28</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单证费</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17,844,134.20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低值易耗品</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2,502,526.01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572,907.17</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修理费</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2,399,371.49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261,370.14</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折旧费</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4,205,791.01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2,039,345.17</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差旅费</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486,333.25</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266,409.76</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业务招待费</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213,375.39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101,521.01</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电商平台佣金及服务费</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17,622,341.70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9,678,271.37</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1,780,377.39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980,580.87</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69,697,200.52</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67,971,661.01</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pStyle w:val="3"/>
        <w:spacing w:line="280" w:lineRule="exact"/>
        <w:jc w:val="left"/>
        <w:rPr>
          <w:rFonts w:ascii="宋体" w:hAnsi="宋体" w:cs="宋体"/>
          <w:b/>
          <w:bCs/>
        </w:rPr>
      </w:pPr>
      <w:bookmarkStart w:id="330" w:name="_Toc989222"/>
      <w:r>
        <w:rPr>
          <w:rFonts w:ascii="宋体" w:hAnsi="宋体" w:cs="宋体"/>
          <w:b/>
          <w:bCs/>
        </w:rPr>
        <w:t>64</w:t>
      </w:r>
      <w:r>
        <w:rPr>
          <w:rFonts w:ascii="宋体" w:hAnsi="宋体" w:cs="宋体"/>
          <w:b/>
          <w:bCs/>
        </w:rPr>
        <w:t>、管理费用</w:t>
      </w:r>
      <w:bookmarkEnd w:id="330"/>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工资及相关费用</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101,660,198.03</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102,060,256.30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办公费用</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9,234,690.91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8,288,311.87</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低值易耗品</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1,829,868.61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2,505,111.17</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修理费</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772,274.93</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1,376,236.90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折旧费</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45,781,921.46</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47,807,182.71</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费用摊销</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2,984,167.49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2,956,057.99</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差旅费</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1,735,418.59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1,195,252.72</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业务招待费</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1,881,352.27</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2,283,107.96</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租赁费</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1,368,930.79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2,420,196.22</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保险费</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661,902.87</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779,196.21</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环保费用</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463,561.98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592,710.31</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13,138,306.48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9,104,658.52</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181,512,594.41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181,368,278.88</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ascii="宋体" w:eastAsia="宋体" w:hAnsi="宋体" w:cs="宋体" w:hint="eastAsia"/>
          <w:sz w:val="18"/>
          <w:szCs w:val="18"/>
        </w:rPr>
        <w:t>：</w:t>
      </w:r>
      <w:r>
        <w:rPr>
          <w:rFonts w:hint="eastAsia"/>
          <w:sz w:val="18"/>
          <w:szCs w:val="18"/>
        </w:rPr>
        <w:t>无。</w:t>
      </w:r>
    </w:p>
    <w:p w:rsidR="00A067C6" w:rsidRDefault="005C4966">
      <w:pPr>
        <w:pStyle w:val="3"/>
        <w:spacing w:line="280" w:lineRule="exact"/>
        <w:jc w:val="left"/>
        <w:rPr>
          <w:rFonts w:ascii="宋体" w:hAnsi="宋体" w:cs="宋体"/>
          <w:b/>
          <w:bCs/>
        </w:rPr>
      </w:pPr>
      <w:bookmarkStart w:id="331" w:name="_Toc989223"/>
      <w:r>
        <w:rPr>
          <w:rFonts w:ascii="宋体" w:hAnsi="宋体" w:cs="宋体"/>
          <w:b/>
          <w:bCs/>
        </w:rPr>
        <w:t>65</w:t>
      </w:r>
      <w:r>
        <w:rPr>
          <w:rFonts w:ascii="宋体" w:hAnsi="宋体" w:cs="宋体"/>
          <w:b/>
          <w:bCs/>
        </w:rPr>
        <w:t>、研发费用</w:t>
      </w:r>
      <w:bookmarkEnd w:id="331"/>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工资及奖金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7,293,379.29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12,345,290.41</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燃料及动力</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5,857,222.06</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6,984,850.76</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原材料</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36,887,003.03</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33,316,070.51</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折旧及摊销</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3,309,230.17</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3,738,306.29</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2,200,284.63</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3,011,793.67</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55,547,119.18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59,396,311.64</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ascii="宋体" w:eastAsia="宋体" w:hAnsi="宋体" w:cs="宋体" w:hint="eastAsia"/>
          <w:sz w:val="18"/>
          <w:szCs w:val="18"/>
        </w:rPr>
        <w:t>：</w:t>
      </w:r>
      <w:r>
        <w:rPr>
          <w:rFonts w:hint="eastAsia"/>
          <w:sz w:val="18"/>
          <w:szCs w:val="18"/>
        </w:rPr>
        <w:t>无。</w:t>
      </w:r>
    </w:p>
    <w:p w:rsidR="00A067C6" w:rsidRDefault="005C4966">
      <w:pPr>
        <w:pStyle w:val="3"/>
        <w:spacing w:line="280" w:lineRule="exact"/>
        <w:jc w:val="left"/>
        <w:rPr>
          <w:rFonts w:ascii="宋体" w:hAnsi="宋体" w:cs="宋体"/>
          <w:b/>
          <w:bCs/>
        </w:rPr>
      </w:pPr>
      <w:bookmarkStart w:id="332" w:name="_Toc989224"/>
      <w:r>
        <w:rPr>
          <w:rFonts w:ascii="宋体" w:hAnsi="宋体" w:cs="宋体"/>
          <w:b/>
          <w:bCs/>
        </w:rPr>
        <w:t>66</w:t>
      </w:r>
      <w:r>
        <w:rPr>
          <w:rFonts w:ascii="宋体" w:hAnsi="宋体" w:cs="宋体"/>
          <w:b/>
          <w:bCs/>
        </w:rPr>
        <w:t>、财务费用</w:t>
      </w:r>
      <w:bookmarkEnd w:id="332"/>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利息支出</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113,313,442.25</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131,509,705.78</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减：利息收入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13,105,439.74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15,842,714.37</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汇兑损益</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-61,327,794.71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-2,442,099.86</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贴现</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2,638,086.04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17,074,713.30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7,077,359.07</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5,097,737.94</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48,595,652.92</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135,397,342.79</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ascii="宋体" w:eastAsia="宋体" w:hAnsi="宋体" w:cs="宋体" w:hint="eastAsia"/>
          <w:sz w:val="18"/>
          <w:szCs w:val="18"/>
        </w:rPr>
        <w:t>：</w:t>
      </w:r>
      <w:r>
        <w:rPr>
          <w:rFonts w:hint="eastAsia"/>
          <w:sz w:val="18"/>
          <w:szCs w:val="18"/>
        </w:rPr>
        <w:t>无。</w:t>
      </w:r>
    </w:p>
    <w:p w:rsidR="00A067C6" w:rsidRDefault="005C4966">
      <w:pPr>
        <w:pStyle w:val="3"/>
        <w:spacing w:line="280" w:lineRule="exact"/>
        <w:jc w:val="left"/>
        <w:rPr>
          <w:rFonts w:ascii="宋体" w:hAnsi="宋体" w:cs="宋体"/>
          <w:b/>
          <w:bCs/>
        </w:rPr>
      </w:pPr>
      <w:bookmarkStart w:id="333" w:name="_Toc989225"/>
      <w:r>
        <w:rPr>
          <w:rFonts w:ascii="宋体" w:hAnsi="宋体" w:cs="宋体"/>
          <w:b/>
          <w:bCs/>
        </w:rPr>
        <w:t>67</w:t>
      </w:r>
      <w:r>
        <w:rPr>
          <w:rFonts w:ascii="宋体" w:hAnsi="宋体" w:cs="宋体"/>
          <w:b/>
          <w:bCs/>
        </w:rPr>
        <w:t>、其他收益</w:t>
      </w:r>
      <w:bookmarkEnd w:id="333"/>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产生其他收益的来源</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政府补助</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73,566,623.46</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24,267,340.56</w:t>
            </w:r>
          </w:p>
        </w:tc>
      </w:tr>
    </w:tbl>
    <w:p w:rsidR="00A067C6" w:rsidRDefault="005C4966">
      <w:pPr>
        <w:pStyle w:val="3"/>
        <w:spacing w:line="280" w:lineRule="exact"/>
        <w:jc w:val="left"/>
        <w:rPr>
          <w:rFonts w:ascii="宋体" w:hAnsi="宋体" w:cs="宋体"/>
          <w:b/>
          <w:bCs/>
        </w:rPr>
      </w:pPr>
      <w:bookmarkStart w:id="334" w:name="_Toc989226"/>
      <w:r>
        <w:rPr>
          <w:rFonts w:ascii="宋体" w:hAnsi="宋体" w:cs="宋体"/>
          <w:b/>
          <w:bCs/>
        </w:rPr>
        <w:t>68</w:t>
      </w:r>
      <w:r>
        <w:rPr>
          <w:rFonts w:ascii="宋体" w:hAnsi="宋体" w:cs="宋体"/>
          <w:b/>
          <w:bCs/>
        </w:rPr>
        <w:t>、投资收益</w:t>
      </w:r>
      <w:bookmarkEnd w:id="334"/>
    </w:p>
    <w:p w:rsidR="00A067C6" w:rsidRDefault="00A067C6"/>
    <w:p w:rsidR="00A067C6" w:rsidRDefault="00A067C6"/>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权益法核算的长期股权投资收益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-12,852,401.20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处置长期股权投资产生的投资收益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8,185,186.13</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处置交易性金融资产取得的投资收益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-61,004,750.68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2,289,389.75</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其他权益工具投资在持有期间取得的股利收入</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8,000,000.00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委托理财收益</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3,193,523.93</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8,386,086.71</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-62,478,441.82</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18,675,476.46</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ascii="宋体" w:eastAsia="宋体" w:hAnsi="宋体" w:cs="宋体" w:hint="eastAsia"/>
          <w:sz w:val="18"/>
          <w:szCs w:val="18"/>
        </w:rPr>
        <w:t>：</w:t>
      </w:r>
      <w:r>
        <w:rPr>
          <w:rFonts w:hint="eastAsia"/>
          <w:sz w:val="18"/>
          <w:szCs w:val="18"/>
        </w:rPr>
        <w:t>无。</w:t>
      </w:r>
    </w:p>
    <w:p w:rsidR="00A067C6" w:rsidRDefault="005C4966">
      <w:pPr>
        <w:pStyle w:val="3"/>
        <w:spacing w:line="280" w:lineRule="exact"/>
        <w:jc w:val="left"/>
        <w:rPr>
          <w:rFonts w:ascii="宋体" w:hAnsi="宋体" w:cs="宋体"/>
          <w:b/>
          <w:bCs/>
        </w:rPr>
      </w:pPr>
      <w:bookmarkStart w:id="335" w:name="_Toc989227"/>
      <w:r>
        <w:rPr>
          <w:rFonts w:ascii="宋体" w:hAnsi="宋体" w:cs="宋体"/>
          <w:b/>
          <w:bCs/>
        </w:rPr>
        <w:t>69</w:t>
      </w:r>
      <w:r>
        <w:rPr>
          <w:rFonts w:ascii="宋体" w:hAnsi="宋体" w:cs="宋体"/>
          <w:b/>
          <w:bCs/>
        </w:rPr>
        <w:t>、净敞口套期收益</w:t>
      </w:r>
      <w:bookmarkEnd w:id="335"/>
    </w:p>
    <w:p w:rsidR="00A067C6" w:rsidRDefault="005C4966">
      <w:pPr>
        <w:pStyle w:val="3"/>
        <w:spacing w:line="28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w:t>
      </w:r>
      <w:r>
        <w:rPr>
          <w:rFonts w:hint="eastAsia"/>
          <w:sz w:val="18"/>
          <w:szCs w:val="18"/>
        </w:rPr>
        <w:t>无。</w:t>
      </w:r>
    </w:p>
    <w:p w:rsidR="00A067C6" w:rsidRDefault="005C4966">
      <w:pPr>
        <w:pStyle w:val="3"/>
        <w:spacing w:line="280" w:lineRule="exact"/>
        <w:jc w:val="left"/>
        <w:rPr>
          <w:rFonts w:ascii="宋体" w:hAnsi="宋体" w:cs="宋体"/>
          <w:b/>
          <w:bCs/>
        </w:rPr>
      </w:pPr>
      <w:bookmarkStart w:id="336" w:name="_Toc989228"/>
      <w:r>
        <w:rPr>
          <w:rFonts w:ascii="宋体" w:hAnsi="宋体" w:cs="宋体"/>
          <w:b/>
          <w:bCs/>
        </w:rPr>
        <w:t>70</w:t>
      </w:r>
      <w:r>
        <w:rPr>
          <w:rFonts w:ascii="宋体" w:hAnsi="宋体" w:cs="宋体"/>
          <w:b/>
          <w:bCs/>
        </w:rPr>
        <w:t>、公允价值变动收益</w:t>
      </w:r>
      <w:bookmarkEnd w:id="336"/>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产生公允价值变动收益的来源</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11,622,111.18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-45,109,812.62</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其中：衍生金融工具产生的公允价值变动收益</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11,622,111.18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-45,109,812.62</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11,622,111.18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-45,109,812.62</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pStyle w:val="3"/>
        <w:spacing w:line="280" w:lineRule="exact"/>
        <w:jc w:val="left"/>
        <w:rPr>
          <w:rFonts w:ascii="宋体" w:hAnsi="宋体" w:cs="宋体"/>
          <w:b/>
          <w:bCs/>
        </w:rPr>
      </w:pPr>
      <w:bookmarkStart w:id="337" w:name="_Toc989229"/>
      <w:r>
        <w:rPr>
          <w:rFonts w:ascii="宋体" w:hAnsi="宋体" w:cs="宋体"/>
          <w:b/>
          <w:bCs/>
        </w:rPr>
        <w:t>71</w:t>
      </w:r>
      <w:r>
        <w:rPr>
          <w:rFonts w:ascii="宋体" w:hAnsi="宋体" w:cs="宋体"/>
          <w:b/>
          <w:bCs/>
        </w:rPr>
        <w:t>、信用减值损失</w:t>
      </w:r>
      <w:bookmarkEnd w:id="337"/>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其他应收款坏账损失</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62,881.23</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4,839,951.85</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62,881.23</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4,839,951.85</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ascii="宋体" w:eastAsia="宋体" w:hAnsi="宋体" w:cs="宋体" w:hint="eastAsia"/>
          <w:sz w:val="18"/>
          <w:szCs w:val="18"/>
        </w:rPr>
        <w:t>：</w:t>
      </w:r>
      <w:r>
        <w:rPr>
          <w:rFonts w:hint="eastAsia"/>
          <w:sz w:val="18"/>
          <w:szCs w:val="18"/>
        </w:rPr>
        <w:t>无。</w:t>
      </w:r>
    </w:p>
    <w:p w:rsidR="00A067C6" w:rsidRDefault="005C4966">
      <w:pPr>
        <w:pStyle w:val="3"/>
        <w:spacing w:line="280" w:lineRule="exact"/>
        <w:jc w:val="left"/>
        <w:rPr>
          <w:rFonts w:ascii="宋体" w:hAnsi="宋体" w:cs="宋体"/>
          <w:b/>
          <w:bCs/>
        </w:rPr>
      </w:pPr>
      <w:bookmarkStart w:id="338" w:name="_Toc989230"/>
      <w:r>
        <w:rPr>
          <w:rFonts w:ascii="宋体" w:hAnsi="宋体" w:cs="宋体"/>
          <w:b/>
          <w:bCs/>
        </w:rPr>
        <w:t>72</w:t>
      </w:r>
      <w:r>
        <w:rPr>
          <w:rFonts w:ascii="宋体" w:hAnsi="宋体" w:cs="宋体"/>
          <w:b/>
          <w:bCs/>
        </w:rPr>
        <w:t>、资产减值损失</w:t>
      </w:r>
      <w:bookmarkEnd w:id="338"/>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二、存货跌价损失及合同履约成本减值损失</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23,531,629.26</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-5,262,481.92</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23,531,629.26</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-5,262,481.92</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pStyle w:val="3"/>
        <w:spacing w:line="280" w:lineRule="exact"/>
        <w:jc w:val="left"/>
        <w:rPr>
          <w:rFonts w:ascii="宋体" w:hAnsi="宋体" w:cs="宋体"/>
          <w:b/>
          <w:bCs/>
        </w:rPr>
      </w:pPr>
      <w:bookmarkStart w:id="339" w:name="_Toc989231"/>
      <w:r>
        <w:rPr>
          <w:rFonts w:ascii="宋体" w:hAnsi="宋体" w:cs="宋体"/>
          <w:b/>
          <w:bCs/>
        </w:rPr>
        <w:t>73</w:t>
      </w:r>
      <w:r>
        <w:rPr>
          <w:rFonts w:ascii="宋体" w:hAnsi="宋体" w:cs="宋体"/>
          <w:b/>
          <w:bCs/>
        </w:rPr>
        <w:t>、资产处置收益</w:t>
      </w:r>
      <w:bookmarkEnd w:id="339"/>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资产处置收益的来源</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固定资产处置利得或损失</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163,412.51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-1,999,481.00</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无形资产处置利得或损失</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8,490,566.07</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163,412.51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6,491,085.07</w:t>
            </w:r>
          </w:p>
        </w:tc>
      </w:tr>
    </w:tbl>
    <w:p w:rsidR="00A067C6" w:rsidRDefault="005C4966">
      <w:pPr>
        <w:pStyle w:val="3"/>
        <w:spacing w:line="280" w:lineRule="exact"/>
        <w:jc w:val="left"/>
        <w:rPr>
          <w:rFonts w:ascii="宋体" w:hAnsi="宋体" w:cs="宋体"/>
          <w:b/>
          <w:bCs/>
        </w:rPr>
      </w:pPr>
      <w:bookmarkStart w:id="340" w:name="_Toc989232"/>
      <w:r>
        <w:rPr>
          <w:rFonts w:ascii="宋体" w:hAnsi="宋体" w:cs="宋体"/>
          <w:b/>
          <w:bCs/>
        </w:rPr>
        <w:t>74</w:t>
      </w:r>
      <w:r>
        <w:rPr>
          <w:rFonts w:ascii="宋体" w:hAnsi="宋体" w:cs="宋体"/>
          <w:b/>
          <w:bCs/>
        </w:rPr>
        <w:t>、营业外收入</w:t>
      </w:r>
      <w:bookmarkEnd w:id="340"/>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计入当期非经常性损益的金额</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确实无法支付的债务</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1,349,120.17</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14,532,493.80</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1,349,120.17</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赔偿金</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1,518,000.00</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1,876,057.37</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1,518,000.00</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其他</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671,579.37</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1,173,411.17</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671,579.37</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3,538,699.54</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17,581,962.34</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3,538,699.54</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ascii="宋体" w:eastAsia="宋体" w:hAnsi="宋体" w:cs="宋体" w:hint="eastAsia"/>
          <w:sz w:val="18"/>
          <w:szCs w:val="18"/>
        </w:rPr>
        <w:t>无</w:t>
      </w:r>
    </w:p>
    <w:p w:rsidR="00A067C6" w:rsidRDefault="005C4966">
      <w:pPr>
        <w:pStyle w:val="3"/>
        <w:spacing w:line="280" w:lineRule="exact"/>
        <w:jc w:val="left"/>
        <w:rPr>
          <w:rFonts w:ascii="宋体" w:hAnsi="宋体" w:cs="宋体"/>
          <w:b/>
          <w:bCs/>
        </w:rPr>
      </w:pPr>
      <w:bookmarkStart w:id="341" w:name="_Toc989233"/>
      <w:r>
        <w:rPr>
          <w:rFonts w:ascii="宋体" w:hAnsi="宋体" w:cs="宋体"/>
          <w:b/>
          <w:bCs/>
        </w:rPr>
        <w:t>75</w:t>
      </w:r>
      <w:r>
        <w:rPr>
          <w:rFonts w:ascii="宋体" w:hAnsi="宋体" w:cs="宋体"/>
          <w:b/>
          <w:bCs/>
        </w:rPr>
        <w:t>、营业外支出</w:t>
      </w:r>
      <w:bookmarkEnd w:id="341"/>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计入当期非经常性损益的金额</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对外捐赠</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790,295.50</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751,637.10</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790,295.50</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固定资产报废损失</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19,759.79</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2,874.69</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19,759.79</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罚款及滞纳金支出</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131,564.46</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97,534.52</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131,564.46</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赔偿支出</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587,745.72</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587,745.72</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其他</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734,116.15</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546,513.49</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734,116.15</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2,263,481.62</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1,398,559.80</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pStyle w:val="3"/>
        <w:spacing w:line="280" w:lineRule="exact"/>
        <w:jc w:val="left"/>
        <w:rPr>
          <w:rFonts w:ascii="宋体" w:hAnsi="宋体" w:cs="宋体"/>
          <w:b/>
          <w:bCs/>
        </w:rPr>
      </w:pPr>
      <w:bookmarkStart w:id="342" w:name="_Toc989234"/>
      <w:r>
        <w:rPr>
          <w:rFonts w:ascii="宋体" w:hAnsi="宋体" w:cs="宋体"/>
          <w:b/>
          <w:bCs/>
        </w:rPr>
        <w:t>76</w:t>
      </w:r>
      <w:r>
        <w:rPr>
          <w:rFonts w:ascii="宋体" w:hAnsi="宋体" w:cs="宋体"/>
          <w:b/>
          <w:bCs/>
        </w:rPr>
        <w:t>、所得税费用</w:t>
      </w:r>
      <w:bookmarkEnd w:id="342"/>
    </w:p>
    <w:p w:rsidR="00A067C6" w:rsidRDefault="005C4966">
      <w:pPr>
        <w:keepNext/>
        <w:keepLines/>
        <w:spacing w:before="300" w:after="300" w:line="280" w:lineRule="exact"/>
        <w:outlineLvl w:val="3"/>
        <w:rPr>
          <w:rFonts w:ascii="宋体" w:eastAsia="宋体" w:hAnsi="宋体" w:cs="宋体"/>
          <w:b/>
          <w:bCs/>
          <w:szCs w:val="21"/>
        </w:rPr>
      </w:pPr>
      <w:bookmarkStart w:id="343" w:name="_Toc989235"/>
      <w:r>
        <w:rPr>
          <w:rFonts w:ascii="宋体" w:eastAsia="宋体" w:hAnsi="宋体" w:cs="宋体"/>
          <w:b/>
          <w:bCs/>
          <w:szCs w:val="21"/>
        </w:rPr>
        <w:t>（</w:t>
      </w:r>
      <w:r>
        <w:rPr>
          <w:rFonts w:ascii="宋体" w:eastAsia="宋体" w:hAnsi="宋体" w:cs="宋体"/>
          <w:b/>
          <w:bCs/>
          <w:szCs w:val="21"/>
        </w:rPr>
        <w:t>1</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所得税费用表</w:t>
      </w:r>
      <w:bookmarkEnd w:id="343"/>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当期所得税费用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2,662,744.50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15,175,900.76</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递延所得税费用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-8,577,368.14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1,399,501.77</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-5,914,623.64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16,575,402.53</w:t>
            </w:r>
          </w:p>
        </w:tc>
      </w:tr>
    </w:tbl>
    <w:p w:rsidR="00A067C6" w:rsidRDefault="005C4966">
      <w:pPr>
        <w:keepNext/>
        <w:keepLines/>
        <w:spacing w:before="300" w:after="300" w:line="280" w:lineRule="exact"/>
        <w:outlineLvl w:val="3"/>
        <w:rPr>
          <w:rFonts w:ascii="宋体" w:eastAsia="宋体" w:hAnsi="宋体" w:cs="宋体"/>
          <w:b/>
          <w:bCs/>
          <w:szCs w:val="21"/>
        </w:rPr>
      </w:pPr>
      <w:bookmarkStart w:id="344" w:name="_Toc989236"/>
      <w:r>
        <w:rPr>
          <w:rFonts w:ascii="宋体" w:eastAsia="宋体" w:hAnsi="宋体" w:cs="宋体"/>
          <w:b/>
          <w:bCs/>
          <w:szCs w:val="21"/>
        </w:rPr>
        <w:t>（</w:t>
      </w:r>
      <w:r>
        <w:rPr>
          <w:rFonts w:ascii="宋体" w:eastAsia="宋体" w:hAnsi="宋体" w:cs="宋体"/>
          <w:b/>
          <w:bCs/>
          <w:szCs w:val="21"/>
        </w:rPr>
        <w:t>2</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会计利润与所得税费用调整过程</w:t>
      </w:r>
      <w:bookmarkEnd w:id="344"/>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621"/>
        <w:gridCol w:w="2018"/>
      </w:tblGrid>
      <w:tr w:rsidR="00A067C6">
        <w:trPr>
          <w:trHeight w:val="240"/>
        </w:trPr>
        <w:tc>
          <w:tcPr>
            <w:tcW w:w="762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01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r>
      <w:tr w:rsidR="00A067C6">
        <w:trPr>
          <w:trHeight w:val="240"/>
        </w:trPr>
        <w:tc>
          <w:tcPr>
            <w:tcW w:w="762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利润总额</w:t>
            </w:r>
          </w:p>
        </w:tc>
        <w:tc>
          <w:tcPr>
            <w:tcW w:w="201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66,375,570.51</w:t>
            </w:r>
          </w:p>
        </w:tc>
      </w:tr>
      <w:tr w:rsidR="00A067C6">
        <w:trPr>
          <w:trHeight w:val="240"/>
        </w:trPr>
        <w:tc>
          <w:tcPr>
            <w:tcW w:w="762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按法定</w:t>
            </w:r>
            <w:r>
              <w:rPr>
                <w:rFonts w:ascii="宋体" w:eastAsia="宋体" w:hAnsi="宋体" w:cs="宋体"/>
                <w:sz w:val="18"/>
                <w:szCs w:val="18"/>
              </w:rPr>
              <w:t>/</w:t>
            </w:r>
            <w:r>
              <w:rPr>
                <w:rFonts w:ascii="宋体" w:eastAsia="宋体" w:hAnsi="宋体" w:cs="宋体"/>
                <w:sz w:val="18"/>
                <w:szCs w:val="18"/>
              </w:rPr>
              <w:t>适用税率计算的所得税费用</w:t>
            </w:r>
          </w:p>
        </w:tc>
        <w:tc>
          <w:tcPr>
            <w:tcW w:w="201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9,956,335.58</w:t>
            </w:r>
          </w:p>
        </w:tc>
      </w:tr>
      <w:tr w:rsidR="00A067C6">
        <w:trPr>
          <w:trHeight w:val="240"/>
        </w:trPr>
        <w:tc>
          <w:tcPr>
            <w:tcW w:w="762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子公司适用不同税率的影响</w:t>
            </w:r>
          </w:p>
        </w:tc>
        <w:tc>
          <w:tcPr>
            <w:tcW w:w="201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1,767,995.97</w:t>
            </w:r>
          </w:p>
        </w:tc>
      </w:tr>
      <w:tr w:rsidR="00A067C6">
        <w:trPr>
          <w:trHeight w:val="240"/>
        </w:trPr>
        <w:tc>
          <w:tcPr>
            <w:tcW w:w="762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调整以前期间所得税的影响</w:t>
            </w:r>
          </w:p>
        </w:tc>
        <w:tc>
          <w:tcPr>
            <w:tcW w:w="201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-2,249,170.21</w:t>
            </w:r>
          </w:p>
        </w:tc>
      </w:tr>
      <w:tr w:rsidR="00A067C6">
        <w:trPr>
          <w:trHeight w:val="240"/>
        </w:trPr>
        <w:tc>
          <w:tcPr>
            <w:tcW w:w="762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非应税收入的影响</w:t>
            </w:r>
          </w:p>
        </w:tc>
        <w:tc>
          <w:tcPr>
            <w:tcW w:w="201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-13,456,142.28</w:t>
            </w:r>
          </w:p>
        </w:tc>
      </w:tr>
      <w:tr w:rsidR="00A067C6">
        <w:trPr>
          <w:trHeight w:val="240"/>
        </w:trPr>
        <w:tc>
          <w:tcPr>
            <w:tcW w:w="762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不可抵扣的成本、费用和损失的影响</w:t>
            </w:r>
          </w:p>
        </w:tc>
        <w:tc>
          <w:tcPr>
            <w:tcW w:w="201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51,621.51</w:t>
            </w:r>
          </w:p>
        </w:tc>
      </w:tr>
      <w:tr w:rsidR="00A067C6">
        <w:trPr>
          <w:trHeight w:val="240"/>
        </w:trPr>
        <w:tc>
          <w:tcPr>
            <w:tcW w:w="762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使用前期未确认递延所得税资产的可抵扣亏损的影响</w:t>
            </w:r>
          </w:p>
        </w:tc>
        <w:tc>
          <w:tcPr>
            <w:tcW w:w="201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-5,181,389.46</w:t>
            </w:r>
          </w:p>
        </w:tc>
      </w:tr>
      <w:tr w:rsidR="00A067C6">
        <w:trPr>
          <w:trHeight w:val="240"/>
        </w:trPr>
        <w:tc>
          <w:tcPr>
            <w:tcW w:w="762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本期未确认递延所得税资产的可抵扣暂时性差异或可抵扣亏损的影响</w:t>
            </w:r>
          </w:p>
        </w:tc>
        <w:tc>
          <w:tcPr>
            <w:tcW w:w="201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5,899,763.62</w:t>
            </w:r>
          </w:p>
        </w:tc>
      </w:tr>
      <w:tr w:rsidR="00A067C6">
        <w:trPr>
          <w:trHeight w:val="240"/>
        </w:trPr>
        <w:tc>
          <w:tcPr>
            <w:tcW w:w="762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xml:space="preserve"> </w:t>
            </w:r>
            <w:r>
              <w:rPr>
                <w:rFonts w:ascii="宋体" w:eastAsia="宋体" w:hAnsi="宋体" w:cs="宋体"/>
                <w:sz w:val="18"/>
                <w:szCs w:val="18"/>
              </w:rPr>
              <w:t>税率变动对期初递延所得税余额的影响</w:t>
            </w:r>
          </w:p>
        </w:tc>
        <w:tc>
          <w:tcPr>
            <w:tcW w:w="201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-2,408,515.40</w:t>
            </w:r>
          </w:p>
        </w:tc>
      </w:tr>
      <w:tr w:rsidR="00A067C6">
        <w:trPr>
          <w:trHeight w:val="240"/>
        </w:trPr>
        <w:tc>
          <w:tcPr>
            <w:tcW w:w="762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xml:space="preserve"> </w:t>
            </w:r>
            <w:r>
              <w:rPr>
                <w:rFonts w:ascii="宋体" w:eastAsia="宋体" w:hAnsi="宋体" w:cs="宋体"/>
                <w:sz w:val="18"/>
                <w:szCs w:val="18"/>
              </w:rPr>
              <w:t>研发费用加计扣除</w:t>
            </w:r>
          </w:p>
        </w:tc>
        <w:tc>
          <w:tcPr>
            <w:tcW w:w="201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-295,122.97</w:t>
            </w:r>
          </w:p>
        </w:tc>
      </w:tr>
      <w:tr w:rsidR="00A067C6">
        <w:trPr>
          <w:trHeight w:val="240"/>
        </w:trPr>
        <w:tc>
          <w:tcPr>
            <w:tcW w:w="762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所得税费用</w:t>
            </w:r>
          </w:p>
        </w:tc>
        <w:tc>
          <w:tcPr>
            <w:tcW w:w="201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-5,914,623.64</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ascii="宋体" w:eastAsia="宋体" w:hAnsi="宋体" w:cs="宋体" w:hint="eastAsia"/>
          <w:sz w:val="18"/>
          <w:szCs w:val="18"/>
        </w:rPr>
        <w:t>：</w:t>
      </w:r>
      <w:r>
        <w:rPr>
          <w:rFonts w:hint="eastAsia"/>
          <w:sz w:val="18"/>
          <w:szCs w:val="18"/>
        </w:rPr>
        <w:t>无。</w:t>
      </w:r>
    </w:p>
    <w:p w:rsidR="00A067C6" w:rsidRDefault="005C4966">
      <w:pPr>
        <w:pStyle w:val="3"/>
        <w:spacing w:line="280" w:lineRule="exact"/>
        <w:jc w:val="left"/>
        <w:rPr>
          <w:rFonts w:ascii="宋体" w:hAnsi="宋体" w:cs="宋体"/>
          <w:b/>
          <w:bCs/>
        </w:rPr>
      </w:pPr>
      <w:bookmarkStart w:id="345" w:name="_Toc989237"/>
      <w:r>
        <w:rPr>
          <w:rFonts w:ascii="宋体" w:hAnsi="宋体" w:cs="宋体"/>
          <w:b/>
          <w:bCs/>
        </w:rPr>
        <w:t>77</w:t>
      </w:r>
      <w:r>
        <w:rPr>
          <w:rFonts w:ascii="宋体" w:hAnsi="宋体" w:cs="宋体"/>
          <w:b/>
          <w:bCs/>
        </w:rPr>
        <w:t>、其他综合收益</w:t>
      </w:r>
      <w:bookmarkEnd w:id="345"/>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详见附注</w:t>
      </w:r>
    </w:p>
    <w:p w:rsidR="00A067C6" w:rsidRDefault="005C4966">
      <w:pPr>
        <w:pStyle w:val="3"/>
        <w:spacing w:line="280" w:lineRule="exact"/>
        <w:jc w:val="left"/>
        <w:rPr>
          <w:rFonts w:ascii="宋体" w:hAnsi="宋体" w:cs="宋体"/>
          <w:b/>
          <w:bCs/>
        </w:rPr>
      </w:pPr>
      <w:bookmarkStart w:id="346" w:name="_Toc989238"/>
      <w:r>
        <w:rPr>
          <w:rFonts w:ascii="宋体" w:hAnsi="宋体" w:cs="宋体"/>
          <w:b/>
          <w:bCs/>
        </w:rPr>
        <w:t>78</w:t>
      </w:r>
      <w:r>
        <w:rPr>
          <w:rFonts w:ascii="宋体" w:hAnsi="宋体" w:cs="宋体"/>
          <w:b/>
          <w:bCs/>
        </w:rPr>
        <w:t>、现金流量表项目</w:t>
      </w:r>
      <w:bookmarkEnd w:id="346"/>
    </w:p>
    <w:p w:rsidR="00A067C6" w:rsidRDefault="005C4966">
      <w:pPr>
        <w:keepNext/>
        <w:keepLines/>
        <w:spacing w:before="300" w:after="300" w:line="280" w:lineRule="exact"/>
        <w:outlineLvl w:val="3"/>
        <w:rPr>
          <w:rFonts w:ascii="宋体" w:eastAsia="宋体" w:hAnsi="宋体" w:cs="宋体"/>
          <w:b/>
          <w:bCs/>
          <w:szCs w:val="21"/>
        </w:rPr>
      </w:pPr>
      <w:bookmarkStart w:id="347" w:name="_Toc989239"/>
      <w:r>
        <w:rPr>
          <w:rFonts w:ascii="宋体" w:eastAsia="宋体" w:hAnsi="宋体" w:cs="宋体"/>
          <w:b/>
          <w:bCs/>
          <w:szCs w:val="21"/>
        </w:rPr>
        <w:t>（</w:t>
      </w:r>
      <w:r>
        <w:rPr>
          <w:rFonts w:ascii="宋体" w:eastAsia="宋体" w:hAnsi="宋体" w:cs="宋体"/>
          <w:b/>
          <w:bCs/>
          <w:szCs w:val="21"/>
        </w:rPr>
        <w:t>1</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收到的其他与经营活动有关的现金</w:t>
      </w:r>
      <w:bookmarkEnd w:id="347"/>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11,643,416.01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15,842,714.37</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政府补助</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143,274,729.68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200,817,309.64</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往来款及其他</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376,979,934.10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302,218,102.27</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531,898,079.79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518,878,126.28</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收到的其他与经营活动有关的现金说明：</w:t>
      </w:r>
      <w:r>
        <w:rPr>
          <w:rFonts w:hint="eastAsia"/>
          <w:sz w:val="18"/>
          <w:szCs w:val="18"/>
        </w:rPr>
        <w:t>无。</w:t>
      </w:r>
    </w:p>
    <w:p w:rsidR="00A067C6" w:rsidRDefault="005C4966">
      <w:pPr>
        <w:keepNext/>
        <w:keepLines/>
        <w:spacing w:before="300" w:after="300" w:line="280" w:lineRule="exact"/>
        <w:outlineLvl w:val="3"/>
        <w:rPr>
          <w:rFonts w:ascii="宋体" w:eastAsia="宋体" w:hAnsi="宋体" w:cs="宋体"/>
          <w:b/>
          <w:bCs/>
          <w:szCs w:val="21"/>
        </w:rPr>
      </w:pPr>
      <w:bookmarkStart w:id="348" w:name="_Toc989240"/>
      <w:r>
        <w:rPr>
          <w:rFonts w:ascii="宋体" w:eastAsia="宋体" w:hAnsi="宋体" w:cs="宋体"/>
          <w:b/>
          <w:bCs/>
          <w:szCs w:val="21"/>
        </w:rPr>
        <w:t>（</w:t>
      </w:r>
      <w:r>
        <w:rPr>
          <w:rFonts w:ascii="宋体" w:eastAsia="宋体" w:hAnsi="宋体" w:cs="宋体"/>
          <w:b/>
          <w:bCs/>
          <w:szCs w:val="21"/>
        </w:rPr>
        <w:t>2</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支付的其他与经营活动有关的现金</w:t>
      </w:r>
      <w:bookmarkEnd w:id="348"/>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费用类支出</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36,885,888.56</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140,154,341.64</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往来款及其他</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558,774,742.28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544,904,195.31</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595,660,630.84</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685,058,536.95</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支付的其他与经营活动有关的现金说明：</w:t>
      </w:r>
      <w:r>
        <w:rPr>
          <w:rFonts w:hint="eastAsia"/>
          <w:sz w:val="18"/>
          <w:szCs w:val="18"/>
        </w:rPr>
        <w:t>无。</w:t>
      </w:r>
    </w:p>
    <w:p w:rsidR="00A067C6" w:rsidRDefault="005C4966">
      <w:pPr>
        <w:keepNext/>
        <w:keepLines/>
        <w:spacing w:before="300" w:after="300" w:line="280" w:lineRule="exact"/>
        <w:outlineLvl w:val="3"/>
        <w:rPr>
          <w:rFonts w:ascii="宋体" w:eastAsia="宋体" w:hAnsi="宋体" w:cs="宋体"/>
          <w:b/>
          <w:bCs/>
          <w:szCs w:val="21"/>
        </w:rPr>
      </w:pPr>
      <w:bookmarkStart w:id="349" w:name="_Toc989241"/>
      <w:r>
        <w:rPr>
          <w:rFonts w:ascii="宋体" w:eastAsia="宋体" w:hAnsi="宋体" w:cs="宋体"/>
          <w:b/>
          <w:bCs/>
          <w:szCs w:val="21"/>
        </w:rPr>
        <w:t>（</w:t>
      </w:r>
      <w:r>
        <w:rPr>
          <w:rFonts w:ascii="宋体" w:eastAsia="宋体" w:hAnsi="宋体" w:cs="宋体"/>
          <w:b/>
          <w:bCs/>
          <w:szCs w:val="21"/>
        </w:rPr>
        <w:t>3</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收到的其他与投资活动有关的现金</w:t>
      </w:r>
      <w:bookmarkEnd w:id="349"/>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理财产品</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722,075,949.89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455,965,201.09</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期货及其他</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105,908,364.32</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263,579,076.56</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827,984,314.21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719,544,277.65</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收到的其他与投资活动有关的现金说明：</w:t>
      </w:r>
      <w:r>
        <w:rPr>
          <w:rFonts w:hint="eastAsia"/>
          <w:sz w:val="18"/>
          <w:szCs w:val="18"/>
        </w:rPr>
        <w:t>无。</w:t>
      </w:r>
    </w:p>
    <w:p w:rsidR="00A067C6" w:rsidRDefault="005C4966">
      <w:pPr>
        <w:keepNext/>
        <w:keepLines/>
        <w:spacing w:before="300" w:after="300" w:line="280" w:lineRule="exact"/>
        <w:outlineLvl w:val="3"/>
        <w:rPr>
          <w:rFonts w:ascii="宋体" w:eastAsia="宋体" w:hAnsi="宋体" w:cs="宋体"/>
          <w:b/>
          <w:bCs/>
          <w:szCs w:val="21"/>
        </w:rPr>
      </w:pPr>
      <w:bookmarkStart w:id="350" w:name="_Toc989242"/>
      <w:r>
        <w:rPr>
          <w:rFonts w:ascii="宋体" w:eastAsia="宋体" w:hAnsi="宋体" w:cs="宋体"/>
          <w:b/>
          <w:bCs/>
          <w:szCs w:val="21"/>
        </w:rPr>
        <w:t>（</w:t>
      </w:r>
      <w:r>
        <w:rPr>
          <w:rFonts w:ascii="宋体" w:eastAsia="宋体" w:hAnsi="宋体" w:cs="宋体"/>
          <w:b/>
          <w:bCs/>
          <w:szCs w:val="21"/>
        </w:rPr>
        <w:t>4</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支付的其他与投资活动有关的现金</w:t>
      </w:r>
      <w:bookmarkEnd w:id="350"/>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理财产品</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446,509,000.00</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116,938,990.54</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期货及其他</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115,591,036.98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204,337,979.12</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562,100,036.98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321,276,969.66</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支付的其他与投资活动有关的现金说明：</w:t>
      </w:r>
      <w:r>
        <w:rPr>
          <w:rFonts w:hint="eastAsia"/>
          <w:sz w:val="18"/>
          <w:szCs w:val="18"/>
        </w:rPr>
        <w:t>无。</w:t>
      </w:r>
    </w:p>
    <w:p w:rsidR="00A067C6" w:rsidRDefault="005C4966">
      <w:pPr>
        <w:keepNext/>
        <w:keepLines/>
        <w:spacing w:before="300" w:after="300" w:line="280" w:lineRule="exact"/>
        <w:outlineLvl w:val="3"/>
        <w:rPr>
          <w:rFonts w:ascii="宋体" w:eastAsia="宋体" w:hAnsi="宋体" w:cs="宋体"/>
          <w:b/>
          <w:bCs/>
          <w:szCs w:val="21"/>
        </w:rPr>
      </w:pPr>
      <w:bookmarkStart w:id="351" w:name="_Toc989243"/>
      <w:r>
        <w:rPr>
          <w:rFonts w:ascii="宋体" w:eastAsia="宋体" w:hAnsi="宋体" w:cs="宋体"/>
          <w:b/>
          <w:bCs/>
          <w:szCs w:val="21"/>
        </w:rPr>
        <w:t>（</w:t>
      </w:r>
      <w:r>
        <w:rPr>
          <w:rFonts w:ascii="宋体" w:eastAsia="宋体" w:hAnsi="宋体" w:cs="宋体"/>
          <w:b/>
          <w:bCs/>
          <w:szCs w:val="21"/>
        </w:rPr>
        <w:t>5</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收到的其他与筹资活动有关的现金</w:t>
      </w:r>
      <w:bookmarkEnd w:id="351"/>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受限的其他货币资金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166,977,948.39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195,207,287.32</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166,977,948.39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195,207,287.32</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收到的其他与筹资活动有关的现金说明：</w:t>
      </w:r>
      <w:r>
        <w:rPr>
          <w:rFonts w:hint="eastAsia"/>
          <w:sz w:val="18"/>
          <w:szCs w:val="18"/>
        </w:rPr>
        <w:t>无。</w:t>
      </w:r>
    </w:p>
    <w:p w:rsidR="00A067C6" w:rsidRDefault="005C4966">
      <w:pPr>
        <w:keepNext/>
        <w:keepLines/>
        <w:spacing w:before="300" w:after="300" w:line="280" w:lineRule="exact"/>
        <w:outlineLvl w:val="3"/>
        <w:rPr>
          <w:rFonts w:ascii="宋体" w:eastAsia="宋体" w:hAnsi="宋体" w:cs="宋体"/>
          <w:b/>
          <w:bCs/>
          <w:szCs w:val="21"/>
        </w:rPr>
      </w:pPr>
      <w:bookmarkStart w:id="352" w:name="_Toc989244"/>
      <w:r>
        <w:rPr>
          <w:rFonts w:ascii="宋体" w:eastAsia="宋体" w:hAnsi="宋体" w:cs="宋体"/>
          <w:b/>
          <w:bCs/>
          <w:szCs w:val="21"/>
        </w:rPr>
        <w:t>（</w:t>
      </w:r>
      <w:r>
        <w:rPr>
          <w:rFonts w:ascii="宋体" w:eastAsia="宋体" w:hAnsi="宋体" w:cs="宋体"/>
          <w:b/>
          <w:bCs/>
          <w:szCs w:val="21"/>
        </w:rPr>
        <w:t>6</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支付的其他与筹资活动有关的现金</w:t>
      </w:r>
      <w:bookmarkEnd w:id="352"/>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受限的其他货币资金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1,519,402,260.31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807,939,294.39</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1,519,402,260.31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807,939,294.39</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支付的其他与筹资活动有关的现金说明：</w:t>
      </w:r>
      <w:r>
        <w:rPr>
          <w:rFonts w:hint="eastAsia"/>
          <w:sz w:val="18"/>
          <w:szCs w:val="18"/>
        </w:rPr>
        <w:t>无。</w:t>
      </w:r>
    </w:p>
    <w:p w:rsidR="00A067C6" w:rsidRDefault="005C4966">
      <w:pPr>
        <w:pStyle w:val="3"/>
        <w:spacing w:line="280" w:lineRule="exact"/>
        <w:jc w:val="left"/>
        <w:rPr>
          <w:rFonts w:ascii="宋体" w:hAnsi="宋体" w:cs="宋体"/>
          <w:b/>
          <w:bCs/>
        </w:rPr>
      </w:pPr>
      <w:bookmarkStart w:id="353" w:name="_Toc989245"/>
      <w:r>
        <w:rPr>
          <w:rFonts w:ascii="宋体" w:hAnsi="宋体" w:cs="宋体"/>
          <w:b/>
          <w:bCs/>
        </w:rPr>
        <w:t>79</w:t>
      </w:r>
      <w:r>
        <w:rPr>
          <w:rFonts w:ascii="宋体" w:hAnsi="宋体" w:cs="宋体"/>
          <w:b/>
          <w:bCs/>
        </w:rPr>
        <w:t>、现金流量表补充资料</w:t>
      </w:r>
      <w:bookmarkEnd w:id="353"/>
    </w:p>
    <w:p w:rsidR="00A067C6" w:rsidRDefault="005C4966">
      <w:pPr>
        <w:keepNext/>
        <w:keepLines/>
        <w:spacing w:before="300" w:after="300" w:line="280" w:lineRule="exact"/>
        <w:outlineLvl w:val="3"/>
        <w:rPr>
          <w:rFonts w:ascii="宋体" w:eastAsia="宋体" w:hAnsi="宋体" w:cs="宋体"/>
          <w:b/>
          <w:bCs/>
          <w:szCs w:val="21"/>
        </w:rPr>
      </w:pPr>
      <w:bookmarkStart w:id="354" w:name="_Toc989246"/>
      <w:r>
        <w:rPr>
          <w:rFonts w:ascii="宋体" w:eastAsia="宋体" w:hAnsi="宋体" w:cs="宋体"/>
          <w:b/>
          <w:bCs/>
          <w:szCs w:val="21"/>
        </w:rPr>
        <w:t>（</w:t>
      </w:r>
      <w:r>
        <w:rPr>
          <w:rFonts w:ascii="宋体" w:eastAsia="宋体" w:hAnsi="宋体" w:cs="宋体"/>
          <w:b/>
          <w:bCs/>
          <w:szCs w:val="21"/>
        </w:rPr>
        <w:t>1</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现金流量表补充资料</w:t>
      </w:r>
      <w:bookmarkEnd w:id="354"/>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204"/>
        <w:gridCol w:w="1701"/>
        <w:gridCol w:w="1734"/>
      </w:tblGrid>
      <w:tr w:rsidR="00A067C6">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补充资料</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本期金额</w:t>
            </w:r>
          </w:p>
        </w:tc>
        <w:tc>
          <w:tcPr>
            <w:tcW w:w="173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上期金额</w:t>
            </w:r>
          </w:p>
        </w:tc>
      </w:tr>
      <w:tr w:rsidR="00A067C6">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．将净利润调节为经营活动现金流量：</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73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净利润</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72,290,194.15</w:t>
            </w:r>
          </w:p>
        </w:tc>
        <w:tc>
          <w:tcPr>
            <w:tcW w:w="17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301,255,164.66</w:t>
            </w:r>
          </w:p>
        </w:tc>
      </w:tr>
      <w:tr w:rsidR="00A067C6">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加：资产减值准备</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-23,594,510.49</w:t>
            </w:r>
          </w:p>
        </w:tc>
        <w:tc>
          <w:tcPr>
            <w:tcW w:w="17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422,530.07</w:t>
            </w:r>
          </w:p>
        </w:tc>
      </w:tr>
      <w:tr w:rsidR="00A067C6">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固定资产折旧、油气资产折耗、生产性生物资产折旧</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254,205,647.15</w:t>
            </w:r>
          </w:p>
        </w:tc>
        <w:tc>
          <w:tcPr>
            <w:tcW w:w="17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265,267,846.31</w:t>
            </w:r>
          </w:p>
        </w:tc>
      </w:tr>
      <w:tr w:rsidR="00A067C6">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使用权资产折旧</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4,119,683.93</w:t>
            </w:r>
          </w:p>
        </w:tc>
        <w:tc>
          <w:tcPr>
            <w:tcW w:w="17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5,112,103.03</w:t>
            </w:r>
          </w:p>
        </w:tc>
      </w:tr>
      <w:tr w:rsidR="00A067C6">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无形资产摊销</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11,289,669.09</w:t>
            </w:r>
          </w:p>
        </w:tc>
        <w:tc>
          <w:tcPr>
            <w:tcW w:w="17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12,075,767.10</w:t>
            </w:r>
          </w:p>
        </w:tc>
      </w:tr>
      <w:tr w:rsidR="00A067C6">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长期待摊费用摊销</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10,871,938.18</w:t>
            </w:r>
          </w:p>
        </w:tc>
        <w:tc>
          <w:tcPr>
            <w:tcW w:w="17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17,297,581.45</w:t>
            </w:r>
          </w:p>
        </w:tc>
      </w:tr>
      <w:tr w:rsidR="00A067C6">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处置固定资产、无形资产和其他长期资产的损失（收益以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号填列）</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-163,412.51</w:t>
            </w:r>
          </w:p>
        </w:tc>
        <w:tc>
          <w:tcPr>
            <w:tcW w:w="17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-6,491,085.07</w:t>
            </w:r>
          </w:p>
        </w:tc>
      </w:tr>
      <w:tr w:rsidR="00A067C6">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固定资产报废损失（收益以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号填列）</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19,759.79</w:t>
            </w:r>
          </w:p>
        </w:tc>
        <w:tc>
          <w:tcPr>
            <w:tcW w:w="17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2,874.69</w:t>
            </w:r>
          </w:p>
        </w:tc>
      </w:tr>
      <w:tr w:rsidR="00A067C6">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公允价值变动损失（收益以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号填列）</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-11,622,111.18</w:t>
            </w:r>
          </w:p>
        </w:tc>
        <w:tc>
          <w:tcPr>
            <w:tcW w:w="17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45,109,812.62</w:t>
            </w:r>
          </w:p>
        </w:tc>
      </w:tr>
      <w:tr w:rsidR="00A067C6">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财务费用（收益以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号填列）</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53,316,134.70</w:t>
            </w:r>
          </w:p>
        </w:tc>
        <w:tc>
          <w:tcPr>
            <w:tcW w:w="17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145,450,720.26</w:t>
            </w:r>
          </w:p>
        </w:tc>
      </w:tr>
      <w:tr w:rsidR="00A067C6">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投资损失（收益以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号填列）</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62,478,441.82</w:t>
            </w:r>
          </w:p>
        </w:tc>
        <w:tc>
          <w:tcPr>
            <w:tcW w:w="17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-18,675,476.46</w:t>
            </w:r>
          </w:p>
        </w:tc>
      </w:tr>
      <w:tr w:rsidR="00A067C6">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递延所得税资产减少（增加以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号填列）</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18,479,798.72</w:t>
            </w:r>
          </w:p>
        </w:tc>
        <w:tc>
          <w:tcPr>
            <w:tcW w:w="17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14,813,468.22</w:t>
            </w:r>
          </w:p>
        </w:tc>
      </w:tr>
      <w:tr w:rsidR="00A067C6">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递延所得税负债增加（减少以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号填列）</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-3,202,903.56</w:t>
            </w:r>
          </w:p>
        </w:tc>
        <w:tc>
          <w:tcPr>
            <w:tcW w:w="17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-1,420,795.05</w:t>
            </w:r>
          </w:p>
        </w:tc>
      </w:tr>
      <w:tr w:rsidR="00A067C6">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存货的减少（增加以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号填列）</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2,145,391,825.55</w:t>
            </w:r>
          </w:p>
        </w:tc>
        <w:tc>
          <w:tcPr>
            <w:tcW w:w="17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329,862,810.57</w:t>
            </w:r>
          </w:p>
        </w:tc>
      </w:tr>
      <w:tr w:rsidR="00A067C6">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经营性应收项目的减少（增加以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号填列）</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-973,509,665.68</w:t>
            </w:r>
          </w:p>
        </w:tc>
        <w:tc>
          <w:tcPr>
            <w:tcW w:w="17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-253,651,658.32</w:t>
            </w:r>
          </w:p>
        </w:tc>
      </w:tr>
      <w:tr w:rsidR="00A067C6">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经营性应付项目的增加（减少以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号填列）</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-50,306,946.21</w:t>
            </w:r>
          </w:p>
        </w:tc>
        <w:tc>
          <w:tcPr>
            <w:tcW w:w="17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-88,017,499.28</w:t>
            </w:r>
          </w:p>
        </w:tc>
      </w:tr>
      <w:tr w:rsidR="00A067C6">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其他</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-45,341,984.33</w:t>
            </w:r>
          </w:p>
        </w:tc>
        <w:tc>
          <w:tcPr>
            <w:tcW w:w="17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-2,977,114.29</w:t>
            </w:r>
          </w:p>
        </w:tc>
      </w:tr>
      <w:tr w:rsidR="00A067C6">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经营活动产生的现金流量净额</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1,524,721,559.12</w:t>
            </w:r>
          </w:p>
        </w:tc>
        <w:tc>
          <w:tcPr>
            <w:tcW w:w="17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765,437,050.51</w:t>
            </w:r>
          </w:p>
        </w:tc>
      </w:tr>
      <w:tr w:rsidR="00A067C6">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．不涉及现金收支的重大投资和筹资活动：</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73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债务转为资本</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一年内到期的可转换公司债券</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融资租入固定资产</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．现金及现金等价物净变动情况：</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73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现金的期末余额</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2,234,988,516.88</w:t>
            </w:r>
          </w:p>
        </w:tc>
        <w:tc>
          <w:tcPr>
            <w:tcW w:w="17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1,645,991,954.95</w:t>
            </w:r>
          </w:p>
        </w:tc>
      </w:tr>
      <w:tr w:rsidR="00A067C6">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减：现金的期初余额</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1,841,818,553.58</w:t>
            </w:r>
          </w:p>
        </w:tc>
        <w:tc>
          <w:tcPr>
            <w:tcW w:w="17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2,395,731,098.44</w:t>
            </w:r>
          </w:p>
        </w:tc>
      </w:tr>
      <w:tr w:rsidR="00A067C6">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加：现金等价物的期末余额</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减：现金等价物的期初余额</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现金及现金等价物净增加额</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393,169,963.30</w:t>
            </w:r>
          </w:p>
        </w:tc>
        <w:tc>
          <w:tcPr>
            <w:tcW w:w="17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-749,739,143.49</w:t>
            </w:r>
          </w:p>
        </w:tc>
      </w:tr>
    </w:tbl>
    <w:p w:rsidR="00A067C6" w:rsidRDefault="005C4966">
      <w:pPr>
        <w:keepNext/>
        <w:keepLines/>
        <w:spacing w:before="300" w:after="300" w:line="280" w:lineRule="exact"/>
        <w:outlineLvl w:val="3"/>
        <w:rPr>
          <w:rFonts w:ascii="宋体" w:eastAsia="宋体" w:hAnsi="宋体" w:cs="宋体"/>
          <w:b/>
          <w:bCs/>
          <w:szCs w:val="21"/>
        </w:rPr>
      </w:pPr>
      <w:bookmarkStart w:id="355" w:name="_Toc989247"/>
      <w:r>
        <w:rPr>
          <w:rFonts w:ascii="宋体" w:eastAsia="宋体" w:hAnsi="宋体" w:cs="宋体"/>
          <w:b/>
          <w:bCs/>
          <w:szCs w:val="21"/>
        </w:rPr>
        <w:t>（</w:t>
      </w:r>
      <w:r>
        <w:rPr>
          <w:rFonts w:ascii="宋体" w:eastAsia="宋体" w:hAnsi="宋体" w:cs="宋体"/>
          <w:b/>
          <w:bCs/>
          <w:szCs w:val="21"/>
        </w:rPr>
        <w:t>2</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本期支付的取得子公司的现金净额</w:t>
      </w:r>
      <w:bookmarkEnd w:id="355"/>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keepNext/>
        <w:keepLines/>
        <w:spacing w:before="300" w:after="300" w:line="280" w:lineRule="exact"/>
        <w:outlineLvl w:val="3"/>
        <w:rPr>
          <w:rFonts w:ascii="宋体" w:eastAsia="宋体" w:hAnsi="宋体" w:cs="宋体"/>
          <w:b/>
          <w:bCs/>
          <w:szCs w:val="21"/>
        </w:rPr>
      </w:pPr>
      <w:bookmarkStart w:id="356" w:name="_Toc989248"/>
      <w:r>
        <w:rPr>
          <w:rFonts w:ascii="宋体" w:eastAsia="宋体" w:hAnsi="宋体" w:cs="宋体"/>
          <w:b/>
          <w:bCs/>
          <w:szCs w:val="21"/>
        </w:rPr>
        <w:t>（</w:t>
      </w:r>
      <w:r>
        <w:rPr>
          <w:rFonts w:ascii="宋体" w:eastAsia="宋体" w:hAnsi="宋体" w:cs="宋体"/>
          <w:b/>
          <w:bCs/>
          <w:szCs w:val="21"/>
        </w:rPr>
        <w:t>3</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本期收到的处置子公司的现金净额</w:t>
      </w:r>
      <w:bookmarkEnd w:id="356"/>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A067C6">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481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本期处置子公司于本期收到的现金或现金等价物</w:t>
            </w:r>
          </w:p>
        </w:tc>
        <w:tc>
          <w:tcPr>
            <w:tcW w:w="481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22,500,000.00</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处置子公司收到的现金净额</w:t>
            </w:r>
          </w:p>
        </w:tc>
        <w:tc>
          <w:tcPr>
            <w:tcW w:w="481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22,500,000.00</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ascii="宋体" w:eastAsia="宋体" w:hAnsi="宋体" w:cs="宋体" w:hint="eastAsia"/>
          <w:sz w:val="18"/>
          <w:szCs w:val="18"/>
        </w:rPr>
        <w:t>无</w:t>
      </w:r>
    </w:p>
    <w:p w:rsidR="00A067C6" w:rsidRDefault="005C4966">
      <w:pPr>
        <w:keepNext/>
        <w:keepLines/>
        <w:spacing w:before="300" w:after="300" w:line="280" w:lineRule="exact"/>
        <w:outlineLvl w:val="3"/>
        <w:rPr>
          <w:rFonts w:ascii="宋体" w:eastAsia="宋体" w:hAnsi="宋体" w:cs="宋体"/>
          <w:b/>
          <w:bCs/>
          <w:szCs w:val="21"/>
        </w:rPr>
      </w:pPr>
      <w:bookmarkStart w:id="357" w:name="_Toc989249"/>
      <w:r>
        <w:rPr>
          <w:rFonts w:ascii="宋体" w:eastAsia="宋体" w:hAnsi="宋体" w:cs="宋体"/>
          <w:b/>
          <w:bCs/>
          <w:szCs w:val="21"/>
        </w:rPr>
        <w:t>（</w:t>
      </w:r>
      <w:r>
        <w:rPr>
          <w:rFonts w:ascii="宋体" w:eastAsia="宋体" w:hAnsi="宋体" w:cs="宋体"/>
          <w:b/>
          <w:bCs/>
          <w:szCs w:val="21"/>
        </w:rPr>
        <w:t>4</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现金和现金等价物的构成</w:t>
      </w:r>
      <w:bookmarkEnd w:id="357"/>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936"/>
        <w:gridCol w:w="2976"/>
        <w:gridCol w:w="2727"/>
      </w:tblGrid>
      <w:tr w:rsidR="00A067C6">
        <w:trPr>
          <w:trHeight w:val="240"/>
        </w:trPr>
        <w:tc>
          <w:tcPr>
            <w:tcW w:w="393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9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27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A067C6">
        <w:trPr>
          <w:trHeight w:val="240"/>
        </w:trPr>
        <w:tc>
          <w:tcPr>
            <w:tcW w:w="393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一、现金</w:t>
            </w:r>
          </w:p>
        </w:tc>
        <w:tc>
          <w:tcPr>
            <w:tcW w:w="29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2,234,988,516.88</w:t>
            </w:r>
          </w:p>
        </w:tc>
        <w:tc>
          <w:tcPr>
            <w:tcW w:w="272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1,841,818,553.58</w:t>
            </w:r>
          </w:p>
        </w:tc>
      </w:tr>
      <w:tr w:rsidR="00A067C6">
        <w:trPr>
          <w:trHeight w:val="240"/>
        </w:trPr>
        <w:tc>
          <w:tcPr>
            <w:tcW w:w="393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其中：库存现金</w:t>
            </w:r>
          </w:p>
        </w:tc>
        <w:tc>
          <w:tcPr>
            <w:tcW w:w="29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190,184.64</w:t>
            </w:r>
          </w:p>
        </w:tc>
        <w:tc>
          <w:tcPr>
            <w:tcW w:w="272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392,943.07</w:t>
            </w:r>
          </w:p>
        </w:tc>
      </w:tr>
      <w:tr w:rsidR="00A067C6">
        <w:trPr>
          <w:trHeight w:val="240"/>
        </w:trPr>
        <w:tc>
          <w:tcPr>
            <w:tcW w:w="393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可随时用于支付的银行存款</w:t>
            </w:r>
          </w:p>
        </w:tc>
        <w:tc>
          <w:tcPr>
            <w:tcW w:w="29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1,914,649,588.90</w:t>
            </w:r>
          </w:p>
        </w:tc>
        <w:tc>
          <w:tcPr>
            <w:tcW w:w="272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1,379,747,876.45</w:t>
            </w:r>
          </w:p>
        </w:tc>
      </w:tr>
      <w:tr w:rsidR="00A067C6">
        <w:trPr>
          <w:trHeight w:val="240"/>
        </w:trPr>
        <w:tc>
          <w:tcPr>
            <w:tcW w:w="393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可随时用于支付的其他货币资金</w:t>
            </w:r>
          </w:p>
        </w:tc>
        <w:tc>
          <w:tcPr>
            <w:tcW w:w="29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320,148,743.34</w:t>
            </w:r>
          </w:p>
        </w:tc>
        <w:tc>
          <w:tcPr>
            <w:tcW w:w="272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265,851,135.43</w:t>
            </w:r>
          </w:p>
        </w:tc>
      </w:tr>
      <w:tr w:rsidR="00A067C6">
        <w:trPr>
          <w:trHeight w:val="240"/>
        </w:trPr>
        <w:tc>
          <w:tcPr>
            <w:tcW w:w="393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三、期末现金及现金等价物余额</w:t>
            </w:r>
          </w:p>
        </w:tc>
        <w:tc>
          <w:tcPr>
            <w:tcW w:w="29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2,234,988,516.88</w:t>
            </w:r>
          </w:p>
        </w:tc>
        <w:tc>
          <w:tcPr>
            <w:tcW w:w="272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1,841,818,553.58</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pStyle w:val="3"/>
        <w:spacing w:line="280" w:lineRule="exact"/>
        <w:jc w:val="left"/>
        <w:rPr>
          <w:rFonts w:ascii="宋体" w:hAnsi="宋体" w:cs="宋体"/>
          <w:b/>
          <w:bCs/>
        </w:rPr>
      </w:pPr>
      <w:bookmarkStart w:id="358" w:name="_Toc989250"/>
      <w:r>
        <w:rPr>
          <w:rFonts w:ascii="宋体" w:hAnsi="宋体" w:cs="宋体"/>
          <w:b/>
          <w:bCs/>
        </w:rPr>
        <w:t>80</w:t>
      </w:r>
      <w:r>
        <w:rPr>
          <w:rFonts w:ascii="宋体" w:hAnsi="宋体" w:cs="宋体"/>
          <w:b/>
          <w:bCs/>
        </w:rPr>
        <w:t>、所有者权益变动表项目注释</w:t>
      </w:r>
      <w:bookmarkEnd w:id="358"/>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说明对上年期末余额进行调整的</w:t>
      </w:r>
      <w:r>
        <w:rPr>
          <w:rFonts w:ascii="宋体" w:eastAsia="宋体" w:hAnsi="宋体" w:cs="宋体"/>
          <w:sz w:val="18"/>
          <w:szCs w:val="18"/>
        </w:rPr>
        <w:t>“</w:t>
      </w:r>
      <w:r>
        <w:rPr>
          <w:rFonts w:ascii="宋体" w:eastAsia="宋体" w:hAnsi="宋体" w:cs="宋体"/>
          <w:sz w:val="18"/>
          <w:szCs w:val="18"/>
        </w:rPr>
        <w:t>其他</w:t>
      </w:r>
      <w:r>
        <w:rPr>
          <w:rFonts w:ascii="宋体" w:eastAsia="宋体" w:hAnsi="宋体" w:cs="宋体"/>
          <w:sz w:val="18"/>
          <w:szCs w:val="18"/>
        </w:rPr>
        <w:t>”</w:t>
      </w:r>
      <w:r>
        <w:rPr>
          <w:rFonts w:ascii="宋体" w:eastAsia="宋体" w:hAnsi="宋体" w:cs="宋体"/>
          <w:sz w:val="18"/>
          <w:szCs w:val="18"/>
        </w:rPr>
        <w:t>项目名称及调整金额等事项：</w:t>
      </w:r>
      <w:r>
        <w:rPr>
          <w:rFonts w:hint="eastAsia"/>
          <w:sz w:val="18"/>
          <w:szCs w:val="18"/>
        </w:rPr>
        <w:t>无。</w:t>
      </w:r>
    </w:p>
    <w:p w:rsidR="00A067C6" w:rsidRDefault="005C4966">
      <w:pPr>
        <w:pStyle w:val="3"/>
        <w:spacing w:line="280" w:lineRule="exact"/>
        <w:jc w:val="left"/>
        <w:rPr>
          <w:rFonts w:ascii="宋体" w:hAnsi="宋体" w:cs="宋体"/>
          <w:b/>
          <w:bCs/>
        </w:rPr>
      </w:pPr>
      <w:bookmarkStart w:id="359" w:name="_Toc989251"/>
      <w:r>
        <w:rPr>
          <w:rFonts w:ascii="宋体" w:hAnsi="宋体" w:cs="宋体"/>
          <w:b/>
          <w:bCs/>
        </w:rPr>
        <w:t>81</w:t>
      </w:r>
      <w:r>
        <w:rPr>
          <w:rFonts w:ascii="宋体" w:hAnsi="宋体" w:cs="宋体"/>
          <w:b/>
          <w:bCs/>
        </w:rPr>
        <w:t>、所有权或使用权受到限制的资产</w:t>
      </w:r>
      <w:bookmarkEnd w:id="359"/>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605"/>
        <w:gridCol w:w="2606"/>
        <w:gridCol w:w="4428"/>
      </w:tblGrid>
      <w:tr w:rsidR="00A067C6">
        <w:trPr>
          <w:trHeight w:val="240"/>
        </w:trPr>
        <w:tc>
          <w:tcPr>
            <w:tcW w:w="260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期末账面价值</w:t>
            </w:r>
          </w:p>
        </w:tc>
        <w:tc>
          <w:tcPr>
            <w:tcW w:w="44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受限原因</w:t>
            </w:r>
          </w:p>
        </w:tc>
      </w:tr>
      <w:tr w:rsidR="00A067C6">
        <w:trPr>
          <w:trHeight w:val="240"/>
        </w:trPr>
        <w:tc>
          <w:tcPr>
            <w:tcW w:w="260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货币资金</w:t>
            </w:r>
          </w:p>
        </w:tc>
        <w:tc>
          <w:tcPr>
            <w:tcW w:w="2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2,068,052,845.75</w:t>
            </w:r>
          </w:p>
        </w:tc>
        <w:tc>
          <w:tcPr>
            <w:tcW w:w="44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借款的保证金及票据保证金、冻结资金</w:t>
            </w:r>
          </w:p>
        </w:tc>
      </w:tr>
      <w:tr w:rsidR="00A067C6">
        <w:trPr>
          <w:trHeight w:val="240"/>
        </w:trPr>
        <w:tc>
          <w:tcPr>
            <w:tcW w:w="260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应收票据</w:t>
            </w:r>
          </w:p>
        </w:tc>
        <w:tc>
          <w:tcPr>
            <w:tcW w:w="2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50,631,456.32</w:t>
            </w:r>
          </w:p>
        </w:tc>
        <w:tc>
          <w:tcPr>
            <w:tcW w:w="44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应收票据质押借款</w:t>
            </w:r>
          </w:p>
        </w:tc>
      </w:tr>
      <w:tr w:rsidR="00A067C6">
        <w:trPr>
          <w:trHeight w:val="240"/>
        </w:trPr>
        <w:tc>
          <w:tcPr>
            <w:tcW w:w="260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固定资产</w:t>
            </w:r>
          </w:p>
        </w:tc>
        <w:tc>
          <w:tcPr>
            <w:tcW w:w="2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2,165,907,941.35</w:t>
            </w:r>
          </w:p>
        </w:tc>
        <w:tc>
          <w:tcPr>
            <w:tcW w:w="44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抵押贷款</w:t>
            </w:r>
          </w:p>
        </w:tc>
      </w:tr>
      <w:tr w:rsidR="00A067C6">
        <w:trPr>
          <w:trHeight w:val="240"/>
        </w:trPr>
        <w:tc>
          <w:tcPr>
            <w:tcW w:w="260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无形资产</w:t>
            </w:r>
          </w:p>
        </w:tc>
        <w:tc>
          <w:tcPr>
            <w:tcW w:w="2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360,380,768.19</w:t>
            </w:r>
          </w:p>
        </w:tc>
        <w:tc>
          <w:tcPr>
            <w:tcW w:w="44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抵押贷款</w:t>
            </w:r>
          </w:p>
        </w:tc>
      </w:tr>
      <w:tr w:rsidR="00A067C6">
        <w:trPr>
          <w:trHeight w:val="240"/>
        </w:trPr>
        <w:tc>
          <w:tcPr>
            <w:tcW w:w="2605"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4,644,973,011.61</w:t>
            </w:r>
          </w:p>
        </w:tc>
        <w:tc>
          <w:tcPr>
            <w:tcW w:w="44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pStyle w:val="3"/>
        <w:spacing w:line="280" w:lineRule="exact"/>
        <w:jc w:val="left"/>
        <w:rPr>
          <w:rFonts w:ascii="宋体" w:hAnsi="宋体" w:cs="宋体"/>
          <w:b/>
          <w:bCs/>
        </w:rPr>
      </w:pPr>
      <w:bookmarkStart w:id="360" w:name="_Toc989252"/>
      <w:r>
        <w:rPr>
          <w:rFonts w:ascii="宋体" w:hAnsi="宋体" w:cs="宋体"/>
          <w:b/>
          <w:bCs/>
        </w:rPr>
        <w:t>82</w:t>
      </w:r>
      <w:r>
        <w:rPr>
          <w:rFonts w:ascii="宋体" w:hAnsi="宋体" w:cs="宋体"/>
          <w:b/>
          <w:bCs/>
        </w:rPr>
        <w:t>、外币货币性项目</w:t>
      </w:r>
      <w:bookmarkEnd w:id="360"/>
    </w:p>
    <w:p w:rsidR="00A067C6" w:rsidRDefault="005C4966">
      <w:pPr>
        <w:keepNext/>
        <w:keepLines/>
        <w:spacing w:before="300" w:after="300" w:line="280" w:lineRule="exact"/>
        <w:outlineLvl w:val="3"/>
        <w:rPr>
          <w:rFonts w:ascii="宋体" w:eastAsia="宋体" w:hAnsi="宋体" w:cs="宋体"/>
          <w:b/>
          <w:bCs/>
          <w:szCs w:val="21"/>
        </w:rPr>
      </w:pPr>
      <w:bookmarkStart w:id="361" w:name="_Toc989253"/>
      <w:r>
        <w:rPr>
          <w:rFonts w:ascii="宋体" w:eastAsia="宋体" w:hAnsi="宋体" w:cs="宋体"/>
          <w:b/>
          <w:bCs/>
          <w:szCs w:val="21"/>
        </w:rPr>
        <w:t>（</w:t>
      </w:r>
      <w:r>
        <w:rPr>
          <w:rFonts w:ascii="宋体" w:eastAsia="宋体" w:hAnsi="宋体" w:cs="宋体"/>
          <w:b/>
          <w:bCs/>
          <w:szCs w:val="21"/>
        </w:rPr>
        <w:t>1</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外币货币性项目</w:t>
      </w:r>
      <w:bookmarkEnd w:id="361"/>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期末外币余额</w:t>
            </w:r>
          </w:p>
        </w:tc>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折算汇率</w:t>
            </w:r>
          </w:p>
        </w:tc>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期末折算人民币余额</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货币资金</w:t>
            </w:r>
          </w:p>
        </w:tc>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A067C6"/>
        </w:tc>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A067C6"/>
        </w:tc>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6,830.85</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7.22580</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49,358.35</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both"/>
              <w:rPr>
                <w:rFonts w:ascii="宋体" w:eastAsia="宋体" w:hAnsi="宋体" w:cs="宋体"/>
                <w:sz w:val="18"/>
                <w:szCs w:val="18"/>
              </w:rPr>
            </w:pPr>
            <w:r>
              <w:rPr>
                <w:rFonts w:ascii="宋体" w:eastAsia="宋体" w:hAnsi="宋体" w:cs="宋体"/>
                <w:sz w:val="18"/>
                <w:szCs w:val="18"/>
              </w:rPr>
              <w:t>欧元</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7.88000</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7.88</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both"/>
              <w:rPr>
                <w:rFonts w:ascii="宋体" w:eastAsia="宋体" w:hAnsi="宋体" w:cs="宋体"/>
                <w:sz w:val="18"/>
                <w:szCs w:val="18"/>
              </w:rPr>
            </w:pPr>
            <w:r>
              <w:rPr>
                <w:rFonts w:ascii="宋体" w:eastAsia="宋体" w:hAnsi="宋体" w:cs="宋体"/>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3,218.00</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0.92198</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2,966.93</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jc w:val="both"/>
              <w:rPr>
                <w:rFonts w:ascii="宋体" w:eastAsia="宋体" w:hAnsi="宋体" w:cs="宋体"/>
                <w:sz w:val="18"/>
                <w:szCs w:val="18"/>
              </w:rPr>
            </w:pPr>
            <w:r>
              <w:rPr>
                <w:rFonts w:ascii="宋体" w:eastAsia="宋体" w:hAnsi="宋体" w:cs="宋体"/>
                <w:sz w:val="18"/>
                <w:szCs w:val="18"/>
              </w:rPr>
              <w:t>越南盾</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32,078,337.00</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0.00031</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9,944.28</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jc w:val="both"/>
              <w:rPr>
                <w:rFonts w:ascii="宋体" w:eastAsia="宋体" w:hAnsi="宋体" w:cs="宋体"/>
                <w:sz w:val="18"/>
                <w:szCs w:val="18"/>
              </w:rPr>
            </w:pPr>
            <w:r>
              <w:rPr>
                <w:rFonts w:ascii="宋体" w:eastAsia="宋体" w:hAnsi="宋体" w:cs="宋体"/>
                <w:sz w:val="18"/>
                <w:szCs w:val="18"/>
              </w:rPr>
              <w:t>韩元</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140,970.00</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0.00550</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775.34</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jc w:val="both"/>
              <w:rPr>
                <w:rFonts w:ascii="宋体" w:eastAsia="宋体" w:hAnsi="宋体" w:cs="宋体"/>
                <w:sz w:val="18"/>
                <w:szCs w:val="18"/>
              </w:rPr>
            </w:pPr>
            <w:r>
              <w:rPr>
                <w:rFonts w:ascii="宋体" w:eastAsia="宋体" w:hAnsi="宋体" w:cs="宋体"/>
                <w:sz w:val="18"/>
                <w:szCs w:val="18"/>
              </w:rPr>
              <w:t>泰铢</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87.50</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0.20343</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17.80</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jc w:val="both"/>
              <w:rPr>
                <w:rFonts w:ascii="宋体" w:eastAsia="宋体" w:hAnsi="宋体" w:cs="宋体"/>
                <w:sz w:val="18"/>
                <w:szCs w:val="18"/>
              </w:rPr>
            </w:pPr>
            <w:r>
              <w:rPr>
                <w:rFonts w:ascii="宋体" w:eastAsia="宋体" w:hAnsi="宋体" w:cs="宋体"/>
                <w:sz w:val="18"/>
                <w:szCs w:val="18"/>
              </w:rPr>
              <w:t>印尼盾</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3,000.00</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0.00048</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1.44</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jc w:val="both"/>
              <w:rPr>
                <w:rFonts w:ascii="宋体" w:eastAsia="宋体" w:hAnsi="宋体" w:cs="宋体"/>
                <w:sz w:val="18"/>
                <w:szCs w:val="18"/>
              </w:rPr>
            </w:pPr>
            <w:r>
              <w:rPr>
                <w:rFonts w:ascii="宋体" w:eastAsia="宋体" w:hAnsi="宋体" w:cs="宋体"/>
                <w:sz w:val="18"/>
                <w:szCs w:val="18"/>
              </w:rPr>
              <w:t>埃及镑</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50.00</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0.23380</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11.69</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jc w:val="both"/>
              <w:rPr>
                <w:rFonts w:ascii="宋体" w:eastAsia="宋体" w:hAnsi="宋体" w:cs="宋体"/>
                <w:sz w:val="18"/>
                <w:szCs w:val="18"/>
              </w:rPr>
            </w:pPr>
            <w:r>
              <w:rPr>
                <w:rFonts w:ascii="宋体" w:eastAsia="宋体" w:hAnsi="宋体" w:cs="宋体"/>
                <w:sz w:val="18"/>
                <w:szCs w:val="18"/>
              </w:rPr>
              <w:t>台币</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2.00</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0.23000</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0.46</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jc w:val="both"/>
              <w:rPr>
                <w:rFonts w:ascii="宋体" w:eastAsia="宋体" w:hAnsi="宋体" w:cs="宋体"/>
                <w:sz w:val="18"/>
                <w:szCs w:val="18"/>
              </w:rPr>
            </w:pPr>
            <w:r>
              <w:rPr>
                <w:rFonts w:ascii="宋体" w:eastAsia="宋体" w:hAnsi="宋体" w:cs="宋体"/>
                <w:sz w:val="18"/>
                <w:szCs w:val="18"/>
              </w:rPr>
              <w:t>新加坡元</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24.35</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5.34415</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130.13</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both"/>
              <w:rPr>
                <w:rFonts w:ascii="宋体" w:eastAsia="宋体" w:hAnsi="宋体" w:cs="宋体"/>
                <w:sz w:val="18"/>
                <w:szCs w:val="18"/>
              </w:rPr>
            </w:pPr>
            <w:r>
              <w:rPr>
                <w:rFonts w:ascii="宋体" w:eastAsia="宋体" w:hAnsi="宋体" w:cs="宋体"/>
                <w:sz w:val="18"/>
                <w:szCs w:val="18"/>
              </w:rPr>
              <w:t>应收账款</w:t>
            </w:r>
          </w:p>
        </w:tc>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A067C6"/>
        </w:tc>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A067C6"/>
        </w:tc>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both"/>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36,126,498.66</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7.22580</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261,042,822.66</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both"/>
              <w:rPr>
                <w:rFonts w:ascii="宋体" w:eastAsia="宋体" w:hAnsi="宋体" w:cs="宋体"/>
                <w:sz w:val="18"/>
                <w:szCs w:val="18"/>
              </w:rPr>
            </w:pPr>
            <w:r>
              <w:rPr>
                <w:rFonts w:ascii="宋体" w:eastAsia="宋体" w:hAnsi="宋体" w:cs="宋体"/>
                <w:sz w:val="18"/>
                <w:szCs w:val="18"/>
              </w:rPr>
              <w:t>欧元</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both"/>
              <w:rPr>
                <w:rFonts w:ascii="宋体" w:eastAsia="宋体" w:hAnsi="宋体" w:cs="宋体"/>
                <w:sz w:val="18"/>
                <w:szCs w:val="18"/>
              </w:rPr>
            </w:pPr>
            <w:r>
              <w:rPr>
                <w:rFonts w:ascii="宋体" w:eastAsia="宋体" w:hAnsi="宋体" w:cs="宋体"/>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34,054,072.00</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0.92198</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31,397,173.30</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jc w:val="both"/>
              <w:rPr>
                <w:rFonts w:ascii="宋体" w:eastAsia="宋体" w:hAnsi="宋体" w:cs="宋体"/>
                <w:sz w:val="18"/>
                <w:szCs w:val="18"/>
              </w:rPr>
            </w:pPr>
            <w:r>
              <w:rPr>
                <w:rFonts w:ascii="宋体" w:eastAsia="宋体" w:hAnsi="宋体" w:cs="宋体"/>
                <w:sz w:val="18"/>
                <w:szCs w:val="18"/>
              </w:rPr>
              <w:t>越南盾</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1,162,358,194,000.00</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0.00031</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360,330,878.17</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both"/>
              <w:rPr>
                <w:rFonts w:ascii="宋体" w:eastAsia="宋体" w:hAnsi="宋体" w:cs="宋体"/>
                <w:sz w:val="18"/>
                <w:szCs w:val="18"/>
              </w:rPr>
            </w:pPr>
            <w:r>
              <w:rPr>
                <w:rFonts w:ascii="宋体" w:eastAsia="宋体" w:hAnsi="宋体" w:cs="宋体"/>
                <w:sz w:val="18"/>
                <w:szCs w:val="18"/>
              </w:rPr>
              <w:t>长期借款</w:t>
            </w:r>
          </w:p>
        </w:tc>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A067C6"/>
        </w:tc>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A067C6"/>
        </w:tc>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both"/>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both"/>
              <w:rPr>
                <w:rFonts w:ascii="宋体" w:eastAsia="宋体" w:hAnsi="宋体" w:cs="宋体"/>
                <w:sz w:val="18"/>
                <w:szCs w:val="18"/>
              </w:rPr>
            </w:pPr>
            <w:r>
              <w:rPr>
                <w:rFonts w:ascii="宋体" w:eastAsia="宋体" w:hAnsi="宋体" w:cs="宋体"/>
                <w:sz w:val="18"/>
                <w:szCs w:val="18"/>
              </w:rPr>
              <w:t>欧元</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both"/>
              <w:rPr>
                <w:rFonts w:ascii="宋体" w:eastAsia="宋体" w:hAnsi="宋体" w:cs="宋体"/>
                <w:sz w:val="18"/>
                <w:szCs w:val="18"/>
              </w:rPr>
            </w:pPr>
            <w:r>
              <w:rPr>
                <w:rFonts w:ascii="宋体" w:eastAsia="宋体" w:hAnsi="宋体" w:cs="宋体"/>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应收票据</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1,297,231.31</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7.22580</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9,373,532.87</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越南盾</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13,935,083,293.00</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0.00031</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4,319,873.88</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其他应收款</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100,244,610.23</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7.22580</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724,347,417.58</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662,088,150.25</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0.92198</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610,432,032.72</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越南盾</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961,114,125,397.00</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0.00031</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297,945,244.95</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应付账款</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15,038,420.33</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7.29762</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109,744,719.19</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34,054,072.00</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0.92198</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31,397,173.29</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越南盾</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229,892,634,586.00</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0.00031</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71,266,716.72</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其他应付款</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美元</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82,163,969.48</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7.27024</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597,351,462.41</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669,891,984.93</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0.92198</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617,627,012.28</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越南盾</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85,938,722,066.00</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0.00031</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26,409,395.73</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短期借款</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29,442,489.67</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7.30717</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215,141,130.04</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70,000,000.00</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0.92198</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64,538,600.01</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keepNext/>
        <w:keepLines/>
        <w:spacing w:before="300" w:after="300" w:line="280" w:lineRule="exact"/>
        <w:outlineLvl w:val="3"/>
        <w:rPr>
          <w:rFonts w:ascii="宋体" w:eastAsia="宋体" w:hAnsi="宋体" w:cs="宋体"/>
          <w:b/>
          <w:bCs/>
          <w:szCs w:val="21"/>
        </w:rPr>
      </w:pPr>
      <w:bookmarkStart w:id="362" w:name="_Toc989254"/>
      <w:r>
        <w:rPr>
          <w:rFonts w:ascii="宋体" w:eastAsia="宋体" w:hAnsi="宋体" w:cs="宋体"/>
          <w:b/>
          <w:bCs/>
          <w:szCs w:val="21"/>
        </w:rPr>
        <w:t>（</w:t>
      </w:r>
      <w:r>
        <w:rPr>
          <w:rFonts w:ascii="宋体" w:eastAsia="宋体" w:hAnsi="宋体" w:cs="宋体"/>
          <w:b/>
          <w:bCs/>
          <w:szCs w:val="21"/>
        </w:rPr>
        <w:t>2</w:t>
      </w:r>
      <w:r>
        <w:rPr>
          <w:rFonts w:ascii="宋体" w:eastAsia="宋体" w:hAnsi="宋体" w:cs="宋体"/>
          <w:b/>
          <w:bCs/>
          <w:szCs w:val="21"/>
        </w:rPr>
        <w:t>）境外经营实体说明，包括对于重要的境外经营实体，应披露其境外主要经营地、记账本位币及选择依据，记账本位币发生变化的还应披露原因。</w:t>
      </w:r>
      <w:bookmarkEnd w:id="362"/>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pStyle w:val="3"/>
        <w:spacing w:line="280" w:lineRule="exact"/>
        <w:jc w:val="left"/>
        <w:rPr>
          <w:rFonts w:ascii="宋体" w:hAnsi="宋体" w:cs="宋体"/>
          <w:b/>
          <w:bCs/>
        </w:rPr>
      </w:pPr>
      <w:bookmarkStart w:id="363" w:name="_Toc989255"/>
      <w:r>
        <w:rPr>
          <w:rFonts w:ascii="宋体" w:hAnsi="宋体" w:cs="宋体"/>
          <w:b/>
          <w:bCs/>
        </w:rPr>
        <w:t>83</w:t>
      </w:r>
      <w:r>
        <w:rPr>
          <w:rFonts w:ascii="宋体" w:hAnsi="宋体" w:cs="宋体"/>
          <w:b/>
          <w:bCs/>
        </w:rPr>
        <w:t>、套期</w:t>
      </w:r>
      <w:bookmarkEnd w:id="363"/>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按照套期类别披露套期项目及相关套期工具、被套期风险的定性和定量信息：</w:t>
      </w:r>
      <w:r>
        <w:rPr>
          <w:rFonts w:hint="eastAsia"/>
          <w:sz w:val="18"/>
          <w:szCs w:val="18"/>
        </w:rPr>
        <w:t>无。</w:t>
      </w:r>
    </w:p>
    <w:p w:rsidR="00A067C6" w:rsidRDefault="005C4966">
      <w:pPr>
        <w:pStyle w:val="3"/>
        <w:spacing w:line="280" w:lineRule="exact"/>
        <w:jc w:val="left"/>
        <w:rPr>
          <w:rFonts w:ascii="宋体" w:hAnsi="宋体" w:cs="宋体"/>
          <w:b/>
          <w:bCs/>
        </w:rPr>
      </w:pPr>
      <w:bookmarkStart w:id="364" w:name="_Toc989256"/>
      <w:r>
        <w:rPr>
          <w:rFonts w:ascii="宋体" w:hAnsi="宋体" w:cs="宋体"/>
          <w:b/>
          <w:bCs/>
        </w:rPr>
        <w:t>84</w:t>
      </w:r>
      <w:r>
        <w:rPr>
          <w:rFonts w:ascii="宋体" w:hAnsi="宋体" w:cs="宋体"/>
          <w:b/>
          <w:bCs/>
        </w:rPr>
        <w:t>、政府补助</w:t>
      </w:r>
      <w:bookmarkEnd w:id="364"/>
    </w:p>
    <w:p w:rsidR="00A067C6" w:rsidRDefault="005C4966">
      <w:pPr>
        <w:keepNext/>
        <w:keepLines/>
        <w:spacing w:before="300" w:after="300" w:line="280" w:lineRule="exact"/>
        <w:outlineLvl w:val="3"/>
        <w:rPr>
          <w:rFonts w:ascii="宋体" w:eastAsia="宋体" w:hAnsi="宋体" w:cs="宋体"/>
          <w:b/>
          <w:bCs/>
          <w:szCs w:val="21"/>
        </w:rPr>
      </w:pPr>
      <w:bookmarkStart w:id="365" w:name="_Toc989257"/>
      <w:r>
        <w:rPr>
          <w:rFonts w:ascii="宋体" w:eastAsia="宋体" w:hAnsi="宋体" w:cs="宋体"/>
          <w:b/>
          <w:bCs/>
          <w:szCs w:val="21"/>
        </w:rPr>
        <w:t>（</w:t>
      </w:r>
      <w:r>
        <w:rPr>
          <w:rFonts w:ascii="宋体" w:eastAsia="宋体" w:hAnsi="宋体" w:cs="宋体"/>
          <w:b/>
          <w:bCs/>
          <w:szCs w:val="21"/>
        </w:rPr>
        <w:t>1</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政府补助基本情况</w:t>
      </w:r>
      <w:bookmarkEnd w:id="365"/>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种类</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列报项目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计入当期损益的金额</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计入递延收益的政府补助</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3,559,800.00</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递延收益</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计入其他收益的政府补助</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73,566,623.46</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其他收益</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73,566,623.46</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冲减成本费用的政府补助</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109,348,541.45</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成本费用</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109,348,541.45</w:t>
            </w:r>
          </w:p>
        </w:tc>
      </w:tr>
    </w:tbl>
    <w:p w:rsidR="00A067C6" w:rsidRDefault="005C4966">
      <w:pPr>
        <w:keepNext/>
        <w:keepLines/>
        <w:spacing w:before="300" w:after="300" w:line="280" w:lineRule="exact"/>
        <w:outlineLvl w:val="3"/>
        <w:rPr>
          <w:rFonts w:ascii="宋体" w:eastAsia="宋体" w:hAnsi="宋体" w:cs="宋体"/>
          <w:b/>
          <w:bCs/>
          <w:szCs w:val="21"/>
        </w:rPr>
      </w:pPr>
      <w:bookmarkStart w:id="366" w:name="_Toc989258"/>
      <w:r>
        <w:rPr>
          <w:rFonts w:ascii="宋体" w:eastAsia="宋体" w:hAnsi="宋体" w:cs="宋体"/>
          <w:b/>
          <w:bCs/>
          <w:szCs w:val="21"/>
        </w:rPr>
        <w:t>（</w:t>
      </w:r>
      <w:r>
        <w:rPr>
          <w:rFonts w:ascii="宋体" w:eastAsia="宋体" w:hAnsi="宋体" w:cs="宋体"/>
          <w:b/>
          <w:bCs/>
          <w:szCs w:val="21"/>
        </w:rPr>
        <w:t>2</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政府补助退回情况</w:t>
      </w:r>
      <w:bookmarkEnd w:id="366"/>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pStyle w:val="3"/>
        <w:spacing w:line="280" w:lineRule="exact"/>
        <w:jc w:val="left"/>
        <w:rPr>
          <w:rFonts w:ascii="宋体" w:hAnsi="宋体" w:cs="宋体"/>
          <w:b/>
          <w:bCs/>
        </w:rPr>
      </w:pPr>
      <w:bookmarkStart w:id="367" w:name="_Toc989259"/>
      <w:r>
        <w:rPr>
          <w:rFonts w:ascii="宋体" w:hAnsi="宋体" w:cs="宋体"/>
          <w:b/>
          <w:bCs/>
        </w:rPr>
        <w:t>85</w:t>
      </w:r>
      <w:r>
        <w:rPr>
          <w:rFonts w:ascii="宋体" w:hAnsi="宋体" w:cs="宋体"/>
          <w:b/>
          <w:bCs/>
        </w:rPr>
        <w:t>、其他</w:t>
      </w:r>
      <w:bookmarkEnd w:id="367"/>
    </w:p>
    <w:p w:rsidR="00A067C6" w:rsidRDefault="005C4966">
      <w:pPr>
        <w:pStyle w:val="a6"/>
        <w:rPr>
          <w:sz w:val="18"/>
          <w:szCs w:val="18"/>
        </w:rPr>
      </w:pPr>
      <w:r>
        <w:rPr>
          <w:rFonts w:hint="eastAsia"/>
          <w:sz w:val="18"/>
          <w:szCs w:val="18"/>
        </w:rPr>
        <w:t>无。</w:t>
      </w:r>
    </w:p>
    <w:p w:rsidR="00A067C6" w:rsidRDefault="005C4966">
      <w:pPr>
        <w:pStyle w:val="2"/>
        <w:spacing w:before="300" w:after="300" w:line="320" w:lineRule="exact"/>
        <w:rPr>
          <w:rFonts w:ascii="宋体" w:eastAsia="宋体" w:hAnsi="宋体" w:cs="宋体"/>
          <w:b/>
          <w:bCs/>
          <w:sz w:val="24"/>
          <w:szCs w:val="24"/>
        </w:rPr>
      </w:pPr>
      <w:bookmarkStart w:id="368" w:name="_Toc989260"/>
      <w:r>
        <w:rPr>
          <w:rFonts w:ascii="宋体" w:eastAsia="宋体" w:hAnsi="宋体" w:cs="宋体"/>
          <w:b/>
          <w:bCs/>
          <w:sz w:val="24"/>
          <w:szCs w:val="24"/>
        </w:rPr>
        <w:t>八、合并范围的变更</w:t>
      </w:r>
      <w:bookmarkEnd w:id="368"/>
    </w:p>
    <w:p w:rsidR="00A067C6" w:rsidRDefault="005C4966">
      <w:pPr>
        <w:pStyle w:val="3"/>
        <w:spacing w:line="280" w:lineRule="exact"/>
        <w:jc w:val="left"/>
        <w:rPr>
          <w:rFonts w:ascii="宋体" w:hAnsi="宋体" w:cs="宋体"/>
          <w:b/>
          <w:bCs/>
        </w:rPr>
      </w:pPr>
      <w:bookmarkStart w:id="369" w:name="_Toc989261"/>
      <w:r>
        <w:rPr>
          <w:rFonts w:ascii="宋体" w:hAnsi="宋体" w:cs="宋体"/>
          <w:b/>
          <w:bCs/>
        </w:rPr>
        <w:t>1</w:t>
      </w:r>
      <w:r>
        <w:rPr>
          <w:rFonts w:ascii="宋体" w:hAnsi="宋体" w:cs="宋体"/>
          <w:b/>
          <w:bCs/>
        </w:rPr>
        <w:t>、非同一控制下企业合并</w:t>
      </w:r>
      <w:bookmarkEnd w:id="369"/>
    </w:p>
    <w:p w:rsidR="00A067C6" w:rsidRDefault="005C4966">
      <w:pPr>
        <w:keepNext/>
        <w:keepLines/>
        <w:spacing w:before="300" w:after="300" w:line="280" w:lineRule="exact"/>
        <w:outlineLvl w:val="3"/>
        <w:rPr>
          <w:rFonts w:ascii="宋体" w:eastAsia="宋体" w:hAnsi="宋体" w:cs="宋体"/>
          <w:b/>
          <w:bCs/>
          <w:sz w:val="18"/>
          <w:szCs w:val="18"/>
        </w:rPr>
      </w:pPr>
      <w:bookmarkStart w:id="370" w:name="_Toc989262"/>
      <w:r>
        <w:rPr>
          <w:rFonts w:ascii="宋体" w:eastAsia="宋体" w:hAnsi="宋体" w:cs="宋体"/>
          <w:b/>
          <w:bCs/>
          <w:sz w:val="18"/>
          <w:szCs w:val="18"/>
        </w:rPr>
        <w:t>（</w:t>
      </w:r>
      <w:r>
        <w:rPr>
          <w:rFonts w:ascii="宋体" w:eastAsia="宋体" w:hAnsi="宋体" w:cs="宋体"/>
          <w:b/>
          <w:bCs/>
          <w:sz w:val="18"/>
          <w:szCs w:val="18"/>
        </w:rPr>
        <w:t>1</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本期发生的非同一控制下企业合并</w:t>
      </w:r>
      <w:bookmarkEnd w:id="370"/>
    </w:p>
    <w:p w:rsidR="00A067C6" w:rsidRDefault="005C4966">
      <w:pPr>
        <w:keepNext/>
        <w:keepLines/>
        <w:spacing w:before="300" w:after="300" w:line="280" w:lineRule="exact"/>
        <w:outlineLvl w:val="3"/>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keepNext/>
        <w:keepLines/>
        <w:spacing w:before="300" w:after="300" w:line="280" w:lineRule="exact"/>
        <w:outlineLvl w:val="3"/>
        <w:rPr>
          <w:rFonts w:ascii="宋体" w:eastAsia="宋体" w:hAnsi="宋体" w:cs="宋体"/>
          <w:b/>
          <w:bCs/>
          <w:sz w:val="18"/>
          <w:szCs w:val="18"/>
        </w:rPr>
      </w:pPr>
      <w:bookmarkStart w:id="371" w:name="_Toc989263"/>
      <w:r>
        <w:rPr>
          <w:rFonts w:ascii="宋体" w:eastAsia="宋体" w:hAnsi="宋体" w:cs="宋体"/>
          <w:b/>
          <w:bCs/>
          <w:sz w:val="18"/>
          <w:szCs w:val="18"/>
        </w:rPr>
        <w:t>（</w:t>
      </w:r>
      <w:r>
        <w:rPr>
          <w:rFonts w:ascii="宋体" w:eastAsia="宋体" w:hAnsi="宋体" w:cs="宋体"/>
          <w:b/>
          <w:bCs/>
          <w:sz w:val="18"/>
          <w:szCs w:val="18"/>
        </w:rPr>
        <w:t>2</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合并成本及商誉</w:t>
      </w:r>
      <w:bookmarkEnd w:id="371"/>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合并成本公允价值的确定方法、或有对价及其变动的说明：</w:t>
      </w:r>
      <w:r>
        <w:rPr>
          <w:rFonts w:hint="eastAsia"/>
          <w:sz w:val="18"/>
          <w:szCs w:val="18"/>
        </w:rPr>
        <w:t>无。</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大额商誉形成的主要原因：</w:t>
      </w:r>
      <w:r>
        <w:rPr>
          <w:rFonts w:hint="eastAsia"/>
          <w:sz w:val="18"/>
          <w:szCs w:val="18"/>
        </w:rPr>
        <w:t>无。</w:t>
      </w:r>
    </w:p>
    <w:p w:rsidR="00A067C6" w:rsidRDefault="005C4966">
      <w:pPr>
        <w:keepNext/>
        <w:keepLines/>
        <w:spacing w:before="300" w:after="300" w:line="280" w:lineRule="exact"/>
        <w:outlineLvl w:val="3"/>
        <w:rPr>
          <w:rFonts w:ascii="宋体" w:eastAsia="宋体" w:hAnsi="宋体" w:cs="宋体"/>
          <w:b/>
          <w:bCs/>
          <w:sz w:val="18"/>
          <w:szCs w:val="18"/>
        </w:rPr>
      </w:pPr>
      <w:bookmarkStart w:id="372" w:name="_Toc989264"/>
      <w:r>
        <w:rPr>
          <w:rFonts w:ascii="宋体" w:eastAsia="宋体" w:hAnsi="宋体" w:cs="宋体"/>
          <w:b/>
          <w:bCs/>
          <w:sz w:val="18"/>
          <w:szCs w:val="18"/>
        </w:rPr>
        <w:t>（</w:t>
      </w:r>
      <w:r>
        <w:rPr>
          <w:rFonts w:ascii="宋体" w:eastAsia="宋体" w:hAnsi="宋体" w:cs="宋体"/>
          <w:b/>
          <w:bCs/>
          <w:sz w:val="18"/>
          <w:szCs w:val="18"/>
        </w:rPr>
        <w:t>3</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被购买方于购买日可辨认资产、负债</w:t>
      </w:r>
      <w:bookmarkEnd w:id="372"/>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可辨认资产、负债公允价值的确定方法：</w:t>
      </w:r>
      <w:r>
        <w:rPr>
          <w:rFonts w:hint="eastAsia"/>
          <w:sz w:val="18"/>
          <w:szCs w:val="18"/>
        </w:rPr>
        <w:t>无。</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企业合并中承担的被购买方的或有负债：</w:t>
      </w:r>
      <w:r>
        <w:rPr>
          <w:rFonts w:hint="eastAsia"/>
          <w:sz w:val="18"/>
          <w:szCs w:val="18"/>
        </w:rPr>
        <w:t>无。</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keepNext/>
        <w:keepLines/>
        <w:spacing w:before="300" w:after="300" w:line="280" w:lineRule="exact"/>
        <w:outlineLvl w:val="3"/>
        <w:rPr>
          <w:rFonts w:ascii="宋体" w:eastAsia="宋体" w:hAnsi="宋体" w:cs="宋体"/>
          <w:b/>
          <w:bCs/>
          <w:sz w:val="18"/>
          <w:szCs w:val="18"/>
        </w:rPr>
      </w:pPr>
      <w:bookmarkStart w:id="373" w:name="_Toc989265"/>
      <w:r>
        <w:rPr>
          <w:rFonts w:ascii="宋体" w:eastAsia="宋体" w:hAnsi="宋体" w:cs="宋体"/>
          <w:b/>
          <w:bCs/>
          <w:sz w:val="18"/>
          <w:szCs w:val="18"/>
        </w:rPr>
        <w:t>（</w:t>
      </w:r>
      <w:r>
        <w:rPr>
          <w:rFonts w:ascii="宋体" w:eastAsia="宋体" w:hAnsi="宋体" w:cs="宋体"/>
          <w:b/>
          <w:bCs/>
          <w:sz w:val="18"/>
          <w:szCs w:val="18"/>
        </w:rPr>
        <w:t>4</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购买日之前持有的股权按照公允价值重新计量产生的利得或损失</w:t>
      </w:r>
      <w:bookmarkEnd w:id="373"/>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是否存在通过多次交易分步实现企业合并且在报告期内取得控制权的交易</w:t>
      </w:r>
    </w:p>
    <w:p w:rsidR="00A067C6" w:rsidRDefault="005C4966">
      <w:pPr>
        <w:spacing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是</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否</w:t>
      </w:r>
    </w:p>
    <w:p w:rsidR="00A067C6" w:rsidRDefault="005C4966">
      <w:pPr>
        <w:keepNext/>
        <w:keepLines/>
        <w:spacing w:before="300" w:after="300" w:line="280" w:lineRule="exact"/>
        <w:outlineLvl w:val="3"/>
        <w:rPr>
          <w:rFonts w:ascii="宋体" w:eastAsia="宋体" w:hAnsi="宋体" w:cs="宋体"/>
          <w:b/>
          <w:bCs/>
          <w:sz w:val="18"/>
          <w:szCs w:val="18"/>
        </w:rPr>
      </w:pPr>
      <w:bookmarkStart w:id="374" w:name="_Toc989266"/>
      <w:r>
        <w:rPr>
          <w:rFonts w:ascii="宋体" w:eastAsia="宋体" w:hAnsi="宋体" w:cs="宋体"/>
          <w:b/>
          <w:bCs/>
          <w:sz w:val="18"/>
          <w:szCs w:val="18"/>
        </w:rPr>
        <w:t>（</w:t>
      </w:r>
      <w:r>
        <w:rPr>
          <w:rFonts w:ascii="宋体" w:eastAsia="宋体" w:hAnsi="宋体" w:cs="宋体"/>
          <w:b/>
          <w:bCs/>
          <w:sz w:val="18"/>
          <w:szCs w:val="18"/>
        </w:rPr>
        <w:t>5</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购买日或合并当期期末无法合理确定合并对价或被购买方可辨认资产、负债公允价值的相关说明</w:t>
      </w:r>
      <w:bookmarkEnd w:id="374"/>
    </w:p>
    <w:p w:rsidR="00A067C6" w:rsidRDefault="005C4966">
      <w:pPr>
        <w:pStyle w:val="a6"/>
        <w:rPr>
          <w:sz w:val="18"/>
          <w:szCs w:val="18"/>
        </w:rPr>
      </w:pPr>
      <w:r>
        <w:rPr>
          <w:rFonts w:hint="eastAsia"/>
          <w:sz w:val="18"/>
          <w:szCs w:val="18"/>
        </w:rPr>
        <w:t>无。</w:t>
      </w:r>
    </w:p>
    <w:p w:rsidR="00A067C6" w:rsidRDefault="005C4966">
      <w:pPr>
        <w:keepNext/>
        <w:keepLines/>
        <w:spacing w:before="300" w:after="300" w:line="280" w:lineRule="exact"/>
        <w:outlineLvl w:val="3"/>
        <w:rPr>
          <w:rFonts w:ascii="宋体" w:eastAsia="宋体" w:hAnsi="宋体" w:cs="宋体"/>
          <w:b/>
          <w:bCs/>
          <w:sz w:val="18"/>
          <w:szCs w:val="18"/>
        </w:rPr>
      </w:pPr>
      <w:bookmarkStart w:id="375" w:name="_Toc989267"/>
      <w:r>
        <w:rPr>
          <w:rFonts w:ascii="宋体" w:eastAsia="宋体" w:hAnsi="宋体" w:cs="宋体"/>
          <w:b/>
          <w:bCs/>
          <w:sz w:val="18"/>
          <w:szCs w:val="18"/>
        </w:rPr>
        <w:t>（</w:t>
      </w:r>
      <w:r>
        <w:rPr>
          <w:rFonts w:ascii="宋体" w:eastAsia="宋体" w:hAnsi="宋体" w:cs="宋体"/>
          <w:b/>
          <w:bCs/>
          <w:sz w:val="18"/>
          <w:szCs w:val="18"/>
        </w:rPr>
        <w:t>6</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其他说明</w:t>
      </w:r>
      <w:bookmarkEnd w:id="375"/>
    </w:p>
    <w:p w:rsidR="00A067C6" w:rsidRDefault="005C4966">
      <w:pPr>
        <w:pStyle w:val="a6"/>
        <w:rPr>
          <w:sz w:val="18"/>
          <w:szCs w:val="18"/>
        </w:rPr>
      </w:pPr>
      <w:r>
        <w:rPr>
          <w:rFonts w:hint="eastAsia"/>
          <w:sz w:val="18"/>
          <w:szCs w:val="18"/>
        </w:rPr>
        <w:t>无。</w:t>
      </w:r>
    </w:p>
    <w:p w:rsidR="00A067C6" w:rsidRDefault="005C4966">
      <w:pPr>
        <w:pStyle w:val="3"/>
        <w:spacing w:line="280" w:lineRule="exact"/>
        <w:jc w:val="left"/>
        <w:rPr>
          <w:rFonts w:ascii="宋体" w:hAnsi="宋体" w:cs="宋体"/>
          <w:b/>
          <w:bCs/>
        </w:rPr>
      </w:pPr>
      <w:bookmarkStart w:id="376" w:name="_Toc989268"/>
      <w:r>
        <w:rPr>
          <w:rFonts w:ascii="宋体" w:hAnsi="宋体" w:cs="宋体"/>
          <w:b/>
          <w:bCs/>
        </w:rPr>
        <w:t>2</w:t>
      </w:r>
      <w:r>
        <w:rPr>
          <w:rFonts w:ascii="宋体" w:hAnsi="宋体" w:cs="宋体"/>
          <w:b/>
          <w:bCs/>
        </w:rPr>
        <w:t>、同一控制下企业合并</w:t>
      </w:r>
      <w:bookmarkEnd w:id="376"/>
    </w:p>
    <w:p w:rsidR="00A067C6" w:rsidRDefault="005C4966">
      <w:pPr>
        <w:keepNext/>
        <w:keepLines/>
        <w:spacing w:before="300" w:after="300" w:line="280" w:lineRule="exact"/>
        <w:outlineLvl w:val="3"/>
        <w:rPr>
          <w:rFonts w:ascii="宋体" w:eastAsia="宋体" w:hAnsi="宋体" w:cs="宋体"/>
          <w:b/>
          <w:bCs/>
          <w:sz w:val="18"/>
          <w:szCs w:val="18"/>
        </w:rPr>
      </w:pPr>
      <w:bookmarkStart w:id="377" w:name="_Toc989269"/>
      <w:r>
        <w:rPr>
          <w:rFonts w:ascii="宋体" w:eastAsia="宋体" w:hAnsi="宋体" w:cs="宋体"/>
          <w:b/>
          <w:bCs/>
          <w:sz w:val="18"/>
          <w:szCs w:val="18"/>
        </w:rPr>
        <w:t>（</w:t>
      </w:r>
      <w:r>
        <w:rPr>
          <w:rFonts w:ascii="宋体" w:eastAsia="宋体" w:hAnsi="宋体" w:cs="宋体"/>
          <w:b/>
          <w:bCs/>
          <w:sz w:val="18"/>
          <w:szCs w:val="18"/>
        </w:rPr>
        <w:t>1</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本期发生的同一控制下企业合并</w:t>
      </w:r>
      <w:bookmarkEnd w:id="377"/>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keepNext/>
        <w:keepLines/>
        <w:spacing w:before="300" w:after="300" w:line="280" w:lineRule="exact"/>
        <w:outlineLvl w:val="3"/>
        <w:rPr>
          <w:rFonts w:ascii="宋体" w:eastAsia="宋体" w:hAnsi="宋体" w:cs="宋体"/>
          <w:b/>
          <w:bCs/>
          <w:sz w:val="18"/>
          <w:szCs w:val="18"/>
        </w:rPr>
      </w:pPr>
      <w:bookmarkStart w:id="378" w:name="_Toc989270"/>
      <w:r>
        <w:rPr>
          <w:rFonts w:ascii="宋体" w:eastAsia="宋体" w:hAnsi="宋体" w:cs="宋体"/>
          <w:b/>
          <w:bCs/>
          <w:sz w:val="18"/>
          <w:szCs w:val="18"/>
        </w:rPr>
        <w:t>（</w:t>
      </w:r>
      <w:r>
        <w:rPr>
          <w:rFonts w:ascii="宋体" w:eastAsia="宋体" w:hAnsi="宋体" w:cs="宋体"/>
          <w:b/>
          <w:bCs/>
          <w:sz w:val="18"/>
          <w:szCs w:val="18"/>
        </w:rPr>
        <w:t>2</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合并成本</w:t>
      </w:r>
      <w:bookmarkEnd w:id="378"/>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或有对价及其变动的说明：</w:t>
      </w:r>
      <w:r>
        <w:rPr>
          <w:rFonts w:hint="eastAsia"/>
          <w:sz w:val="18"/>
          <w:szCs w:val="18"/>
        </w:rPr>
        <w:t>无。</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keepNext/>
        <w:keepLines/>
        <w:spacing w:before="300" w:after="300" w:line="280" w:lineRule="exact"/>
        <w:outlineLvl w:val="3"/>
        <w:rPr>
          <w:rFonts w:ascii="宋体" w:eastAsia="宋体" w:hAnsi="宋体" w:cs="宋体"/>
          <w:b/>
          <w:bCs/>
          <w:sz w:val="18"/>
          <w:szCs w:val="18"/>
        </w:rPr>
      </w:pPr>
      <w:bookmarkStart w:id="379" w:name="_Toc989271"/>
      <w:r>
        <w:rPr>
          <w:rFonts w:ascii="宋体" w:eastAsia="宋体" w:hAnsi="宋体" w:cs="宋体"/>
          <w:b/>
          <w:bCs/>
          <w:sz w:val="18"/>
          <w:szCs w:val="18"/>
        </w:rPr>
        <w:t>（</w:t>
      </w:r>
      <w:r>
        <w:rPr>
          <w:rFonts w:ascii="宋体" w:eastAsia="宋体" w:hAnsi="宋体" w:cs="宋体"/>
          <w:b/>
          <w:bCs/>
          <w:sz w:val="18"/>
          <w:szCs w:val="18"/>
        </w:rPr>
        <w:t>3</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合并日被合并方资产、负债的账面价值</w:t>
      </w:r>
      <w:bookmarkEnd w:id="379"/>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企业合并中承担的被合并方的或有负债：</w:t>
      </w:r>
      <w:r>
        <w:rPr>
          <w:rFonts w:hint="eastAsia"/>
          <w:sz w:val="18"/>
          <w:szCs w:val="18"/>
        </w:rPr>
        <w:t>无。</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pStyle w:val="3"/>
        <w:spacing w:line="280" w:lineRule="exact"/>
        <w:jc w:val="left"/>
        <w:rPr>
          <w:rFonts w:ascii="宋体" w:hAnsi="宋体" w:cs="宋体"/>
          <w:b/>
          <w:bCs/>
        </w:rPr>
      </w:pPr>
      <w:bookmarkStart w:id="380" w:name="_Toc989272"/>
      <w:r>
        <w:rPr>
          <w:rFonts w:ascii="宋体" w:hAnsi="宋体" w:cs="宋体"/>
          <w:b/>
          <w:bCs/>
        </w:rPr>
        <w:t>3</w:t>
      </w:r>
      <w:r>
        <w:rPr>
          <w:rFonts w:ascii="宋体" w:hAnsi="宋体" w:cs="宋体"/>
          <w:b/>
          <w:bCs/>
        </w:rPr>
        <w:t>、反向购买</w:t>
      </w:r>
      <w:bookmarkEnd w:id="380"/>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交易基本信息、交易构成反向购买的依据、上市公司保留的资产、负债是否构成业务及其依据、合并成本的确定、按照权益性交易处理时调整权益的金额及其计算：</w:t>
      </w:r>
      <w:r>
        <w:rPr>
          <w:rFonts w:ascii="宋体" w:eastAsia="宋体" w:hAnsi="宋体" w:cs="宋体" w:hint="eastAsia"/>
          <w:sz w:val="18"/>
          <w:szCs w:val="18"/>
        </w:rPr>
        <w:t>无</w:t>
      </w:r>
    </w:p>
    <w:p w:rsidR="00A067C6" w:rsidRDefault="005C4966">
      <w:pPr>
        <w:pStyle w:val="3"/>
        <w:spacing w:line="280" w:lineRule="exact"/>
        <w:jc w:val="left"/>
        <w:rPr>
          <w:rFonts w:ascii="宋体" w:hAnsi="宋体" w:cs="宋体"/>
          <w:b/>
          <w:bCs/>
        </w:rPr>
      </w:pPr>
      <w:bookmarkStart w:id="381" w:name="_Toc989273"/>
      <w:r>
        <w:rPr>
          <w:rFonts w:ascii="宋体" w:hAnsi="宋体" w:cs="宋体"/>
          <w:b/>
          <w:bCs/>
        </w:rPr>
        <w:t>4</w:t>
      </w:r>
      <w:r>
        <w:rPr>
          <w:rFonts w:ascii="宋体" w:hAnsi="宋体" w:cs="宋体"/>
          <w:b/>
          <w:bCs/>
        </w:rPr>
        <w:t>、处置子公司</w:t>
      </w:r>
      <w:bookmarkEnd w:id="381"/>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是否存在单次处置对子公司投资即丧失控制权的情形</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w:t>
      </w:r>
      <w:r>
        <w:rPr>
          <w:rFonts w:ascii="宋体" w:eastAsia="宋体" w:hAnsi="宋体" w:cs="宋体"/>
          <w:sz w:val="18"/>
          <w:szCs w:val="18"/>
        </w:rPr>
        <w:t xml:space="preserve"> □</w:t>
      </w:r>
      <w:r>
        <w:rPr>
          <w:rFonts w:ascii="宋体" w:eastAsia="宋体" w:hAnsi="宋体" w:cs="宋体"/>
          <w:sz w:val="18"/>
          <w:szCs w:val="18"/>
        </w:rPr>
        <w:t>否</w:t>
      </w:r>
    </w:p>
    <w:p w:rsidR="00A067C6" w:rsidRDefault="005C4966">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42"/>
        <w:gridCol w:w="742"/>
        <w:gridCol w:w="742"/>
        <w:gridCol w:w="742"/>
        <w:gridCol w:w="742"/>
        <w:gridCol w:w="742"/>
        <w:gridCol w:w="741"/>
        <w:gridCol w:w="741"/>
        <w:gridCol w:w="741"/>
        <w:gridCol w:w="741"/>
        <w:gridCol w:w="741"/>
        <w:gridCol w:w="741"/>
        <w:gridCol w:w="741"/>
      </w:tblGrid>
      <w:tr w:rsidR="00A067C6">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子公司名称</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股权处置价款</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股权处置比例</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股权处置方式</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丧失控制权的时点</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丧失控制权时点的确定依据</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处置价款与处置投资对应的合并财务报表层面享有该子公司净资产份额的差额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丧失控制权之日剩余股权的比例</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丧失控制权之日剩余股权的账面价值</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丧失控制权之日剩余股权的公允价值</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按照公允价值重新计量剩余股权产生的利得或损失</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丧失控制权之日剩余股权公允价值的确定方法及主要假设</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与原子公司股权投资相关的其他综合收益转入投资损益的金额</w:t>
            </w:r>
          </w:p>
        </w:tc>
      </w:tr>
      <w:tr w:rsidR="00A067C6">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呼图壁县宏盛棉业有限公司</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转让</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05</w:t>
            </w:r>
            <w:r>
              <w:rPr>
                <w:rFonts w:ascii="宋体" w:eastAsia="宋体" w:hAnsi="宋体" w:cs="宋体"/>
                <w:sz w:val="18"/>
                <w:szCs w:val="18"/>
              </w:rPr>
              <w:t>月</w:t>
            </w:r>
            <w:r>
              <w:rPr>
                <w:rFonts w:ascii="宋体" w:eastAsia="宋体" w:hAnsi="宋体" w:cs="宋体"/>
                <w:sz w:val="18"/>
                <w:szCs w:val="18"/>
              </w:rPr>
              <w:t>10</w:t>
            </w:r>
            <w:r>
              <w:rPr>
                <w:rFonts w:ascii="宋体" w:eastAsia="宋体" w:hAnsi="宋体" w:cs="宋体"/>
                <w:sz w:val="18"/>
                <w:szCs w:val="18"/>
              </w:rPr>
              <w:t>日</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合同约定交割日</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是否存在通过多次交易分步处置对子公司投资且在本期丧失控制权的情形</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是</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否</w:t>
      </w:r>
    </w:p>
    <w:p w:rsidR="00A067C6" w:rsidRDefault="005C4966">
      <w:pPr>
        <w:pStyle w:val="3"/>
        <w:spacing w:line="280" w:lineRule="exact"/>
        <w:jc w:val="left"/>
        <w:rPr>
          <w:rFonts w:ascii="宋体" w:hAnsi="宋体" w:cs="宋体"/>
          <w:b/>
          <w:bCs/>
        </w:rPr>
      </w:pPr>
      <w:bookmarkStart w:id="382" w:name="_Toc989274"/>
      <w:r>
        <w:rPr>
          <w:rFonts w:ascii="宋体" w:hAnsi="宋体" w:cs="宋体"/>
          <w:b/>
          <w:bCs/>
        </w:rPr>
        <w:t>5</w:t>
      </w:r>
      <w:r>
        <w:rPr>
          <w:rFonts w:ascii="宋体" w:hAnsi="宋体" w:cs="宋体"/>
          <w:b/>
          <w:bCs/>
        </w:rPr>
        <w:t>、其他原因的合并范围变动</w:t>
      </w:r>
      <w:bookmarkEnd w:id="382"/>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说明其他原因导致的合并范围变动（如，新设子公司、清算子公司等）及其相关情况：</w:t>
      </w:r>
    </w:p>
    <w:tbl>
      <w:tblPr>
        <w:tblW w:w="9580" w:type="dxa"/>
        <w:tblCellMar>
          <w:left w:w="0" w:type="dxa"/>
          <w:right w:w="0" w:type="dxa"/>
        </w:tblCellMar>
        <w:tblLook w:val="04A0" w:firstRow="1" w:lastRow="0" w:firstColumn="1" w:lastColumn="0" w:noHBand="0" w:noVBand="1"/>
      </w:tblPr>
      <w:tblGrid>
        <w:gridCol w:w="4405"/>
        <w:gridCol w:w="5175"/>
      </w:tblGrid>
      <w:tr w:rsidR="00A067C6">
        <w:trPr>
          <w:trHeight w:val="695"/>
        </w:trPr>
        <w:tc>
          <w:tcPr>
            <w:tcW w:w="4405" w:type="dxa"/>
            <w:tcBorders>
              <w:top w:val="single" w:sz="8" w:space="0" w:color="auto"/>
              <w:left w:val="single" w:sz="8" w:space="0" w:color="auto"/>
              <w:bottom w:val="single" w:sz="8" w:space="0" w:color="auto"/>
              <w:right w:val="single" w:sz="8" w:space="0" w:color="auto"/>
            </w:tcBorders>
            <w:shd w:val="clear" w:color="auto" w:fill="D9D9D9"/>
            <w:vAlign w:val="center"/>
          </w:tcPr>
          <w:p w:rsidR="00A067C6" w:rsidRDefault="005C4966">
            <w:pPr>
              <w:jc w:val="center"/>
              <w:rPr>
                <w:rFonts w:ascii="宋体" w:eastAsia="宋体" w:hAnsi="宋体" w:cs="宋体"/>
                <w:sz w:val="18"/>
                <w:szCs w:val="18"/>
              </w:rPr>
            </w:pPr>
            <w:r>
              <w:rPr>
                <w:rFonts w:hint="eastAsia"/>
                <w:sz w:val="18"/>
                <w:szCs w:val="18"/>
              </w:rPr>
              <w:t>公司名称</w:t>
            </w:r>
          </w:p>
        </w:tc>
        <w:tc>
          <w:tcPr>
            <w:tcW w:w="5175" w:type="dxa"/>
            <w:tcBorders>
              <w:top w:val="single" w:sz="8" w:space="0" w:color="auto"/>
              <w:left w:val="nil"/>
              <w:bottom w:val="single" w:sz="8" w:space="0" w:color="auto"/>
              <w:right w:val="single" w:sz="8" w:space="0" w:color="auto"/>
            </w:tcBorders>
            <w:shd w:val="clear" w:color="auto" w:fill="D3D3D3"/>
            <w:vAlign w:val="center"/>
          </w:tcPr>
          <w:p w:rsidR="00A067C6" w:rsidRDefault="005C4966">
            <w:pPr>
              <w:jc w:val="center"/>
              <w:rPr>
                <w:rFonts w:ascii="宋体" w:eastAsia="宋体" w:hAnsi="宋体" w:cs="宋体"/>
                <w:sz w:val="18"/>
                <w:szCs w:val="18"/>
              </w:rPr>
            </w:pPr>
            <w:r>
              <w:rPr>
                <w:rFonts w:hint="eastAsia"/>
                <w:sz w:val="18"/>
                <w:szCs w:val="18"/>
              </w:rPr>
              <w:t>其他原因导致子公司变动</w:t>
            </w:r>
          </w:p>
        </w:tc>
      </w:tr>
      <w:tr w:rsidR="00A067C6">
        <w:trPr>
          <w:trHeight w:val="287"/>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A067C6" w:rsidRDefault="005C4966">
            <w:pPr>
              <w:rPr>
                <w:rFonts w:ascii="宋体" w:eastAsia="宋体" w:hAnsi="宋体" w:cs="宋体"/>
                <w:sz w:val="20"/>
                <w:szCs w:val="20"/>
              </w:rPr>
            </w:pPr>
            <w:r>
              <w:rPr>
                <w:rFonts w:hint="eastAsia"/>
                <w:sz w:val="20"/>
                <w:szCs w:val="20"/>
              </w:rPr>
              <w:t>浙江果实设计有限公司</w:t>
            </w:r>
          </w:p>
        </w:tc>
        <w:tc>
          <w:tcPr>
            <w:tcW w:w="5175" w:type="dxa"/>
            <w:tcBorders>
              <w:top w:val="nil"/>
              <w:left w:val="nil"/>
              <w:bottom w:val="single" w:sz="8" w:space="0" w:color="auto"/>
              <w:right w:val="single" w:sz="8" w:space="0" w:color="auto"/>
            </w:tcBorders>
            <w:shd w:val="clear" w:color="auto" w:fill="FFFFFF"/>
            <w:vAlign w:val="center"/>
          </w:tcPr>
          <w:p w:rsidR="00A067C6" w:rsidRDefault="005C4966">
            <w:pPr>
              <w:rPr>
                <w:rFonts w:ascii="宋体" w:eastAsia="宋体" w:hAnsi="宋体" w:cs="宋体"/>
                <w:sz w:val="20"/>
                <w:szCs w:val="20"/>
              </w:rPr>
            </w:pPr>
            <w:r>
              <w:rPr>
                <w:rFonts w:hint="eastAsia"/>
                <w:sz w:val="20"/>
                <w:szCs w:val="20"/>
              </w:rPr>
              <w:t>新设</w:t>
            </w:r>
          </w:p>
        </w:tc>
      </w:tr>
      <w:tr w:rsidR="00A067C6">
        <w:trPr>
          <w:trHeight w:val="287"/>
        </w:trPr>
        <w:tc>
          <w:tcPr>
            <w:tcW w:w="4405" w:type="dxa"/>
            <w:tcBorders>
              <w:top w:val="nil"/>
              <w:left w:val="single" w:sz="8" w:space="0" w:color="auto"/>
              <w:bottom w:val="single" w:sz="8" w:space="0" w:color="auto"/>
              <w:right w:val="single" w:sz="8" w:space="0" w:color="auto"/>
            </w:tcBorders>
            <w:shd w:val="clear" w:color="auto" w:fill="FFFFFF"/>
            <w:vAlign w:val="center"/>
          </w:tcPr>
          <w:p w:rsidR="00A067C6" w:rsidRDefault="005C4966">
            <w:pPr>
              <w:rPr>
                <w:rFonts w:ascii="宋体" w:eastAsia="宋体" w:hAnsi="宋体" w:cs="宋体"/>
                <w:sz w:val="20"/>
                <w:szCs w:val="20"/>
              </w:rPr>
            </w:pPr>
            <w:r>
              <w:rPr>
                <w:rFonts w:hint="eastAsia"/>
                <w:sz w:val="20"/>
                <w:szCs w:val="20"/>
              </w:rPr>
              <w:t>浙江其实科技有限公司</w:t>
            </w:r>
          </w:p>
        </w:tc>
        <w:tc>
          <w:tcPr>
            <w:tcW w:w="5175" w:type="dxa"/>
            <w:tcBorders>
              <w:top w:val="nil"/>
              <w:left w:val="nil"/>
              <w:bottom w:val="single" w:sz="8" w:space="0" w:color="auto"/>
              <w:right w:val="single" w:sz="8" w:space="0" w:color="auto"/>
            </w:tcBorders>
            <w:shd w:val="clear" w:color="auto" w:fill="FFFFFF"/>
            <w:vAlign w:val="center"/>
          </w:tcPr>
          <w:p w:rsidR="00A067C6" w:rsidRDefault="005C4966">
            <w:pPr>
              <w:rPr>
                <w:rFonts w:ascii="宋体" w:eastAsia="宋体" w:hAnsi="宋体" w:cs="宋体"/>
                <w:sz w:val="20"/>
                <w:szCs w:val="20"/>
              </w:rPr>
            </w:pPr>
            <w:r>
              <w:rPr>
                <w:rFonts w:hint="eastAsia"/>
                <w:sz w:val="20"/>
                <w:szCs w:val="20"/>
              </w:rPr>
              <w:t>新设</w:t>
            </w:r>
          </w:p>
        </w:tc>
      </w:tr>
      <w:tr w:rsidR="00A067C6">
        <w:trPr>
          <w:trHeight w:val="287"/>
        </w:trPr>
        <w:tc>
          <w:tcPr>
            <w:tcW w:w="4405" w:type="dxa"/>
            <w:tcBorders>
              <w:top w:val="nil"/>
              <w:left w:val="single" w:sz="8" w:space="0" w:color="auto"/>
              <w:bottom w:val="single" w:sz="8" w:space="0" w:color="auto"/>
              <w:right w:val="single" w:sz="8" w:space="0" w:color="auto"/>
            </w:tcBorders>
            <w:shd w:val="clear" w:color="auto" w:fill="FFFFFF"/>
            <w:vAlign w:val="center"/>
          </w:tcPr>
          <w:p w:rsidR="00A067C6" w:rsidRDefault="005C4966">
            <w:pPr>
              <w:rPr>
                <w:rFonts w:ascii="宋体" w:eastAsia="宋体" w:hAnsi="宋体" w:cs="宋体"/>
                <w:sz w:val="20"/>
                <w:szCs w:val="20"/>
              </w:rPr>
            </w:pPr>
            <w:r>
              <w:rPr>
                <w:rFonts w:hint="eastAsia"/>
                <w:sz w:val="20"/>
                <w:szCs w:val="20"/>
              </w:rPr>
              <w:t>浙江艾思其品牌管理有限公司</w:t>
            </w:r>
          </w:p>
        </w:tc>
        <w:tc>
          <w:tcPr>
            <w:tcW w:w="5175" w:type="dxa"/>
            <w:tcBorders>
              <w:top w:val="nil"/>
              <w:left w:val="nil"/>
              <w:bottom w:val="single" w:sz="8" w:space="0" w:color="auto"/>
              <w:right w:val="single" w:sz="8" w:space="0" w:color="auto"/>
            </w:tcBorders>
            <w:shd w:val="clear" w:color="auto" w:fill="FFFFFF"/>
            <w:vAlign w:val="center"/>
          </w:tcPr>
          <w:p w:rsidR="00A067C6" w:rsidRDefault="005C4966">
            <w:pPr>
              <w:rPr>
                <w:rFonts w:ascii="宋体" w:eastAsia="宋体" w:hAnsi="宋体" w:cs="宋体"/>
                <w:sz w:val="20"/>
                <w:szCs w:val="20"/>
              </w:rPr>
            </w:pPr>
            <w:r>
              <w:rPr>
                <w:rFonts w:hint="eastAsia"/>
                <w:sz w:val="20"/>
                <w:szCs w:val="20"/>
              </w:rPr>
              <w:t>新设</w:t>
            </w:r>
          </w:p>
        </w:tc>
      </w:tr>
      <w:tr w:rsidR="00A067C6">
        <w:trPr>
          <w:trHeight w:val="287"/>
        </w:trPr>
        <w:tc>
          <w:tcPr>
            <w:tcW w:w="4405" w:type="dxa"/>
            <w:tcBorders>
              <w:top w:val="nil"/>
              <w:left w:val="single" w:sz="8" w:space="0" w:color="auto"/>
              <w:bottom w:val="single" w:sz="8" w:space="0" w:color="auto"/>
              <w:right w:val="single" w:sz="8" w:space="0" w:color="auto"/>
            </w:tcBorders>
            <w:shd w:val="clear" w:color="auto" w:fill="FFFFFF"/>
            <w:vAlign w:val="center"/>
          </w:tcPr>
          <w:p w:rsidR="00A067C6" w:rsidRDefault="005C4966">
            <w:pPr>
              <w:rPr>
                <w:rFonts w:ascii="宋体" w:eastAsia="宋体" w:hAnsi="宋体" w:cs="宋体"/>
                <w:sz w:val="20"/>
                <w:szCs w:val="20"/>
              </w:rPr>
            </w:pPr>
            <w:r>
              <w:rPr>
                <w:rFonts w:hint="eastAsia"/>
                <w:sz w:val="20"/>
                <w:szCs w:val="20"/>
              </w:rPr>
              <w:t>浙江达米安品牌管理有限公司</w:t>
            </w:r>
          </w:p>
        </w:tc>
        <w:tc>
          <w:tcPr>
            <w:tcW w:w="5175" w:type="dxa"/>
            <w:tcBorders>
              <w:top w:val="nil"/>
              <w:left w:val="nil"/>
              <w:bottom w:val="single" w:sz="8" w:space="0" w:color="auto"/>
              <w:right w:val="single" w:sz="8" w:space="0" w:color="auto"/>
            </w:tcBorders>
            <w:shd w:val="clear" w:color="auto" w:fill="FFFFFF"/>
            <w:vAlign w:val="center"/>
          </w:tcPr>
          <w:p w:rsidR="00A067C6" w:rsidRDefault="005C4966">
            <w:pPr>
              <w:rPr>
                <w:rFonts w:ascii="宋体" w:eastAsia="宋体" w:hAnsi="宋体" w:cs="宋体"/>
                <w:sz w:val="20"/>
                <w:szCs w:val="20"/>
              </w:rPr>
            </w:pPr>
            <w:r>
              <w:rPr>
                <w:rFonts w:hint="eastAsia"/>
                <w:sz w:val="20"/>
                <w:szCs w:val="20"/>
              </w:rPr>
              <w:t>新设</w:t>
            </w:r>
          </w:p>
        </w:tc>
      </w:tr>
    </w:tbl>
    <w:p w:rsidR="00A067C6" w:rsidRDefault="005C4966">
      <w:pPr>
        <w:pStyle w:val="3"/>
        <w:spacing w:line="280" w:lineRule="exact"/>
        <w:jc w:val="left"/>
        <w:rPr>
          <w:rFonts w:ascii="宋体" w:hAnsi="宋体" w:cs="宋体"/>
          <w:b/>
          <w:bCs/>
        </w:rPr>
      </w:pPr>
      <w:bookmarkStart w:id="383" w:name="_Toc989275"/>
      <w:r>
        <w:rPr>
          <w:rFonts w:ascii="宋体" w:hAnsi="宋体" w:cs="宋体"/>
          <w:b/>
          <w:bCs/>
        </w:rPr>
        <w:t>6</w:t>
      </w:r>
      <w:r>
        <w:rPr>
          <w:rFonts w:ascii="宋体" w:hAnsi="宋体" w:cs="宋体"/>
          <w:b/>
          <w:bCs/>
        </w:rPr>
        <w:t>、其他</w:t>
      </w:r>
      <w:bookmarkEnd w:id="383"/>
    </w:p>
    <w:p w:rsidR="00A067C6" w:rsidRDefault="005C4966">
      <w:pPr>
        <w:pStyle w:val="a6"/>
        <w:rPr>
          <w:rFonts w:ascii="Times New Roman" w:hAnsi="Times New Roman" w:cs="Times New Roman"/>
        </w:rPr>
      </w:pPr>
      <w:r>
        <w:rPr>
          <w:rFonts w:cs="Times New Roman" w:hint="eastAsia"/>
          <w:sz w:val="18"/>
          <w:szCs w:val="18"/>
        </w:rPr>
        <w:t>无。</w:t>
      </w:r>
    </w:p>
    <w:p w:rsidR="00A067C6" w:rsidRDefault="005C4966">
      <w:pPr>
        <w:pStyle w:val="2"/>
        <w:spacing w:before="300" w:after="300" w:line="320" w:lineRule="exact"/>
        <w:rPr>
          <w:rFonts w:ascii="宋体" w:eastAsia="宋体" w:hAnsi="宋体" w:cs="宋体"/>
          <w:b/>
          <w:bCs/>
          <w:sz w:val="24"/>
          <w:szCs w:val="24"/>
        </w:rPr>
      </w:pPr>
      <w:bookmarkStart w:id="384" w:name="_Toc989276"/>
      <w:r>
        <w:rPr>
          <w:rFonts w:ascii="宋体" w:eastAsia="宋体" w:hAnsi="宋体" w:cs="宋体"/>
          <w:b/>
          <w:bCs/>
          <w:sz w:val="24"/>
          <w:szCs w:val="24"/>
        </w:rPr>
        <w:t>九、在其他主体中的权益</w:t>
      </w:r>
      <w:bookmarkEnd w:id="384"/>
    </w:p>
    <w:p w:rsidR="00A067C6" w:rsidRDefault="005C4966">
      <w:pPr>
        <w:pStyle w:val="3"/>
        <w:spacing w:line="280" w:lineRule="exact"/>
        <w:jc w:val="left"/>
        <w:rPr>
          <w:rFonts w:ascii="宋体" w:hAnsi="宋体" w:cs="宋体"/>
          <w:b/>
          <w:bCs/>
        </w:rPr>
      </w:pPr>
      <w:bookmarkStart w:id="385" w:name="_Toc989277"/>
      <w:r>
        <w:rPr>
          <w:rFonts w:ascii="宋体" w:hAnsi="宋体" w:cs="宋体"/>
          <w:b/>
          <w:bCs/>
        </w:rPr>
        <w:t>1</w:t>
      </w:r>
      <w:r>
        <w:rPr>
          <w:rFonts w:ascii="宋体" w:hAnsi="宋体" w:cs="宋体"/>
          <w:b/>
          <w:bCs/>
        </w:rPr>
        <w:t>、在子公司中的权益</w:t>
      </w:r>
      <w:bookmarkEnd w:id="385"/>
    </w:p>
    <w:p w:rsidR="00A067C6" w:rsidRDefault="005C4966">
      <w:pPr>
        <w:keepNext/>
        <w:keepLines/>
        <w:spacing w:before="300" w:after="300" w:line="280" w:lineRule="exact"/>
        <w:outlineLvl w:val="3"/>
        <w:rPr>
          <w:rFonts w:ascii="宋体" w:eastAsia="宋体" w:hAnsi="宋体" w:cs="宋体"/>
          <w:b/>
          <w:bCs/>
          <w:sz w:val="18"/>
          <w:szCs w:val="18"/>
        </w:rPr>
      </w:pPr>
      <w:bookmarkStart w:id="386" w:name="_Toc989278"/>
      <w:r>
        <w:rPr>
          <w:rFonts w:ascii="宋体" w:eastAsia="宋体" w:hAnsi="宋体" w:cs="宋体"/>
          <w:b/>
          <w:bCs/>
          <w:sz w:val="18"/>
          <w:szCs w:val="18"/>
        </w:rPr>
        <w:t>（</w:t>
      </w:r>
      <w:r>
        <w:rPr>
          <w:rFonts w:ascii="宋体" w:eastAsia="宋体" w:hAnsi="宋体" w:cs="宋体"/>
          <w:b/>
          <w:bCs/>
          <w:sz w:val="18"/>
          <w:szCs w:val="18"/>
        </w:rPr>
        <w:t>1</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企业集团的构成</w:t>
      </w:r>
      <w:bookmarkEnd w:id="386"/>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A067C6">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子公司名称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主要经营地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注册地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业务性质</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取得方式</w:t>
            </w:r>
          </w:p>
        </w:tc>
      </w:tr>
      <w:tr w:rsidR="00A067C6">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直接</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间接</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深圳市华孚进出口有限公司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广东省深圳市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广东省深圳市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同一控制下企业合并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香港华孚有限公司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香港</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香港</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同一控制下企业合并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顺道（越南）实业独资有限公司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越南隆安省</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越南隆安省</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香港天成贸易有限公司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香港</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香港</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投资管理</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非同一控制下企业合并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越南隆安英鸿投资股份有限公司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越南</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越南</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非同控合并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新加坡耀佳国际贸易有限公司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新加坡</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新加坡</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投资管理</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香港华孚贸易有限公司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香港</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香港</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宁海华孚纺织有限公司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浙江省宁波市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浙江省宁波市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同一控制下企业合并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浙江华孚色纺有限公司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浙江省上虞市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浙江省上虞市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同一控制下企业合并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余姚华孚纺织有限公司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浙江省余姚市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浙江省余姚市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同一控制下企业合并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浙江社标纤维有限公司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浙江绍省兴市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浙江省绍兴市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阿克苏标信纤维有限公司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新疆阿克苏市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新疆阿克苏市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石河子标配纤维有限公司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新疆石河子市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新疆石河子市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同一控制下企业合并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浙江昇孚贸易有限公司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浙江省上虞</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浙江省上虞</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绍兴市上虞华孚物流有限公司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浙江省上虞</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浙江省上虞</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物流业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宁波华孚东浩实业有限公司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浙江宁波</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浙江宁波</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九江中浩纺织有限公司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江西省九江市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江西省九江市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浙江缙云华孚纺织有限公司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浙江省丽水市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浙江省丽水市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同一控制下企业合并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浙江金华华孚纺织有限公司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浙江省金华市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浙江省金华市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同一控制下企业合并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平湖市华孚金瓶纺织有限公司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浙江省平湖市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浙江省平湖市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同一控制下企业合并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上海华孚色纺贸易有限公司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上海市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上海市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阿克苏华孚色纺有限公司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新疆阿克苏市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新疆阿克苏市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新疆华孚色纺集团有限公司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新疆乌鲁木齐</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新疆乌鲁木齐</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新疆六孚纺织工业园有限公司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新疆五家渠市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新疆五家渠市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新疆天宏新八棉产业有限公司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新疆石河子市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新疆石河子市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非同一控制下企业合并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阿克苏华孚新能源有限公司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新疆阿克苏市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新疆阿克苏市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光伏销售及技术服务</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新疆华孚纺织有限公司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新疆阿克苏市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新疆阿克苏市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同一控制下企业合并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阿瓦提华孚纺织有限公司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新疆阿瓦提县</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新疆阿瓦提县</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同一控制下企业合并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新疆华孚棉业集团有限公司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新疆乌鲁木齐</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新疆乌鲁木齐</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新疆华孚恒丰棉业有限公司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同一控制下企业合并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库车恒丰棉业有限责任公司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同一控制下企业合并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库车纵横棉业有限责任公司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同一控制下企业合并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沙雅银花棉业有限责任公司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同一控制下企业合并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胡杨河华孚宏盛棉业有限公司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新疆胡杨河市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新疆胡杨河市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浙江聚丰贸易有限公司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浙江省杭州市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浙江省杭州市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同一控制下企业合并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石河子华孚宏盛棉业有限公司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新疆石河子市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新疆石河子市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石河子市华孚宏丰棉业有限公司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新疆石河子市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新疆石河子市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浙江维新贸易有限公司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浙江省宁波市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浙江省宁波市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浙江恒孚贸易有限公司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浙江省杭州市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浙江省杭州市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新疆棉花交易市场有限责任公司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新疆乌鲁木齐</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新疆乌鲁木齐</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70.40%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非同一控制下企业合并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阿克苏银星物流有限公司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物流运输业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40.80%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非同一控制下企业合并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深圳华孚网链投资有限公司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广东省深圳市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广东省深圳市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淮北华孚供应链管理有限公司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安徽省淮北市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安徽省淮北市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浙江服人网络科技有限公司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浙江省杭州市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浙江省杭州市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阿大纺织股份有限公司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浙江阿大贸易有限公司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上海清澄时尚生活用品有限公司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上海市上海市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上海市上海市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批发业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66.70%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江苏清澄家生活用品有限公司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江苏省无锡市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江苏省无锡市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批发业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66.70%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浙江鲲驰互联科技有限公司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科技推广和应用服务业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64.95%</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非同控合并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新疆阿大数字科技产业园有限公司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64.95%</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浙江昊载科技有限公司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科技推广和应用服务业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64.95%</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诸暨中昊投资管理有限公司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投资管理</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64.95%</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非同控合并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诸暨市承影电子商务有限公司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零售业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64.95%</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非同控合并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诸暨市渊虹电子商务有限公司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零售业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64.95%</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非同控合并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杭州名鲲科技有限公司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浙江省杭州市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浙江省杭州市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软件开发</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51.96%</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诸暨市卡拉美拉科技有限公司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零售业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50.89%</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非同控合并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诸暨市龙渊电子商务有限公司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零售业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50.89%</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非同控合并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诸暨市湛泸电子商务有限公司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零售业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50.89%</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非同控合并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诸暨市赤霄电子商务有限公司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批发业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50.89%</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非同控合并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诸暨市新亭电子商务有限公司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批发业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50.89%</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非同控合并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诸暨市纯钧电子商务有限公司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零售业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50.89%</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非同控合并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诸暨市雪霁电子商务有限公司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零售业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50.89%</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非同控合并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诸暨市胜跃纺织有限公司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纺织业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50.89%</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非同控合并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杭州一酷服饰有限公司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浙江省杭州市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浙江省杭州市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批发业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45.80%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非同控合并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浙江昊驰信息咨询有限公司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批发业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64.95%</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浙江昊创贸易有限公司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批发业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64.95%</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浙江广孚色纺有限公司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批发业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64.95%</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诸暨市鲲驰投资管理合伙企业（有限合伙）</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投资管理</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64.89%</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非同控合并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浙江易孚贸易有限公司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45.47%</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浙江博忆纺织科技有限公司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33.13%</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非同一控制下企业合并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乌什县阿大纺织有限公司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新疆阿克苏乌什县</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新疆阿克苏乌什县</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33.13%</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安徽博忆纺织科技有限公司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安徽省淮北市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安徽省淮北市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33.13%</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浙江双琪进出口有限公司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33.13%</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非同一控制下企业合并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浙江诸暨科宁投资有限公司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33.13%</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非同一控制下企业合并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新疆科宁针纺科技有限公司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33.13%</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非同一控制下企业合并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诸暨广昊纺织有限公司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33.13%</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非同一控制下企业合并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新疆天孚棉花供应链股份有限公司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新疆喀什地区</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新疆喀什地区</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51.00%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新疆棉花产业（集团）叶城棉业有限责任公司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新疆喀什地区</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新疆喀什地区</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51.00%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非同一控制下企业合并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新疆棉花产业集团泽普棉业有限公司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新疆喀什地区</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新疆喀什地区</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51.00%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非同一控制下企业合并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新疆棉花产业集团岳普湖棉业有限公司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新疆喀什地区</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新疆喀什地区</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51.00%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非同一控制下企业合并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新疆棉花产业集团伽师棉业有限公司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新疆喀什地区</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新疆喀什地区</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51.00%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非同一控制下企业合并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浙江菁英电商管理服务有限公司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浙江省金华市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浙江省金华市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51.00%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金华市菁英职业技能培训学校有限公司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浙江省金华市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浙江省金华市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综合服务</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51.00%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金华市菁英物业发展有限公司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浙江省金华市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浙江省金华市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综合服务</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51.00%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浙江菁英创业服务有限公司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浙江省金华市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浙江省金华市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商务服务业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35.70%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金华市菁英网红品牌管理有限公司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浙江省金华市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浙江省金华市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35.70%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浙江铭孚针纺有限公司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纺织业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51.00%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深圳市天计数智科技有限公司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广东省深圳市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广东省深圳市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软件和信息技术服务业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51.00%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淮北市华孚纺织有限公司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安徽省淮北市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安徽省淮北市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同一控制下企业合并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高可续（上海）棉花有限公司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上海市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上海市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新疆天路智能制造有限公司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奎屯锦孚纺织有限公司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新疆奎屯市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新疆奎屯市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67.00%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非同一控制下企业合并</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浙江果实设计有限公司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浙江省绍兴市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浙江省绍兴市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专业技术服务业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64.95%</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浙江其实科技有限公司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浙江省绍兴市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浙江省绍兴市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研究和试验发展</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64.95%</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浙江艾思其品牌管理有限公司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浙江省绍兴市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浙江省绍兴市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商务服务业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64.95%</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浙江达米安品牌管理有限公司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浙江省绍兴市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浙江省绍兴市</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商务服务业</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64.95%</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投资设立</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在子公司的持股比例不同于表决权比例的说明：</w:t>
      </w:r>
      <w:r>
        <w:rPr>
          <w:rFonts w:hint="eastAsia"/>
          <w:sz w:val="18"/>
          <w:szCs w:val="18"/>
        </w:rPr>
        <w:t>无。</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持有半数或以下表决权但仍控制被投资单位、以及持有半数以上表决权但不控制被投资单位的依据：</w:t>
      </w:r>
      <w:r>
        <w:rPr>
          <w:rFonts w:hint="eastAsia"/>
          <w:sz w:val="18"/>
          <w:szCs w:val="18"/>
        </w:rPr>
        <w:t>无。</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对于纳入合并范围的重要的结构化主体，控制的依据：</w:t>
      </w:r>
      <w:r>
        <w:rPr>
          <w:rFonts w:hint="eastAsia"/>
          <w:sz w:val="18"/>
          <w:szCs w:val="18"/>
        </w:rPr>
        <w:t>无。</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确定公司是代理人还是委托人的依据：</w:t>
      </w:r>
      <w:r>
        <w:rPr>
          <w:rFonts w:hint="eastAsia"/>
          <w:sz w:val="18"/>
          <w:szCs w:val="18"/>
        </w:rPr>
        <w:t>无。</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keepNext/>
        <w:keepLines/>
        <w:spacing w:before="300" w:after="300" w:line="280" w:lineRule="exact"/>
        <w:outlineLvl w:val="3"/>
        <w:rPr>
          <w:rFonts w:ascii="宋体" w:eastAsia="宋体" w:hAnsi="宋体" w:cs="宋体"/>
          <w:b/>
          <w:bCs/>
          <w:sz w:val="18"/>
          <w:szCs w:val="18"/>
        </w:rPr>
      </w:pPr>
      <w:bookmarkStart w:id="387" w:name="_Toc989279"/>
      <w:r>
        <w:rPr>
          <w:rFonts w:ascii="宋体" w:eastAsia="宋体" w:hAnsi="宋体" w:cs="宋体"/>
          <w:b/>
          <w:bCs/>
          <w:sz w:val="18"/>
          <w:szCs w:val="18"/>
        </w:rPr>
        <w:t>（</w:t>
      </w:r>
      <w:r>
        <w:rPr>
          <w:rFonts w:ascii="宋体" w:eastAsia="宋体" w:hAnsi="宋体" w:cs="宋体"/>
          <w:b/>
          <w:bCs/>
          <w:sz w:val="18"/>
          <w:szCs w:val="18"/>
        </w:rPr>
        <w:t>2</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重要的非全资子公司</w:t>
      </w:r>
      <w:bookmarkEnd w:id="387"/>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子公司名称</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少数股东持股比例</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本期归属于少数股东的损益</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本期向少数股东宣告分派的股利</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期末少数股东权益余额</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浙江菁英电商管理服务有限公司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49.00%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1,430,669.33</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10,017,376.86</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浙江菁英创业服务有限公司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49.00%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-1,242,328.47</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2,695,221.17</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浙江易孚贸易有限公司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-4,617,892.94</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320,024.28</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浙江博忆纺织科技有限公司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49.00%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2,736,989.31</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46,429,846.74</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新疆天孚棉花供应链股份有限公司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29.60%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-9,717,847.83</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94,714,663.40</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新疆棉花交易市场有限责任公司</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49.00%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66,581.88</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21,136,064.85</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新疆棉花产业集团伽师棉业有限公司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49.00%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1,217,203.12</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40,776,780.60</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新疆棉花产业集团泽普棉业有限公司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49.00%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-1,397,170.67</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-5,666,839.26</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新疆棉花产业集团岳普湖棉业有限公司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49.00%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214,786.25</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34,078,898.56</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阿克苏银星物流有限公司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59.20%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1,077,539.46</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69,546,863.49</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越南隆安英鸿投资股份有限公司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-25,660.95</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17,377,803.68</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深圳市天计数智科技有限公司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49.00%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418,028.56</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5,282,979.42</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子公司少数股东的持股比例不同于表决权比例的说明：</w:t>
      </w:r>
      <w:r>
        <w:rPr>
          <w:rFonts w:hint="eastAsia"/>
          <w:sz w:val="18"/>
          <w:szCs w:val="18"/>
        </w:rPr>
        <w:t>无。</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keepNext/>
        <w:keepLines/>
        <w:spacing w:before="300" w:after="300" w:line="280" w:lineRule="exact"/>
        <w:outlineLvl w:val="3"/>
        <w:rPr>
          <w:rFonts w:ascii="宋体" w:eastAsia="宋体" w:hAnsi="宋体" w:cs="宋体"/>
          <w:b/>
          <w:bCs/>
          <w:sz w:val="18"/>
          <w:szCs w:val="18"/>
        </w:rPr>
      </w:pPr>
      <w:bookmarkStart w:id="388" w:name="_Toc989280"/>
      <w:r>
        <w:rPr>
          <w:rFonts w:ascii="宋体" w:eastAsia="宋体" w:hAnsi="宋体" w:cs="宋体"/>
          <w:b/>
          <w:bCs/>
          <w:sz w:val="18"/>
          <w:szCs w:val="18"/>
        </w:rPr>
        <w:t>（</w:t>
      </w:r>
      <w:r>
        <w:rPr>
          <w:rFonts w:ascii="宋体" w:eastAsia="宋体" w:hAnsi="宋体" w:cs="宋体"/>
          <w:b/>
          <w:bCs/>
          <w:sz w:val="18"/>
          <w:szCs w:val="18"/>
        </w:rPr>
        <w:t>3</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重要非全资子公司的主要财务信息</w:t>
      </w:r>
      <w:bookmarkEnd w:id="388"/>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w:t>
      </w:r>
      <w:r>
        <w:rPr>
          <w:rFonts w:ascii="宋体" w:eastAsia="宋体" w:hAnsi="宋体" w:cs="宋体" w:hint="eastAsia"/>
          <w:sz w:val="18"/>
          <w:szCs w:val="18"/>
        </w:rPr>
        <w:t>万</w:t>
      </w:r>
      <w:r>
        <w:rPr>
          <w:rFonts w:ascii="宋体" w:eastAsia="宋体" w:hAnsi="宋体" w:cs="宋体"/>
          <w:sz w:val="18"/>
          <w:szCs w:val="18"/>
        </w:rPr>
        <w:t>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41"/>
        <w:gridCol w:w="741"/>
        <w:gridCol w:w="741"/>
        <w:gridCol w:w="741"/>
        <w:gridCol w:w="741"/>
        <w:gridCol w:w="741"/>
        <w:gridCol w:w="744"/>
        <w:gridCol w:w="741"/>
        <w:gridCol w:w="741"/>
        <w:gridCol w:w="741"/>
        <w:gridCol w:w="741"/>
        <w:gridCol w:w="741"/>
        <w:gridCol w:w="744"/>
      </w:tblGrid>
      <w:tr w:rsidR="00A067C6">
        <w:trPr>
          <w:trHeight w:val="240"/>
        </w:trPr>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子公司名称</w:t>
            </w:r>
          </w:p>
        </w:tc>
        <w:tc>
          <w:tcPr>
            <w:tcW w:w="444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44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A067C6">
        <w:trPr>
          <w:trHeight w:val="240"/>
        </w:trPr>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流动资产</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非流动资产</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资产合计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流动负债</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非流动负债</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负债合计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流动资产</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非流动资产</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资产合计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流动负债</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非流动负债</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负债合计</w:t>
            </w:r>
          </w:p>
        </w:tc>
      </w:tr>
      <w:tr w:rsidR="00A067C6">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浙江菁英电商管理服务有限公司</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1,658.29</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1,487.97</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3,146.26</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1,101.89</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1,101.89</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2,016.43</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1,553.87</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3,570.30</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817.91</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817.91</w:t>
            </w:r>
          </w:p>
        </w:tc>
      </w:tr>
      <w:tr w:rsidR="00A067C6">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浙江菁英创业服务有限公司</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1,410.88</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533.84</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1,944.72</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458.68</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458.68</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1,072.77</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937.11</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2,009.88</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330.64</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330.64</w:t>
            </w:r>
          </w:p>
        </w:tc>
      </w:tr>
      <w:tr w:rsidR="00A067C6">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新疆天孚棉花供应链股份有限公司</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18,059.47</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27,997.21</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46,056.68</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26,727.16</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26,727.16</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14,014.32</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27,997.46</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42,011.78</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20,699.02</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20,699.02</w:t>
            </w:r>
          </w:p>
        </w:tc>
      </w:tr>
      <w:tr w:rsidR="00A067C6">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新疆棉花交易市场有限责任公司</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33,773.09</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362.51</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34,135.59</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26,819.64</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26,819.64</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46,992.22</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363.10</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47,355.32</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40,061.85</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40,061.85</w:t>
            </w:r>
          </w:p>
        </w:tc>
      </w:tr>
      <w:tr w:rsidR="00A067C6">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新疆棉花产业集团伽师棉业有限公司</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14,448.90</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6,170.74</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20,619.64</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4,770.80</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205.66</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4,976.46</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88,306.19</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6,463.74</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94,769.93</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79,375.16</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79,375.16</w:t>
            </w:r>
          </w:p>
        </w:tc>
      </w:tr>
      <w:tr w:rsidR="00A067C6">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新疆棉花产业集团泽普棉业有限公司</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4,265.82</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2,933.05</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7,198.87</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1,658.76</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72.65</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1,731.41</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16,495.42</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2,919.14</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19,414.56</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13,661.97</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13,661.97</w:t>
            </w:r>
          </w:p>
        </w:tc>
      </w:tr>
      <w:tr w:rsidR="00A067C6">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新疆棉花产业集团岳普湖棉业有限公司</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11,389.63</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7,507.06</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18,896.69</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3,637.38</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3,637.38</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50,808.28</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7,656.31</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58,464.59</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43,249.10</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43,249.10</w:t>
            </w:r>
          </w:p>
        </w:tc>
      </w:tr>
      <w:tr w:rsidR="00A067C6">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阿克苏银星物流有限公司</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5,599.47</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8,008.42</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13,607.89</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1,706.78</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1,706.78</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5,865.18</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8,136.28</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14,001.46</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1,179.32</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1,179.32</w:t>
            </w:r>
          </w:p>
        </w:tc>
      </w:tr>
      <w:tr w:rsidR="00A067C6">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越南隆安英鸿投资股份有限公司</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2,557.35</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34,972.72</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37,530.07</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28,463.97</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28,463.97</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2,560.11</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30,793.16</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33,353.27</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24,693.36</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24,693.36</w:t>
            </w:r>
          </w:p>
        </w:tc>
      </w:tr>
      <w:tr w:rsidR="00A067C6">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深圳市天计数智科技有限公司</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1,276.14</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2.38</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1,278.53</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200.37</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200.37</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1,106.93</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2.38</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1,109.31</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116.47</w:t>
            </w: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116.47</w:t>
            </w:r>
          </w:p>
        </w:tc>
      </w:tr>
    </w:tbl>
    <w:p w:rsidR="00A067C6" w:rsidRDefault="005C4966">
      <w:pPr>
        <w:spacing w:before="120" w:after="120" w:line="240" w:lineRule="exact"/>
        <w:jc w:val="right"/>
        <w:rPr>
          <w:rFonts w:ascii="宋体" w:eastAsia="宋体" w:hAnsi="宋体" w:cs="宋体"/>
          <w:sz w:val="18"/>
          <w:szCs w:val="18"/>
        </w:rPr>
      </w:pPr>
      <w:r>
        <w:rPr>
          <w:rFonts w:ascii="宋体" w:eastAsia="宋体" w:hAnsi="宋体" w:cs="宋体"/>
          <w:sz w:val="18"/>
          <w:szCs w:val="18"/>
        </w:rPr>
        <w:t>单位：</w:t>
      </w:r>
      <w:r>
        <w:rPr>
          <w:rFonts w:ascii="宋体" w:eastAsia="宋体" w:hAnsi="宋体" w:cs="宋体" w:hint="eastAsia"/>
          <w:sz w:val="18"/>
          <w:szCs w:val="18"/>
        </w:rPr>
        <w:t>万</w:t>
      </w:r>
      <w:r>
        <w:rPr>
          <w:rFonts w:ascii="宋体" w:eastAsia="宋体" w:hAnsi="宋体" w:cs="宋体"/>
          <w:sz w:val="18"/>
          <w:szCs w:val="18"/>
        </w:rPr>
        <w:t>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71"/>
        <w:gridCol w:w="1071"/>
        <w:gridCol w:w="1071"/>
        <w:gridCol w:w="1071"/>
        <w:gridCol w:w="1071"/>
        <w:gridCol w:w="1071"/>
        <w:gridCol w:w="1071"/>
        <w:gridCol w:w="1071"/>
        <w:gridCol w:w="1071"/>
      </w:tblGrid>
      <w:tr w:rsidR="00A067C6">
        <w:trPr>
          <w:trHeight w:val="240"/>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子公司名称</w:t>
            </w:r>
          </w:p>
        </w:tc>
        <w:tc>
          <w:tcPr>
            <w:tcW w:w="4284"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4284"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A067C6">
        <w:trPr>
          <w:trHeight w:val="240"/>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净利润</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综合收益总额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经营活动现金流量</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净利润</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综合收益总额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经营活动现金流量</w:t>
            </w:r>
          </w:p>
        </w:tc>
      </w:tr>
      <w:tr w:rsidR="00A067C6">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浙江菁英电商管理服务有限公司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508.13</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291.97</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291.97</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626.61</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1,443.79</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104.75</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0.01</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79.42</w:t>
            </w:r>
          </w:p>
        </w:tc>
      </w:tr>
      <w:tr w:rsidR="00A067C6">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浙江菁英创业服务有限公司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285.13</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-193.21</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-193.21</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283.94</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295.78</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-132.79</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-0.01</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366.32</w:t>
            </w:r>
          </w:p>
        </w:tc>
      </w:tr>
      <w:tr w:rsidR="00A067C6">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新疆天孚棉花供应链股份有限公司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-744.01</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-1,983.23</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-1,983.23</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5,500.24</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1,790.24</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-73.82</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-0.01</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-90.58</w:t>
            </w:r>
          </w:p>
        </w:tc>
      </w:tr>
      <w:tr w:rsidR="00A067C6">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新疆棉花交易市场有限责任公司</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276,932.31</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22.49</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22.49</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4,571.71</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155,088.94</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702.37</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0.07</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4,614.39</w:t>
            </w:r>
          </w:p>
        </w:tc>
      </w:tr>
      <w:tr w:rsidR="00A067C6">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新疆棉花产业集团伽师棉业有限公司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62,097.94</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248.41</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248.41</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48,825.20</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53,563.73</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751.30</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0.08</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42,893.61</w:t>
            </w:r>
          </w:p>
        </w:tc>
      </w:tr>
      <w:tr w:rsidR="00A067C6">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新疆棉花产业集团泽普棉业有限公司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10,503.93</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-285.14</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-285.14</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7,168.79</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5,422.57</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-353.11</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-0.04</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7,473.50</w:t>
            </w:r>
          </w:p>
        </w:tc>
      </w:tr>
      <w:tr w:rsidR="00A067C6">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新疆棉花产业集团岳普湖棉业有限公司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32,500.58</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43.83</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43.83</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27,445.65</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22,583.21</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449.69</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0.04</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14,452.66</w:t>
            </w:r>
          </w:p>
        </w:tc>
      </w:tr>
      <w:tr w:rsidR="00A067C6">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阿克苏银星物流有限公司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1,299.36</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187.49</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187.49</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-2,198.10</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1,034.36</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799.05</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0.08</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12.18</w:t>
            </w:r>
          </w:p>
        </w:tc>
      </w:tr>
      <w:tr w:rsidR="00A067C6">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越南隆安英鸿投资股份有限公司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-25.66</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430.01</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-3,046.68</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-23.29</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-122.06</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-9,301.87</w:t>
            </w:r>
          </w:p>
        </w:tc>
      </w:tr>
      <w:tr w:rsidR="00A067C6">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深圳市天计数智科技有限公司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367.68</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85.31</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85.31</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172.07</w:t>
            </w: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keepNext/>
        <w:keepLines/>
        <w:spacing w:before="300" w:after="300" w:line="280" w:lineRule="exact"/>
        <w:outlineLvl w:val="3"/>
        <w:rPr>
          <w:rFonts w:ascii="宋体" w:eastAsia="宋体" w:hAnsi="宋体" w:cs="宋体"/>
          <w:b/>
          <w:bCs/>
          <w:sz w:val="18"/>
          <w:szCs w:val="18"/>
        </w:rPr>
      </w:pPr>
      <w:bookmarkStart w:id="389" w:name="_Toc989281"/>
      <w:r>
        <w:rPr>
          <w:rFonts w:ascii="宋体" w:eastAsia="宋体" w:hAnsi="宋体" w:cs="宋体"/>
          <w:b/>
          <w:bCs/>
          <w:sz w:val="18"/>
          <w:szCs w:val="18"/>
        </w:rPr>
        <w:t>（</w:t>
      </w:r>
      <w:r>
        <w:rPr>
          <w:rFonts w:ascii="宋体" w:eastAsia="宋体" w:hAnsi="宋体" w:cs="宋体"/>
          <w:b/>
          <w:bCs/>
          <w:sz w:val="18"/>
          <w:szCs w:val="18"/>
        </w:rPr>
        <w:t>4</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使用企业集团资产和清偿企业集团债务的重大限制</w:t>
      </w:r>
      <w:bookmarkEnd w:id="389"/>
    </w:p>
    <w:p w:rsidR="00A067C6" w:rsidRDefault="005C4966">
      <w:pPr>
        <w:pStyle w:val="a6"/>
        <w:rPr>
          <w:rFonts w:ascii="Times New Roman" w:hAnsi="Times New Roman" w:cs="Times New Roman"/>
        </w:rPr>
      </w:pPr>
      <w:r>
        <w:rPr>
          <w:rFonts w:cs="Times New Roman" w:hint="eastAsia"/>
          <w:sz w:val="18"/>
          <w:szCs w:val="18"/>
        </w:rPr>
        <w:t>无。</w:t>
      </w:r>
    </w:p>
    <w:p w:rsidR="00A067C6" w:rsidRDefault="005C4966">
      <w:pPr>
        <w:keepNext/>
        <w:keepLines/>
        <w:spacing w:before="300" w:after="300" w:line="280" w:lineRule="exact"/>
        <w:outlineLvl w:val="3"/>
        <w:rPr>
          <w:rFonts w:ascii="宋体" w:eastAsia="宋体" w:hAnsi="宋体" w:cs="宋体"/>
          <w:b/>
          <w:bCs/>
          <w:sz w:val="18"/>
          <w:szCs w:val="18"/>
        </w:rPr>
      </w:pPr>
      <w:bookmarkStart w:id="390" w:name="_Toc989282"/>
      <w:r>
        <w:rPr>
          <w:rFonts w:ascii="宋体" w:eastAsia="宋体" w:hAnsi="宋体" w:cs="宋体"/>
          <w:b/>
          <w:bCs/>
          <w:sz w:val="18"/>
          <w:szCs w:val="18"/>
        </w:rPr>
        <w:t>（</w:t>
      </w:r>
      <w:r>
        <w:rPr>
          <w:rFonts w:ascii="宋体" w:eastAsia="宋体" w:hAnsi="宋体" w:cs="宋体"/>
          <w:b/>
          <w:bCs/>
          <w:sz w:val="18"/>
          <w:szCs w:val="18"/>
        </w:rPr>
        <w:t>5</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向纳入合并财务报表范围的结构化主体提供的财务支持或其他支持</w:t>
      </w:r>
      <w:bookmarkEnd w:id="390"/>
    </w:p>
    <w:p w:rsidR="00A067C6" w:rsidRDefault="005C4966">
      <w:pPr>
        <w:pStyle w:val="a6"/>
        <w:rPr>
          <w:rFonts w:ascii="Times New Roman" w:hAnsi="Times New Roman" w:cs="Times New Roman"/>
        </w:rPr>
      </w:pPr>
      <w:r>
        <w:rPr>
          <w:rFonts w:cs="Times New Roman" w:hint="eastAsia"/>
          <w:sz w:val="18"/>
          <w:szCs w:val="18"/>
        </w:rPr>
        <w:t>无。</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cs="Times New Roman" w:hint="eastAsia"/>
          <w:sz w:val="18"/>
          <w:szCs w:val="18"/>
        </w:rPr>
        <w:t>无。</w:t>
      </w:r>
    </w:p>
    <w:p w:rsidR="00A067C6" w:rsidRDefault="005C4966">
      <w:pPr>
        <w:pStyle w:val="3"/>
        <w:spacing w:line="280" w:lineRule="exact"/>
        <w:jc w:val="left"/>
        <w:rPr>
          <w:rFonts w:ascii="宋体" w:hAnsi="宋体" w:cs="宋体"/>
          <w:b/>
          <w:bCs/>
        </w:rPr>
      </w:pPr>
      <w:bookmarkStart w:id="391" w:name="_Toc989283"/>
      <w:r>
        <w:rPr>
          <w:rFonts w:ascii="宋体" w:hAnsi="宋体" w:cs="宋体"/>
          <w:b/>
          <w:bCs/>
        </w:rPr>
        <w:t>2</w:t>
      </w:r>
      <w:r>
        <w:rPr>
          <w:rFonts w:ascii="宋体" w:hAnsi="宋体" w:cs="宋体"/>
          <w:b/>
          <w:bCs/>
        </w:rPr>
        <w:t>、在子公司的所有者权益份额发生变化且仍控制子公司的交易</w:t>
      </w:r>
      <w:bookmarkEnd w:id="391"/>
    </w:p>
    <w:p w:rsidR="00A067C6" w:rsidRDefault="005C4966">
      <w:pPr>
        <w:keepNext/>
        <w:keepLines/>
        <w:spacing w:before="300" w:after="300" w:line="280" w:lineRule="exact"/>
        <w:outlineLvl w:val="3"/>
        <w:rPr>
          <w:rFonts w:ascii="宋体" w:eastAsia="宋体" w:hAnsi="宋体" w:cs="宋体"/>
          <w:b/>
          <w:bCs/>
          <w:sz w:val="18"/>
          <w:szCs w:val="18"/>
        </w:rPr>
      </w:pPr>
      <w:bookmarkStart w:id="392" w:name="_Toc989284"/>
      <w:r>
        <w:rPr>
          <w:rFonts w:ascii="宋体" w:eastAsia="宋体" w:hAnsi="宋体" w:cs="宋体"/>
          <w:b/>
          <w:bCs/>
          <w:sz w:val="18"/>
          <w:szCs w:val="18"/>
        </w:rPr>
        <w:t>（</w:t>
      </w:r>
      <w:r>
        <w:rPr>
          <w:rFonts w:ascii="宋体" w:eastAsia="宋体" w:hAnsi="宋体" w:cs="宋体"/>
          <w:b/>
          <w:bCs/>
          <w:sz w:val="18"/>
          <w:szCs w:val="18"/>
        </w:rPr>
        <w:t>1</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在子公司所有者权益份额发生变化的情况说明</w:t>
      </w:r>
      <w:bookmarkEnd w:id="392"/>
    </w:p>
    <w:p w:rsidR="00A067C6" w:rsidRDefault="005C4966">
      <w:pPr>
        <w:pStyle w:val="a6"/>
        <w:rPr>
          <w:rFonts w:ascii="Times New Roman" w:hAnsi="Times New Roman" w:cs="Times New Roman"/>
        </w:rPr>
      </w:pPr>
      <w:r>
        <w:rPr>
          <w:rFonts w:cs="Times New Roman" w:hint="eastAsia"/>
          <w:sz w:val="18"/>
          <w:szCs w:val="18"/>
        </w:rPr>
        <w:t>无。</w:t>
      </w:r>
    </w:p>
    <w:p w:rsidR="00A067C6" w:rsidRDefault="005C4966">
      <w:pPr>
        <w:keepNext/>
        <w:keepLines/>
        <w:spacing w:before="300" w:after="300" w:line="280" w:lineRule="exact"/>
        <w:outlineLvl w:val="3"/>
        <w:rPr>
          <w:rFonts w:ascii="宋体" w:eastAsia="宋体" w:hAnsi="宋体" w:cs="宋体"/>
          <w:b/>
          <w:bCs/>
          <w:sz w:val="18"/>
          <w:szCs w:val="18"/>
        </w:rPr>
      </w:pPr>
      <w:bookmarkStart w:id="393" w:name="_Toc989285"/>
      <w:r>
        <w:rPr>
          <w:rFonts w:ascii="宋体" w:eastAsia="宋体" w:hAnsi="宋体" w:cs="宋体"/>
          <w:b/>
          <w:bCs/>
          <w:sz w:val="18"/>
          <w:szCs w:val="18"/>
        </w:rPr>
        <w:t>（</w:t>
      </w:r>
      <w:r>
        <w:rPr>
          <w:rFonts w:ascii="宋体" w:eastAsia="宋体" w:hAnsi="宋体" w:cs="宋体"/>
          <w:b/>
          <w:bCs/>
          <w:sz w:val="18"/>
          <w:szCs w:val="18"/>
        </w:rPr>
        <w:t>2</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交易对于少数股东权益及归属于母公司所有者权益的影响</w:t>
      </w:r>
      <w:bookmarkEnd w:id="393"/>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ascii="宋体" w:eastAsia="宋体" w:hAnsi="宋体" w:cs="宋体" w:hint="eastAsia"/>
          <w:sz w:val="18"/>
          <w:szCs w:val="18"/>
        </w:rPr>
        <w:t>：</w:t>
      </w:r>
      <w:r>
        <w:rPr>
          <w:rFonts w:cs="Times New Roman" w:hint="eastAsia"/>
          <w:sz w:val="18"/>
          <w:szCs w:val="18"/>
        </w:rPr>
        <w:t>无。</w:t>
      </w:r>
    </w:p>
    <w:p w:rsidR="00A067C6" w:rsidRDefault="005C4966">
      <w:pPr>
        <w:pStyle w:val="3"/>
        <w:spacing w:line="280" w:lineRule="exact"/>
        <w:jc w:val="left"/>
        <w:rPr>
          <w:rFonts w:ascii="宋体" w:hAnsi="宋体" w:cs="宋体"/>
          <w:b/>
          <w:bCs/>
        </w:rPr>
      </w:pPr>
      <w:bookmarkStart w:id="394" w:name="_Toc989286"/>
      <w:r>
        <w:rPr>
          <w:rFonts w:ascii="宋体" w:hAnsi="宋体" w:cs="宋体"/>
          <w:b/>
          <w:bCs/>
        </w:rPr>
        <w:t>3</w:t>
      </w:r>
      <w:r>
        <w:rPr>
          <w:rFonts w:ascii="宋体" w:hAnsi="宋体" w:cs="宋体"/>
          <w:b/>
          <w:bCs/>
        </w:rPr>
        <w:t>、在合营安排或联营企业中的权益</w:t>
      </w:r>
      <w:bookmarkEnd w:id="394"/>
    </w:p>
    <w:p w:rsidR="00A067C6" w:rsidRDefault="005C4966">
      <w:pPr>
        <w:keepNext/>
        <w:keepLines/>
        <w:spacing w:before="300" w:after="300" w:line="280" w:lineRule="exact"/>
        <w:outlineLvl w:val="3"/>
        <w:rPr>
          <w:rFonts w:ascii="宋体" w:eastAsia="宋体" w:hAnsi="宋体" w:cs="宋体"/>
          <w:sz w:val="18"/>
          <w:szCs w:val="18"/>
        </w:rPr>
      </w:pPr>
      <w:bookmarkStart w:id="395" w:name="_Toc989287"/>
      <w:r>
        <w:rPr>
          <w:rFonts w:ascii="宋体" w:eastAsia="宋体" w:hAnsi="宋体" w:cs="宋体"/>
          <w:b/>
          <w:bCs/>
          <w:szCs w:val="21"/>
        </w:rPr>
        <w:t>（</w:t>
      </w:r>
      <w:r>
        <w:rPr>
          <w:rFonts w:ascii="宋体" w:eastAsia="宋体" w:hAnsi="宋体" w:cs="宋体"/>
          <w:b/>
          <w:bCs/>
          <w:szCs w:val="21"/>
        </w:rPr>
        <w:t>1</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重要的合营企业或联营企业</w:t>
      </w:r>
      <w:bookmarkEnd w:id="395"/>
      <w:r>
        <w:rPr>
          <w:rFonts w:ascii="宋体" w:eastAsia="宋体" w:hAnsi="宋体" w:cs="宋体"/>
          <w:sz w:val="18"/>
          <w:szCs w:val="18"/>
        </w:rPr>
        <w:t>在合营企业或联营企业的持股比例不同于表决权比例的说明：</w:t>
      </w:r>
      <w:r>
        <w:rPr>
          <w:rFonts w:cs="Times New Roman" w:hint="eastAsia"/>
          <w:sz w:val="18"/>
          <w:szCs w:val="18"/>
        </w:rPr>
        <w:t>无。</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持有</w:t>
      </w:r>
      <w:r>
        <w:rPr>
          <w:rFonts w:ascii="宋体" w:eastAsia="宋体" w:hAnsi="宋体" w:cs="宋体"/>
          <w:sz w:val="18"/>
          <w:szCs w:val="18"/>
        </w:rPr>
        <w:t>20%</w:t>
      </w:r>
      <w:r>
        <w:rPr>
          <w:rFonts w:ascii="宋体" w:eastAsia="宋体" w:hAnsi="宋体" w:cs="宋体"/>
          <w:sz w:val="18"/>
          <w:szCs w:val="18"/>
        </w:rPr>
        <w:t>以下表决权但具有重大影响，或者持有</w:t>
      </w:r>
      <w:r>
        <w:rPr>
          <w:rFonts w:ascii="宋体" w:eastAsia="宋体" w:hAnsi="宋体" w:cs="宋体"/>
          <w:sz w:val="18"/>
          <w:szCs w:val="18"/>
        </w:rPr>
        <w:t>20%</w:t>
      </w:r>
      <w:r>
        <w:rPr>
          <w:rFonts w:ascii="宋体" w:eastAsia="宋体" w:hAnsi="宋体" w:cs="宋体"/>
          <w:sz w:val="18"/>
          <w:szCs w:val="18"/>
        </w:rPr>
        <w:t>或以上表决权但不具有重大影响的依据：</w:t>
      </w:r>
      <w:r>
        <w:rPr>
          <w:rFonts w:cs="Times New Roman" w:hint="eastAsia"/>
          <w:sz w:val="18"/>
          <w:szCs w:val="18"/>
        </w:rPr>
        <w:t>无。</w:t>
      </w:r>
    </w:p>
    <w:p w:rsidR="00A067C6" w:rsidRDefault="005C4966">
      <w:pPr>
        <w:keepNext/>
        <w:keepLines/>
        <w:spacing w:before="300" w:after="300" w:line="280" w:lineRule="exact"/>
        <w:outlineLvl w:val="3"/>
        <w:rPr>
          <w:rFonts w:ascii="宋体" w:eastAsia="宋体" w:hAnsi="宋体" w:cs="宋体"/>
          <w:b/>
          <w:bCs/>
          <w:szCs w:val="21"/>
        </w:rPr>
      </w:pPr>
      <w:bookmarkStart w:id="396" w:name="_Toc989288"/>
      <w:r>
        <w:rPr>
          <w:rFonts w:ascii="宋体" w:eastAsia="宋体" w:hAnsi="宋体" w:cs="宋体"/>
          <w:b/>
          <w:bCs/>
          <w:szCs w:val="21"/>
        </w:rPr>
        <w:t>（</w:t>
      </w:r>
      <w:r>
        <w:rPr>
          <w:rFonts w:ascii="宋体" w:eastAsia="宋体" w:hAnsi="宋体" w:cs="宋体"/>
          <w:b/>
          <w:bCs/>
          <w:szCs w:val="21"/>
        </w:rPr>
        <w:t>2</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重要合营企业的主要财务信息</w:t>
      </w:r>
      <w:bookmarkEnd w:id="396"/>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ascii="宋体" w:eastAsia="宋体" w:hAnsi="宋体" w:cs="宋体" w:hint="eastAsia"/>
          <w:sz w:val="18"/>
          <w:szCs w:val="18"/>
        </w:rPr>
        <w:t>：无</w:t>
      </w:r>
    </w:p>
    <w:p w:rsidR="00A067C6" w:rsidRDefault="005C4966">
      <w:pPr>
        <w:keepNext/>
        <w:keepLines/>
        <w:spacing w:before="300" w:after="300" w:line="280" w:lineRule="exact"/>
        <w:outlineLvl w:val="3"/>
        <w:rPr>
          <w:rFonts w:ascii="宋体" w:eastAsia="宋体" w:hAnsi="宋体" w:cs="宋体"/>
          <w:b/>
          <w:bCs/>
          <w:szCs w:val="21"/>
        </w:rPr>
      </w:pPr>
      <w:bookmarkStart w:id="397" w:name="_Toc989289"/>
      <w:r>
        <w:rPr>
          <w:rFonts w:ascii="宋体" w:eastAsia="宋体" w:hAnsi="宋体" w:cs="宋体"/>
          <w:b/>
          <w:bCs/>
          <w:szCs w:val="21"/>
        </w:rPr>
        <w:t>（</w:t>
      </w:r>
      <w:r>
        <w:rPr>
          <w:rFonts w:ascii="宋体" w:eastAsia="宋体" w:hAnsi="宋体" w:cs="宋体"/>
          <w:b/>
          <w:bCs/>
          <w:szCs w:val="21"/>
        </w:rPr>
        <w:t>3</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重要联营企业的主要财务信息</w:t>
      </w:r>
      <w:bookmarkEnd w:id="397"/>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ascii="宋体" w:eastAsia="宋体" w:hAnsi="宋体" w:cs="宋体" w:hint="eastAsia"/>
          <w:sz w:val="18"/>
          <w:szCs w:val="18"/>
        </w:rPr>
        <w:t>：无</w:t>
      </w:r>
    </w:p>
    <w:p w:rsidR="00A067C6" w:rsidRDefault="005C4966">
      <w:pPr>
        <w:keepNext/>
        <w:keepLines/>
        <w:spacing w:before="300" w:after="300" w:line="280" w:lineRule="exact"/>
        <w:outlineLvl w:val="3"/>
        <w:rPr>
          <w:rFonts w:ascii="宋体" w:eastAsia="宋体" w:hAnsi="宋体" w:cs="宋体"/>
          <w:b/>
          <w:bCs/>
          <w:szCs w:val="21"/>
        </w:rPr>
      </w:pPr>
      <w:bookmarkStart w:id="398" w:name="_Toc989290"/>
      <w:r>
        <w:rPr>
          <w:rFonts w:ascii="宋体" w:eastAsia="宋体" w:hAnsi="宋体" w:cs="宋体"/>
          <w:b/>
          <w:bCs/>
          <w:szCs w:val="21"/>
        </w:rPr>
        <w:t>（</w:t>
      </w:r>
      <w:r>
        <w:rPr>
          <w:rFonts w:ascii="宋体" w:eastAsia="宋体" w:hAnsi="宋体" w:cs="宋体"/>
          <w:b/>
          <w:bCs/>
          <w:szCs w:val="21"/>
        </w:rPr>
        <w:t>4</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不重要的合营企业和联营企业的汇总财务信息</w:t>
      </w:r>
      <w:bookmarkEnd w:id="398"/>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ascii="宋体" w:eastAsia="宋体" w:hAnsi="宋体" w:cs="宋体" w:hint="eastAsia"/>
          <w:sz w:val="18"/>
          <w:szCs w:val="18"/>
        </w:rPr>
        <w:t>：</w:t>
      </w:r>
      <w:r>
        <w:rPr>
          <w:rFonts w:cs="Times New Roman" w:hint="eastAsia"/>
          <w:sz w:val="18"/>
          <w:szCs w:val="18"/>
        </w:rPr>
        <w:t>无。</w:t>
      </w:r>
    </w:p>
    <w:p w:rsidR="00A067C6" w:rsidRDefault="005C4966">
      <w:pPr>
        <w:keepNext/>
        <w:keepLines/>
        <w:spacing w:before="300" w:after="300" w:line="280" w:lineRule="exact"/>
        <w:outlineLvl w:val="3"/>
        <w:rPr>
          <w:rFonts w:ascii="宋体" w:eastAsia="宋体" w:hAnsi="宋体" w:cs="宋体"/>
          <w:b/>
          <w:bCs/>
          <w:szCs w:val="21"/>
        </w:rPr>
      </w:pPr>
      <w:bookmarkStart w:id="399" w:name="_Toc989291"/>
      <w:r>
        <w:rPr>
          <w:rFonts w:ascii="宋体" w:eastAsia="宋体" w:hAnsi="宋体" w:cs="宋体"/>
          <w:b/>
          <w:bCs/>
          <w:szCs w:val="21"/>
        </w:rPr>
        <w:t>（</w:t>
      </w:r>
      <w:r>
        <w:rPr>
          <w:rFonts w:ascii="宋体" w:eastAsia="宋体" w:hAnsi="宋体" w:cs="宋体"/>
          <w:b/>
          <w:bCs/>
          <w:szCs w:val="21"/>
        </w:rPr>
        <w:t>5</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合营企业或联营企业向本公司转移资金的能力存在重大限制的说明</w:t>
      </w:r>
      <w:bookmarkEnd w:id="399"/>
    </w:p>
    <w:p w:rsidR="00A067C6" w:rsidRDefault="005C4966">
      <w:pPr>
        <w:pStyle w:val="a6"/>
        <w:rPr>
          <w:rFonts w:ascii="Times New Roman" w:hAnsi="Times New Roman" w:cs="Times New Roman"/>
        </w:rPr>
      </w:pPr>
      <w:r>
        <w:rPr>
          <w:rFonts w:cs="Times New Roman" w:hint="eastAsia"/>
          <w:sz w:val="18"/>
          <w:szCs w:val="18"/>
        </w:rPr>
        <w:t>无。</w:t>
      </w:r>
    </w:p>
    <w:p w:rsidR="00A067C6" w:rsidRDefault="005C4966">
      <w:pPr>
        <w:keepNext/>
        <w:keepLines/>
        <w:spacing w:before="300" w:after="300" w:line="280" w:lineRule="exact"/>
        <w:outlineLvl w:val="3"/>
        <w:rPr>
          <w:rFonts w:ascii="宋体" w:eastAsia="宋体" w:hAnsi="宋体" w:cs="宋体"/>
          <w:b/>
          <w:bCs/>
          <w:szCs w:val="21"/>
        </w:rPr>
      </w:pPr>
      <w:bookmarkStart w:id="400" w:name="_Toc989292"/>
      <w:r>
        <w:rPr>
          <w:rFonts w:ascii="宋体" w:eastAsia="宋体" w:hAnsi="宋体" w:cs="宋体"/>
          <w:b/>
          <w:bCs/>
          <w:szCs w:val="21"/>
        </w:rPr>
        <w:t>（</w:t>
      </w:r>
      <w:r>
        <w:rPr>
          <w:rFonts w:ascii="宋体" w:eastAsia="宋体" w:hAnsi="宋体" w:cs="宋体"/>
          <w:b/>
          <w:bCs/>
          <w:szCs w:val="21"/>
        </w:rPr>
        <w:t>6</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合营企业或联营企业发生的超额亏损</w:t>
      </w:r>
      <w:bookmarkEnd w:id="400"/>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ascii="宋体" w:eastAsia="宋体" w:hAnsi="宋体" w:cs="宋体" w:hint="eastAsia"/>
          <w:sz w:val="18"/>
          <w:szCs w:val="18"/>
        </w:rPr>
        <w:t>：</w:t>
      </w:r>
      <w:r>
        <w:rPr>
          <w:rFonts w:cs="Times New Roman" w:hint="eastAsia"/>
          <w:sz w:val="18"/>
          <w:szCs w:val="18"/>
        </w:rPr>
        <w:t>无。</w:t>
      </w:r>
    </w:p>
    <w:p w:rsidR="00A067C6" w:rsidRDefault="005C4966">
      <w:pPr>
        <w:keepNext/>
        <w:keepLines/>
        <w:spacing w:before="300" w:after="300" w:line="280" w:lineRule="exact"/>
        <w:outlineLvl w:val="3"/>
        <w:rPr>
          <w:rFonts w:ascii="宋体" w:eastAsia="宋体" w:hAnsi="宋体" w:cs="宋体"/>
          <w:b/>
          <w:bCs/>
          <w:szCs w:val="21"/>
        </w:rPr>
      </w:pPr>
      <w:bookmarkStart w:id="401" w:name="_Toc989293"/>
      <w:r>
        <w:rPr>
          <w:rFonts w:ascii="宋体" w:eastAsia="宋体" w:hAnsi="宋体" w:cs="宋体"/>
          <w:b/>
          <w:bCs/>
          <w:szCs w:val="21"/>
        </w:rPr>
        <w:t>（</w:t>
      </w:r>
      <w:r>
        <w:rPr>
          <w:rFonts w:ascii="宋体" w:eastAsia="宋体" w:hAnsi="宋体" w:cs="宋体"/>
          <w:b/>
          <w:bCs/>
          <w:szCs w:val="21"/>
        </w:rPr>
        <w:t>7</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与合营企业投资相关的未确认承诺</w:t>
      </w:r>
      <w:bookmarkEnd w:id="401"/>
    </w:p>
    <w:p w:rsidR="00A067C6" w:rsidRDefault="005C4966">
      <w:pPr>
        <w:pStyle w:val="a6"/>
        <w:rPr>
          <w:rFonts w:ascii="Times New Roman" w:hAnsi="Times New Roman" w:cs="Times New Roman"/>
        </w:rPr>
      </w:pPr>
      <w:r>
        <w:rPr>
          <w:rFonts w:cs="Times New Roman" w:hint="eastAsia"/>
          <w:sz w:val="18"/>
          <w:szCs w:val="18"/>
        </w:rPr>
        <w:t>无。</w:t>
      </w:r>
    </w:p>
    <w:p w:rsidR="00A067C6" w:rsidRDefault="005C4966">
      <w:pPr>
        <w:keepNext/>
        <w:keepLines/>
        <w:spacing w:before="300" w:after="300" w:line="280" w:lineRule="exact"/>
        <w:outlineLvl w:val="3"/>
        <w:rPr>
          <w:rFonts w:ascii="宋体" w:eastAsia="宋体" w:hAnsi="宋体" w:cs="宋体"/>
          <w:b/>
          <w:bCs/>
          <w:szCs w:val="21"/>
        </w:rPr>
      </w:pPr>
      <w:bookmarkStart w:id="402" w:name="_Toc989294"/>
      <w:r>
        <w:rPr>
          <w:rFonts w:ascii="宋体" w:eastAsia="宋体" w:hAnsi="宋体" w:cs="宋体"/>
          <w:b/>
          <w:bCs/>
          <w:szCs w:val="21"/>
        </w:rPr>
        <w:t>（</w:t>
      </w:r>
      <w:r>
        <w:rPr>
          <w:rFonts w:ascii="宋体" w:eastAsia="宋体" w:hAnsi="宋体" w:cs="宋体"/>
          <w:b/>
          <w:bCs/>
          <w:szCs w:val="21"/>
        </w:rPr>
        <w:t>8</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与合营企业或联营企业投资相关的或有负债</w:t>
      </w:r>
      <w:bookmarkEnd w:id="402"/>
    </w:p>
    <w:p w:rsidR="00A067C6" w:rsidRDefault="005C4966">
      <w:pPr>
        <w:pStyle w:val="a6"/>
        <w:rPr>
          <w:rFonts w:ascii="Times New Roman" w:hAnsi="Times New Roman" w:cs="Times New Roman"/>
        </w:rPr>
      </w:pPr>
      <w:r>
        <w:rPr>
          <w:rFonts w:cs="Times New Roman" w:hint="eastAsia"/>
          <w:sz w:val="18"/>
          <w:szCs w:val="18"/>
        </w:rPr>
        <w:t>无。</w:t>
      </w:r>
    </w:p>
    <w:p w:rsidR="00A067C6" w:rsidRDefault="005C4966">
      <w:pPr>
        <w:pStyle w:val="3"/>
        <w:spacing w:line="280" w:lineRule="exact"/>
        <w:jc w:val="left"/>
        <w:rPr>
          <w:rFonts w:ascii="宋体" w:hAnsi="宋体" w:cs="宋体"/>
          <w:b/>
          <w:bCs/>
        </w:rPr>
      </w:pPr>
      <w:bookmarkStart w:id="403" w:name="_Toc989295"/>
      <w:r>
        <w:rPr>
          <w:rFonts w:ascii="宋体" w:hAnsi="宋体" w:cs="宋体"/>
          <w:b/>
          <w:bCs/>
        </w:rPr>
        <w:t>4</w:t>
      </w:r>
      <w:r>
        <w:rPr>
          <w:rFonts w:ascii="宋体" w:hAnsi="宋体" w:cs="宋体"/>
          <w:b/>
          <w:bCs/>
        </w:rPr>
        <w:t>、重要的共同经营</w:t>
      </w:r>
      <w:bookmarkEnd w:id="403"/>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在共同经营中的持股比例或享有的份额不同于表决权比例的说明：</w:t>
      </w:r>
      <w:r>
        <w:rPr>
          <w:rFonts w:cs="Times New Roman" w:hint="eastAsia"/>
          <w:sz w:val="18"/>
          <w:szCs w:val="18"/>
        </w:rPr>
        <w:t>无。</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共同经营为单独主体的，分类为共同经营的依据：</w:t>
      </w:r>
      <w:r>
        <w:rPr>
          <w:rFonts w:ascii="宋体" w:eastAsia="宋体" w:hAnsi="宋体" w:cs="宋体" w:hint="eastAsia"/>
          <w:sz w:val="18"/>
          <w:szCs w:val="18"/>
        </w:rPr>
        <w:t>无</w:t>
      </w:r>
    </w:p>
    <w:p w:rsidR="00A067C6" w:rsidRDefault="005C4966">
      <w:pPr>
        <w:pStyle w:val="3"/>
        <w:spacing w:line="280" w:lineRule="exact"/>
        <w:jc w:val="left"/>
        <w:rPr>
          <w:rFonts w:ascii="宋体" w:hAnsi="宋体" w:cs="宋体"/>
          <w:b/>
          <w:bCs/>
        </w:rPr>
      </w:pPr>
      <w:bookmarkStart w:id="404" w:name="_Toc989296"/>
      <w:r>
        <w:rPr>
          <w:rFonts w:ascii="宋体" w:hAnsi="宋体" w:cs="宋体"/>
          <w:b/>
          <w:bCs/>
        </w:rPr>
        <w:t>5</w:t>
      </w:r>
      <w:r>
        <w:rPr>
          <w:rFonts w:ascii="宋体" w:hAnsi="宋体" w:cs="宋体"/>
          <w:b/>
          <w:bCs/>
        </w:rPr>
        <w:t>、在未纳入合并财务报表范围的结构化主体中的权益</w:t>
      </w:r>
      <w:bookmarkEnd w:id="404"/>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未纳入合并财务报表范围的结构化主</w:t>
      </w:r>
      <w:r>
        <w:rPr>
          <w:rFonts w:ascii="宋体" w:eastAsia="宋体" w:hAnsi="宋体" w:cs="宋体"/>
          <w:sz w:val="18"/>
          <w:szCs w:val="18"/>
        </w:rPr>
        <w:t>体的相关说明：</w:t>
      </w:r>
      <w:r>
        <w:rPr>
          <w:rFonts w:cs="Times New Roman" w:hint="eastAsia"/>
          <w:sz w:val="18"/>
          <w:szCs w:val="18"/>
        </w:rPr>
        <w:t>无。</w:t>
      </w:r>
    </w:p>
    <w:p w:rsidR="00A067C6" w:rsidRDefault="005C4966">
      <w:pPr>
        <w:pStyle w:val="3"/>
        <w:spacing w:line="280" w:lineRule="exact"/>
        <w:jc w:val="left"/>
        <w:rPr>
          <w:rFonts w:ascii="宋体" w:hAnsi="宋体" w:cs="宋体"/>
          <w:b/>
          <w:bCs/>
        </w:rPr>
      </w:pPr>
      <w:bookmarkStart w:id="405" w:name="_Toc989297"/>
      <w:r>
        <w:rPr>
          <w:rFonts w:ascii="宋体" w:hAnsi="宋体" w:cs="宋体"/>
          <w:b/>
          <w:bCs/>
        </w:rPr>
        <w:t>6</w:t>
      </w:r>
      <w:r>
        <w:rPr>
          <w:rFonts w:ascii="宋体" w:hAnsi="宋体" w:cs="宋体"/>
          <w:b/>
          <w:bCs/>
        </w:rPr>
        <w:t>、其他</w:t>
      </w:r>
      <w:bookmarkEnd w:id="405"/>
    </w:p>
    <w:p w:rsidR="00A067C6" w:rsidRDefault="005C4966">
      <w:pPr>
        <w:pStyle w:val="a6"/>
        <w:rPr>
          <w:rFonts w:ascii="Times New Roman" w:hAnsi="Times New Roman" w:cs="Times New Roman"/>
        </w:rPr>
      </w:pPr>
      <w:r>
        <w:rPr>
          <w:rFonts w:cs="Times New Roman" w:hint="eastAsia"/>
          <w:sz w:val="18"/>
          <w:szCs w:val="18"/>
        </w:rPr>
        <w:t>无。</w:t>
      </w:r>
    </w:p>
    <w:p w:rsidR="00A067C6" w:rsidRDefault="005C4966">
      <w:pPr>
        <w:pStyle w:val="2"/>
        <w:spacing w:before="300" w:after="300" w:line="320" w:lineRule="exact"/>
        <w:rPr>
          <w:rFonts w:ascii="宋体" w:eastAsia="宋体" w:hAnsi="宋体" w:cs="宋体"/>
          <w:b/>
          <w:bCs/>
          <w:sz w:val="24"/>
          <w:szCs w:val="24"/>
        </w:rPr>
      </w:pPr>
      <w:bookmarkStart w:id="406" w:name="_Toc989298"/>
      <w:r>
        <w:rPr>
          <w:rFonts w:ascii="宋体" w:eastAsia="宋体" w:hAnsi="宋体" w:cs="宋体"/>
          <w:b/>
          <w:bCs/>
          <w:sz w:val="24"/>
          <w:szCs w:val="24"/>
        </w:rPr>
        <w:t>十、与金融工具相关的风险</w:t>
      </w:r>
      <w:bookmarkEnd w:id="406"/>
    </w:p>
    <w:p w:rsidR="00A067C6" w:rsidRDefault="005C4966">
      <w:pPr>
        <w:pStyle w:val="a6"/>
        <w:rPr>
          <w:rFonts w:ascii="Times New Roman" w:hAnsi="Times New Roman" w:cs="Times New Roman"/>
        </w:rPr>
      </w:pPr>
      <w:r>
        <w:rPr>
          <w:rFonts w:cs="Times New Roman" w:hint="eastAsia"/>
          <w:sz w:val="18"/>
          <w:szCs w:val="18"/>
        </w:rPr>
        <w:t>无。</w:t>
      </w:r>
    </w:p>
    <w:p w:rsidR="00A067C6" w:rsidRDefault="005C4966">
      <w:pPr>
        <w:pStyle w:val="2"/>
        <w:spacing w:before="300" w:after="300" w:line="320" w:lineRule="exact"/>
        <w:rPr>
          <w:rFonts w:ascii="宋体" w:eastAsia="宋体" w:hAnsi="宋体" w:cs="宋体"/>
          <w:b/>
          <w:bCs/>
          <w:sz w:val="24"/>
          <w:szCs w:val="24"/>
        </w:rPr>
      </w:pPr>
      <w:bookmarkStart w:id="407" w:name="_Toc989299"/>
      <w:r>
        <w:rPr>
          <w:rFonts w:ascii="宋体" w:eastAsia="宋体" w:hAnsi="宋体" w:cs="宋体"/>
          <w:b/>
          <w:bCs/>
          <w:sz w:val="24"/>
          <w:szCs w:val="24"/>
        </w:rPr>
        <w:t>十一、公允价值的披露</w:t>
      </w:r>
      <w:bookmarkEnd w:id="407"/>
    </w:p>
    <w:p w:rsidR="00A067C6" w:rsidRDefault="005C4966">
      <w:pPr>
        <w:pStyle w:val="3"/>
        <w:spacing w:line="280" w:lineRule="exact"/>
        <w:jc w:val="left"/>
        <w:rPr>
          <w:rFonts w:ascii="宋体" w:hAnsi="宋体" w:cs="宋体"/>
          <w:b/>
          <w:bCs/>
        </w:rPr>
      </w:pPr>
      <w:bookmarkStart w:id="408" w:name="_Toc989300"/>
      <w:r>
        <w:rPr>
          <w:rFonts w:ascii="宋体" w:hAnsi="宋体" w:cs="宋体"/>
          <w:b/>
          <w:bCs/>
        </w:rPr>
        <w:t>1</w:t>
      </w:r>
      <w:r>
        <w:rPr>
          <w:rFonts w:ascii="宋体" w:hAnsi="宋体" w:cs="宋体"/>
          <w:b/>
          <w:bCs/>
        </w:rPr>
        <w:t>、以公允价值计量的资产和负债的期末公允价值</w:t>
      </w:r>
      <w:bookmarkEnd w:id="408"/>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A067C6">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7711"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期末公允价值</w:t>
            </w:r>
          </w:p>
        </w:tc>
      </w:tr>
      <w:tr w:rsidR="00A067C6">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第一层次公允价值计量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第二层次公允价值计量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第三层次公允价值计量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一、持续的公允价值计量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以公允价值计量且其变动计入当期损益的金融资产</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125,140,310.80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125,140,310.80</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3</w:t>
            </w:r>
            <w:r>
              <w:rPr>
                <w:rFonts w:ascii="宋体" w:eastAsia="宋体" w:hAnsi="宋体" w:cs="宋体"/>
                <w:sz w:val="18"/>
                <w:szCs w:val="18"/>
              </w:rPr>
              <w:t>）衍生金融资产</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50,719,140.14</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50,719,140.14</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理财产品</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74,421,170.66</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74,421,170.66</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二、非持续的公允价值计量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rsidR="00A067C6" w:rsidRDefault="005C4966">
      <w:pPr>
        <w:pStyle w:val="3"/>
        <w:spacing w:line="280" w:lineRule="exact"/>
        <w:jc w:val="left"/>
        <w:rPr>
          <w:rFonts w:ascii="宋体" w:hAnsi="宋体" w:cs="宋体"/>
          <w:b/>
          <w:bCs/>
        </w:rPr>
      </w:pPr>
      <w:bookmarkStart w:id="409" w:name="_Toc989301"/>
      <w:r>
        <w:rPr>
          <w:rFonts w:ascii="宋体" w:hAnsi="宋体" w:cs="宋体"/>
          <w:b/>
          <w:bCs/>
        </w:rPr>
        <w:t>2</w:t>
      </w:r>
      <w:r>
        <w:rPr>
          <w:rFonts w:ascii="宋体" w:hAnsi="宋体" w:cs="宋体"/>
          <w:b/>
          <w:bCs/>
        </w:rPr>
        <w:t>、持续和非持续第一层次公允价值计量项目市价的确定依据</w:t>
      </w:r>
      <w:bookmarkEnd w:id="409"/>
    </w:p>
    <w:p w:rsidR="00A067C6" w:rsidRDefault="005C4966">
      <w:pPr>
        <w:pStyle w:val="-3"/>
        <w:snapToGrid w:val="0"/>
        <w:ind w:firstLine="360"/>
        <w:jc w:val="both"/>
        <w:rPr>
          <w:sz w:val="18"/>
          <w:szCs w:val="18"/>
        </w:rPr>
      </w:pPr>
      <w:r>
        <w:rPr>
          <w:rFonts w:hint="eastAsia"/>
          <w:sz w:val="18"/>
          <w:szCs w:val="18"/>
        </w:rPr>
        <w:t>本公司在资产负债标日能购获得期货及理财产品在活跃市场上报价。</w:t>
      </w:r>
    </w:p>
    <w:p w:rsidR="00A067C6" w:rsidRDefault="005C4966">
      <w:pPr>
        <w:pStyle w:val="3"/>
        <w:spacing w:line="280" w:lineRule="exact"/>
        <w:jc w:val="left"/>
        <w:rPr>
          <w:rFonts w:ascii="宋体" w:hAnsi="宋体" w:cs="宋体"/>
          <w:b/>
          <w:bCs/>
        </w:rPr>
      </w:pPr>
      <w:bookmarkStart w:id="410" w:name="_Toc989302"/>
      <w:r>
        <w:rPr>
          <w:rFonts w:ascii="宋体" w:hAnsi="宋体" w:cs="宋体"/>
          <w:b/>
          <w:bCs/>
        </w:rPr>
        <w:t>3</w:t>
      </w:r>
      <w:r>
        <w:rPr>
          <w:rFonts w:ascii="宋体" w:hAnsi="宋体" w:cs="宋体"/>
          <w:b/>
          <w:bCs/>
        </w:rPr>
        <w:t>、持续和非持续第二层次公允价值计量项目，采用的估值技术和重要参数的定性及定量信息</w:t>
      </w:r>
      <w:bookmarkEnd w:id="410"/>
    </w:p>
    <w:p w:rsidR="00A067C6" w:rsidRDefault="005C4966">
      <w:pPr>
        <w:pStyle w:val="a6"/>
        <w:rPr>
          <w:rFonts w:ascii="Times New Roman" w:hAnsi="Times New Roman" w:cs="Times New Roman"/>
        </w:rPr>
      </w:pPr>
      <w:r>
        <w:rPr>
          <w:rFonts w:cs="Times New Roman" w:hint="eastAsia"/>
          <w:sz w:val="18"/>
          <w:szCs w:val="18"/>
        </w:rPr>
        <w:t>无。</w:t>
      </w:r>
    </w:p>
    <w:p w:rsidR="00A067C6" w:rsidRDefault="005C4966">
      <w:pPr>
        <w:pStyle w:val="3"/>
        <w:spacing w:line="280" w:lineRule="exact"/>
        <w:jc w:val="left"/>
        <w:rPr>
          <w:rFonts w:ascii="宋体" w:hAnsi="宋体" w:cs="宋体"/>
          <w:b/>
          <w:bCs/>
        </w:rPr>
      </w:pPr>
      <w:bookmarkStart w:id="411" w:name="_Toc989303"/>
      <w:r>
        <w:rPr>
          <w:rFonts w:ascii="宋体" w:hAnsi="宋体" w:cs="宋体"/>
          <w:b/>
          <w:bCs/>
        </w:rPr>
        <w:t>4</w:t>
      </w:r>
      <w:r>
        <w:rPr>
          <w:rFonts w:ascii="宋体" w:hAnsi="宋体" w:cs="宋体"/>
          <w:b/>
          <w:bCs/>
        </w:rPr>
        <w:t>、持续和非持续第三层次公允价值计量项目，采用的估值技术和重要参数的定性及定量信息</w:t>
      </w:r>
      <w:bookmarkEnd w:id="411"/>
    </w:p>
    <w:p w:rsidR="00A067C6" w:rsidRDefault="005C4966">
      <w:pPr>
        <w:pStyle w:val="a6"/>
        <w:rPr>
          <w:rFonts w:ascii="Times New Roman" w:hAnsi="Times New Roman" w:cs="Times New Roman"/>
        </w:rPr>
      </w:pPr>
      <w:r>
        <w:rPr>
          <w:rFonts w:cs="Times New Roman" w:hint="eastAsia"/>
          <w:sz w:val="18"/>
          <w:szCs w:val="18"/>
        </w:rPr>
        <w:t>无。</w:t>
      </w:r>
    </w:p>
    <w:p w:rsidR="00A067C6" w:rsidRDefault="005C4966">
      <w:pPr>
        <w:pStyle w:val="3"/>
        <w:spacing w:line="280" w:lineRule="exact"/>
        <w:jc w:val="left"/>
        <w:rPr>
          <w:rFonts w:ascii="宋体" w:hAnsi="宋体" w:cs="宋体"/>
          <w:b/>
          <w:bCs/>
        </w:rPr>
      </w:pPr>
      <w:bookmarkStart w:id="412" w:name="_Toc989304"/>
      <w:r>
        <w:rPr>
          <w:rFonts w:ascii="宋体" w:hAnsi="宋体" w:cs="宋体"/>
          <w:b/>
          <w:bCs/>
        </w:rPr>
        <w:t>5</w:t>
      </w:r>
      <w:r>
        <w:rPr>
          <w:rFonts w:ascii="宋体" w:hAnsi="宋体" w:cs="宋体"/>
          <w:b/>
          <w:bCs/>
        </w:rPr>
        <w:t>、持续的第三层次公允价值计量项目，期初与期末账面价值间的调节信息及不可观察参数敏感性分析</w:t>
      </w:r>
      <w:bookmarkEnd w:id="412"/>
    </w:p>
    <w:p w:rsidR="00A067C6" w:rsidRDefault="005C4966">
      <w:pPr>
        <w:pStyle w:val="a6"/>
        <w:rPr>
          <w:rFonts w:ascii="Times New Roman" w:hAnsi="Times New Roman" w:cs="Times New Roman"/>
        </w:rPr>
      </w:pPr>
      <w:r>
        <w:rPr>
          <w:rFonts w:cs="Times New Roman" w:hint="eastAsia"/>
          <w:sz w:val="18"/>
          <w:szCs w:val="18"/>
        </w:rPr>
        <w:t>无。</w:t>
      </w:r>
    </w:p>
    <w:p w:rsidR="00A067C6" w:rsidRDefault="005C4966">
      <w:pPr>
        <w:pStyle w:val="3"/>
        <w:spacing w:line="280" w:lineRule="exact"/>
        <w:jc w:val="left"/>
        <w:rPr>
          <w:rFonts w:ascii="宋体" w:hAnsi="宋体" w:cs="宋体"/>
          <w:b/>
          <w:bCs/>
        </w:rPr>
      </w:pPr>
      <w:bookmarkStart w:id="413" w:name="_Toc989305"/>
      <w:r>
        <w:rPr>
          <w:rFonts w:ascii="宋体" w:hAnsi="宋体" w:cs="宋体"/>
          <w:b/>
          <w:bCs/>
        </w:rPr>
        <w:t>6</w:t>
      </w:r>
      <w:r>
        <w:rPr>
          <w:rFonts w:ascii="宋体" w:hAnsi="宋体" w:cs="宋体"/>
          <w:b/>
          <w:bCs/>
        </w:rPr>
        <w:t>、持续的公允价值计量项目，本期内发生各层级之间转换的，转换的原因及确定转换时点的政策</w:t>
      </w:r>
      <w:bookmarkEnd w:id="413"/>
    </w:p>
    <w:p w:rsidR="00A067C6" w:rsidRDefault="005C4966">
      <w:pPr>
        <w:pStyle w:val="a6"/>
        <w:rPr>
          <w:rFonts w:ascii="Times New Roman" w:hAnsi="Times New Roman" w:cs="Times New Roman"/>
        </w:rPr>
      </w:pPr>
      <w:r>
        <w:rPr>
          <w:rFonts w:cs="Times New Roman" w:hint="eastAsia"/>
          <w:sz w:val="18"/>
          <w:szCs w:val="18"/>
        </w:rPr>
        <w:t>无。</w:t>
      </w:r>
    </w:p>
    <w:p w:rsidR="00A067C6" w:rsidRDefault="005C4966">
      <w:pPr>
        <w:pStyle w:val="3"/>
        <w:spacing w:line="280" w:lineRule="exact"/>
        <w:jc w:val="left"/>
        <w:rPr>
          <w:rFonts w:ascii="宋体" w:hAnsi="宋体" w:cs="宋体"/>
          <w:b/>
          <w:bCs/>
        </w:rPr>
      </w:pPr>
      <w:bookmarkStart w:id="414" w:name="_Toc989306"/>
      <w:r>
        <w:rPr>
          <w:rFonts w:ascii="宋体" w:hAnsi="宋体" w:cs="宋体"/>
          <w:b/>
          <w:bCs/>
        </w:rPr>
        <w:t>7</w:t>
      </w:r>
      <w:r>
        <w:rPr>
          <w:rFonts w:ascii="宋体" w:hAnsi="宋体" w:cs="宋体"/>
          <w:b/>
          <w:bCs/>
        </w:rPr>
        <w:t>、本期内发生的估值技术变更及变更原因</w:t>
      </w:r>
      <w:bookmarkEnd w:id="414"/>
    </w:p>
    <w:p w:rsidR="00A067C6" w:rsidRDefault="005C4966">
      <w:pPr>
        <w:pStyle w:val="a6"/>
        <w:rPr>
          <w:rFonts w:ascii="Times New Roman" w:hAnsi="Times New Roman" w:cs="Times New Roman"/>
        </w:rPr>
      </w:pPr>
      <w:r>
        <w:rPr>
          <w:rFonts w:cs="Times New Roman" w:hint="eastAsia"/>
          <w:sz w:val="18"/>
          <w:szCs w:val="18"/>
        </w:rPr>
        <w:t>无。</w:t>
      </w:r>
    </w:p>
    <w:p w:rsidR="00A067C6" w:rsidRDefault="005C4966">
      <w:pPr>
        <w:pStyle w:val="3"/>
        <w:spacing w:line="280" w:lineRule="exact"/>
        <w:jc w:val="left"/>
        <w:rPr>
          <w:rFonts w:ascii="宋体" w:hAnsi="宋体" w:cs="宋体"/>
          <w:b/>
          <w:bCs/>
        </w:rPr>
      </w:pPr>
      <w:bookmarkStart w:id="415" w:name="_Toc989307"/>
      <w:r>
        <w:rPr>
          <w:rFonts w:ascii="宋体" w:hAnsi="宋体" w:cs="宋体"/>
          <w:b/>
          <w:bCs/>
        </w:rPr>
        <w:t>8</w:t>
      </w:r>
      <w:r>
        <w:rPr>
          <w:rFonts w:ascii="宋体" w:hAnsi="宋体" w:cs="宋体"/>
          <w:b/>
          <w:bCs/>
        </w:rPr>
        <w:t>、不以公允价值计量的金融资产和金融负债的公允价值情况</w:t>
      </w:r>
      <w:bookmarkEnd w:id="415"/>
    </w:p>
    <w:p w:rsidR="00A067C6" w:rsidRDefault="005C4966">
      <w:pPr>
        <w:pStyle w:val="a6"/>
        <w:spacing w:before="0" w:beforeAutospacing="0" w:after="0" w:afterAutospacing="0"/>
        <w:ind w:firstLine="360"/>
        <w:jc w:val="both"/>
      </w:pPr>
      <w:r>
        <w:rPr>
          <w:rFonts w:hint="eastAsia"/>
          <w:sz w:val="18"/>
          <w:szCs w:val="18"/>
        </w:rPr>
        <w:t>不以公允价值计量的金融资产和负债主要包括：应收款项、短期借款、应付款项、一年内到期的非流动负债和长期借款、在活跃市场中没有报价且其公允价值不能可靠计量的权益工具投资。</w:t>
      </w:r>
    </w:p>
    <w:p w:rsidR="00A067C6" w:rsidRDefault="005C4966">
      <w:pPr>
        <w:pStyle w:val="a6"/>
        <w:spacing w:before="0" w:beforeAutospacing="0" w:after="0" w:afterAutospacing="0"/>
        <w:ind w:firstLineChars="150" w:firstLine="270"/>
      </w:pPr>
      <w:r>
        <w:rPr>
          <w:rFonts w:hint="eastAsia"/>
          <w:sz w:val="18"/>
          <w:szCs w:val="18"/>
        </w:rPr>
        <w:t xml:space="preserve"> </w:t>
      </w:r>
      <w:r>
        <w:rPr>
          <w:rFonts w:hint="eastAsia"/>
          <w:sz w:val="18"/>
          <w:szCs w:val="18"/>
        </w:rPr>
        <w:t>上述不以公允价值计量的金融资产和负债的账面价值与公允价值相差很小。</w:t>
      </w:r>
    </w:p>
    <w:p w:rsidR="00A067C6" w:rsidRDefault="005C4966">
      <w:pPr>
        <w:pStyle w:val="3"/>
        <w:spacing w:line="280" w:lineRule="exact"/>
        <w:jc w:val="left"/>
        <w:rPr>
          <w:rFonts w:ascii="宋体" w:hAnsi="宋体" w:cs="宋体"/>
          <w:b/>
          <w:bCs/>
        </w:rPr>
      </w:pPr>
      <w:bookmarkStart w:id="416" w:name="_Toc989308"/>
      <w:r>
        <w:rPr>
          <w:rFonts w:ascii="宋体" w:hAnsi="宋体" w:cs="宋体"/>
          <w:b/>
          <w:bCs/>
        </w:rPr>
        <w:t>9</w:t>
      </w:r>
      <w:r>
        <w:rPr>
          <w:rFonts w:ascii="宋体" w:hAnsi="宋体" w:cs="宋体"/>
          <w:b/>
          <w:bCs/>
        </w:rPr>
        <w:t>、其他</w:t>
      </w:r>
      <w:bookmarkEnd w:id="416"/>
    </w:p>
    <w:p w:rsidR="00A067C6" w:rsidRDefault="005C4966">
      <w:pPr>
        <w:pStyle w:val="a6"/>
        <w:rPr>
          <w:rFonts w:ascii="Times New Roman" w:hAnsi="Times New Roman" w:cs="Times New Roman"/>
        </w:rPr>
      </w:pPr>
      <w:r>
        <w:rPr>
          <w:rFonts w:cs="Times New Roman" w:hint="eastAsia"/>
          <w:sz w:val="18"/>
          <w:szCs w:val="18"/>
        </w:rPr>
        <w:t>无。</w:t>
      </w:r>
    </w:p>
    <w:p w:rsidR="00A067C6" w:rsidRDefault="005C4966">
      <w:pPr>
        <w:pStyle w:val="2"/>
        <w:spacing w:before="300" w:after="300" w:line="320" w:lineRule="exact"/>
        <w:rPr>
          <w:rFonts w:ascii="宋体" w:eastAsia="宋体" w:hAnsi="宋体" w:cs="宋体"/>
          <w:b/>
          <w:bCs/>
          <w:sz w:val="24"/>
          <w:szCs w:val="24"/>
        </w:rPr>
      </w:pPr>
      <w:bookmarkStart w:id="417" w:name="_Toc989309"/>
      <w:r>
        <w:rPr>
          <w:rFonts w:ascii="宋体" w:eastAsia="宋体" w:hAnsi="宋体" w:cs="宋体"/>
          <w:b/>
          <w:bCs/>
          <w:sz w:val="24"/>
          <w:szCs w:val="24"/>
        </w:rPr>
        <w:t>十二、关联方及关联交易</w:t>
      </w:r>
      <w:bookmarkEnd w:id="417"/>
    </w:p>
    <w:p w:rsidR="00A067C6" w:rsidRDefault="005C4966">
      <w:pPr>
        <w:pStyle w:val="3"/>
        <w:spacing w:line="280" w:lineRule="exact"/>
        <w:jc w:val="left"/>
        <w:rPr>
          <w:rFonts w:ascii="宋体" w:hAnsi="宋体" w:cs="宋体"/>
          <w:b/>
          <w:bCs/>
        </w:rPr>
      </w:pPr>
      <w:bookmarkStart w:id="418" w:name="_Toc989310"/>
      <w:r>
        <w:rPr>
          <w:rFonts w:ascii="宋体" w:hAnsi="宋体" w:cs="宋体"/>
          <w:b/>
          <w:bCs/>
        </w:rPr>
        <w:t>1</w:t>
      </w:r>
      <w:r>
        <w:rPr>
          <w:rFonts w:ascii="宋体" w:hAnsi="宋体" w:cs="宋体"/>
          <w:b/>
          <w:bCs/>
        </w:rPr>
        <w:t>、本企业的母公司情况</w:t>
      </w:r>
      <w:bookmarkEnd w:id="418"/>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42"/>
        <w:gridCol w:w="709"/>
        <w:gridCol w:w="3544"/>
        <w:gridCol w:w="1134"/>
        <w:gridCol w:w="1417"/>
        <w:gridCol w:w="1593"/>
      </w:tblGrid>
      <w:tr w:rsidR="00A067C6">
        <w:trPr>
          <w:trHeight w:val="240"/>
        </w:trPr>
        <w:tc>
          <w:tcPr>
            <w:tcW w:w="1242"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母公司名称</w:t>
            </w:r>
          </w:p>
        </w:tc>
        <w:tc>
          <w:tcPr>
            <w:tcW w:w="70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注</w:t>
            </w:r>
            <w:r>
              <w:rPr>
                <w:rFonts w:ascii="宋体" w:eastAsia="宋体" w:hAnsi="宋体" w:cs="宋体"/>
                <w:sz w:val="18"/>
                <w:szCs w:val="18"/>
              </w:rPr>
              <w:t>册地</w:t>
            </w:r>
          </w:p>
        </w:tc>
        <w:tc>
          <w:tcPr>
            <w:tcW w:w="354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业务性质</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注册资本</w:t>
            </w:r>
          </w:p>
        </w:tc>
        <w:tc>
          <w:tcPr>
            <w:tcW w:w="141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母公司对本企业的持股比例</w:t>
            </w:r>
          </w:p>
        </w:tc>
        <w:tc>
          <w:tcPr>
            <w:tcW w:w="159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母公司对本企业的表决权比例</w:t>
            </w:r>
          </w:p>
        </w:tc>
      </w:tr>
      <w:tr w:rsidR="00A067C6">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70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广东省</w:t>
            </w:r>
          </w:p>
        </w:tc>
        <w:tc>
          <w:tcPr>
            <w:tcW w:w="354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投资兴办实业</w:t>
            </w:r>
            <w:r>
              <w:rPr>
                <w:rFonts w:ascii="宋体" w:eastAsia="宋体" w:hAnsi="宋体" w:cs="宋体"/>
                <w:sz w:val="18"/>
                <w:szCs w:val="18"/>
              </w:rPr>
              <w:t>(</w:t>
            </w:r>
            <w:r>
              <w:rPr>
                <w:rFonts w:ascii="宋体" w:eastAsia="宋体" w:hAnsi="宋体" w:cs="宋体"/>
                <w:sz w:val="18"/>
                <w:szCs w:val="18"/>
              </w:rPr>
              <w:t>具体项目另行申报</w:t>
            </w:r>
            <w:r>
              <w:rPr>
                <w:rFonts w:ascii="宋体" w:eastAsia="宋体" w:hAnsi="宋体" w:cs="宋体"/>
                <w:sz w:val="18"/>
                <w:szCs w:val="18"/>
              </w:rPr>
              <w:t>)</w:t>
            </w:r>
            <w:r>
              <w:rPr>
                <w:rFonts w:ascii="宋体" w:eastAsia="宋体" w:hAnsi="宋体" w:cs="宋体"/>
                <w:sz w:val="18"/>
                <w:szCs w:val="18"/>
              </w:rPr>
              <w:t>；色纺纱、服装经营；纺织设备进出口业务；在合法取得的土地使用权范围内从事房地产开发、经营；计算机应用、软件开发。</w:t>
            </w:r>
          </w:p>
        </w:tc>
        <w:tc>
          <w:tcPr>
            <w:tcW w:w="1134"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41,300</w:t>
            </w:r>
            <w:r>
              <w:rPr>
                <w:rFonts w:ascii="宋体" w:eastAsia="宋体" w:hAnsi="宋体" w:cs="宋体"/>
                <w:sz w:val="18"/>
                <w:szCs w:val="18"/>
              </w:rPr>
              <w:t>万元</w:t>
            </w:r>
          </w:p>
        </w:tc>
        <w:tc>
          <w:tcPr>
            <w:tcW w:w="141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30.62%</w:t>
            </w:r>
          </w:p>
        </w:tc>
        <w:tc>
          <w:tcPr>
            <w:tcW w:w="159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30.62%</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本企业的母公司情况的说明</w:t>
      </w:r>
      <w:r>
        <w:rPr>
          <w:rFonts w:ascii="宋体" w:eastAsia="宋体" w:hAnsi="宋体" w:cs="宋体" w:hint="eastAsia"/>
          <w:sz w:val="18"/>
          <w:szCs w:val="18"/>
        </w:rPr>
        <w:t>：</w:t>
      </w:r>
      <w:r>
        <w:rPr>
          <w:rFonts w:hint="eastAsia"/>
          <w:sz w:val="18"/>
          <w:szCs w:val="18"/>
        </w:rPr>
        <w:t>无。</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本企业最终控制方是孙伟挺和陈玲芬。</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pStyle w:val="3"/>
        <w:spacing w:line="280" w:lineRule="exact"/>
        <w:jc w:val="left"/>
        <w:rPr>
          <w:rFonts w:ascii="宋体" w:hAnsi="宋体" w:cs="宋体"/>
          <w:b/>
          <w:bCs/>
        </w:rPr>
      </w:pPr>
      <w:bookmarkStart w:id="419" w:name="_Toc989311"/>
      <w:r>
        <w:rPr>
          <w:rFonts w:ascii="宋体" w:hAnsi="宋体" w:cs="宋体"/>
          <w:b/>
          <w:bCs/>
        </w:rPr>
        <w:t>2</w:t>
      </w:r>
      <w:r>
        <w:rPr>
          <w:rFonts w:ascii="宋体" w:hAnsi="宋体" w:cs="宋体"/>
          <w:b/>
          <w:bCs/>
        </w:rPr>
        <w:t>、本企业的子公司情况</w:t>
      </w:r>
      <w:bookmarkEnd w:id="419"/>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本企业子公司的情况详见附注九、</w:t>
      </w:r>
      <w:r>
        <w:rPr>
          <w:rFonts w:ascii="宋体" w:eastAsia="宋体" w:hAnsi="宋体" w:cs="宋体"/>
          <w:sz w:val="18"/>
          <w:szCs w:val="18"/>
        </w:rPr>
        <w:t>1</w:t>
      </w:r>
      <w:r>
        <w:rPr>
          <w:rFonts w:ascii="宋体" w:eastAsia="宋体" w:hAnsi="宋体" w:cs="宋体"/>
          <w:sz w:val="18"/>
          <w:szCs w:val="18"/>
        </w:rPr>
        <w:t>、在子公司中的权益。</w:t>
      </w:r>
    </w:p>
    <w:p w:rsidR="00A067C6" w:rsidRDefault="005C4966">
      <w:pPr>
        <w:pStyle w:val="3"/>
        <w:spacing w:line="280" w:lineRule="exact"/>
        <w:jc w:val="left"/>
        <w:rPr>
          <w:rFonts w:ascii="宋体" w:hAnsi="宋体" w:cs="宋体"/>
          <w:b/>
          <w:bCs/>
        </w:rPr>
      </w:pPr>
      <w:bookmarkStart w:id="420" w:name="_Toc989312"/>
      <w:r>
        <w:rPr>
          <w:rFonts w:ascii="宋体" w:hAnsi="宋体" w:cs="宋体"/>
          <w:b/>
          <w:bCs/>
        </w:rPr>
        <w:t>3</w:t>
      </w:r>
      <w:r>
        <w:rPr>
          <w:rFonts w:ascii="宋体" w:hAnsi="宋体" w:cs="宋体"/>
          <w:b/>
          <w:bCs/>
        </w:rPr>
        <w:t>、本企业合营和联营企业情况</w:t>
      </w:r>
      <w:bookmarkEnd w:id="420"/>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本企业重要的合营或联营企业详见附注七、注释</w:t>
      </w:r>
      <w:r>
        <w:rPr>
          <w:rFonts w:ascii="宋体" w:eastAsia="宋体" w:hAnsi="宋体" w:cs="宋体"/>
          <w:sz w:val="18"/>
          <w:szCs w:val="18"/>
        </w:rPr>
        <w:t>17</w:t>
      </w:r>
      <w:r>
        <w:rPr>
          <w:rFonts w:ascii="宋体" w:eastAsia="宋体" w:hAnsi="宋体" w:cs="宋体"/>
          <w:sz w:val="18"/>
          <w:szCs w:val="18"/>
        </w:rPr>
        <w:t>长期股权投资。</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本期与本公司发生关联方交易，或前期与本公司发生关联方交易形成余额的其他合营或联营企业情况如下：</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A067C6">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合营或联营企业名称</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与本企业关系</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江苏科孚纺织品贸易有限公司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本公司子公司联营企业</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安徽环捷供应链管理有限公司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本公司子公司联营企业</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ascii="宋体" w:eastAsia="宋体" w:hAnsi="宋体" w:cs="宋体" w:hint="eastAsia"/>
          <w:sz w:val="18"/>
          <w:szCs w:val="18"/>
        </w:rPr>
        <w:t>：</w:t>
      </w:r>
      <w:r>
        <w:rPr>
          <w:rFonts w:hint="eastAsia"/>
          <w:sz w:val="18"/>
          <w:szCs w:val="18"/>
        </w:rPr>
        <w:t>无。</w:t>
      </w:r>
    </w:p>
    <w:p w:rsidR="00A067C6" w:rsidRDefault="005C4966">
      <w:pPr>
        <w:pStyle w:val="3"/>
        <w:spacing w:line="280" w:lineRule="exact"/>
        <w:jc w:val="left"/>
        <w:rPr>
          <w:rFonts w:ascii="宋体" w:hAnsi="宋体" w:cs="宋体"/>
          <w:b/>
          <w:bCs/>
        </w:rPr>
      </w:pPr>
      <w:bookmarkStart w:id="421" w:name="_Toc989313"/>
      <w:r>
        <w:rPr>
          <w:rFonts w:ascii="宋体" w:hAnsi="宋体" w:cs="宋体"/>
          <w:b/>
          <w:bCs/>
        </w:rPr>
        <w:t>4</w:t>
      </w:r>
      <w:r>
        <w:rPr>
          <w:rFonts w:ascii="宋体" w:hAnsi="宋体" w:cs="宋体"/>
          <w:b/>
          <w:bCs/>
        </w:rPr>
        <w:t>、其他关联方情况</w:t>
      </w:r>
      <w:bookmarkEnd w:id="421"/>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A067C6">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其他关联方名称</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其他关联方与本企业关系</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宁海华联纺织有限公司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与本公司为同一控股股东</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宁海县华兴纺织原料有限公司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与本公司为同一控股股东</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华孚集团有限公司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实际控制人控制的公司</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浙江华孚纺织有限公司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与本公司为同一控股股东</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余姚华联纺织有限公司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与本公司为同一控股股东</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浙江万孚投资集团有限公司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与本公司为同一控股股东</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安徽新一棉纺织有限公司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与本公司为同一控股股东</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深圳市华人投资有限公司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本公司股东、实际控制人控制的公司</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浙江万孚物业管理有限公司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与本公司为同一控股股东</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安徽飞亚纺织集团有限公司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本公司股东、与本公司为同一控股股东</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石河子国民村镇银行有限责任公司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本公司持有</w:t>
            </w:r>
            <w:r>
              <w:rPr>
                <w:rFonts w:ascii="宋体" w:eastAsia="宋体" w:hAnsi="宋体" w:cs="宋体"/>
                <w:sz w:val="18"/>
                <w:szCs w:val="18"/>
              </w:rPr>
              <w:t>5%</w:t>
            </w:r>
            <w:r>
              <w:rPr>
                <w:rFonts w:ascii="宋体" w:eastAsia="宋体" w:hAnsi="宋体" w:cs="宋体"/>
                <w:sz w:val="18"/>
                <w:szCs w:val="18"/>
              </w:rPr>
              <w:t>的股权</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上虞市华孚房地产开发有限公司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与本公司为同一控股股东</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新疆恒孚棉产业集团有限公司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与本公司为同一控股股东</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新疆棉花产业集团有限公司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控股子公司少数股东</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孙伟挺，陈玲芬，陈翰，孔祥云，高卫东，黄亚英，程桂松，王国友，张正，盛永月，熊旭锋，宣刚江</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本公司董事、监事及其他高级管理人员</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新疆纺织工业城有限公司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与本公司为同一控股股东</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库车银花棉业有限责任公司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其他关联方</w:t>
            </w:r>
            <w:r>
              <w:rPr>
                <w:rFonts w:ascii="宋体" w:eastAsia="宋体" w:hAnsi="宋体" w:cs="宋体"/>
                <w:sz w:val="18"/>
                <w:szCs w:val="18"/>
              </w:rPr>
              <w:t>-</w:t>
            </w:r>
            <w:r>
              <w:rPr>
                <w:rFonts w:ascii="宋体" w:eastAsia="宋体" w:hAnsi="宋体" w:cs="宋体"/>
                <w:sz w:val="18"/>
                <w:szCs w:val="18"/>
              </w:rPr>
              <w:t>本年度转让的子公司</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江阴市传澄电子商务有限公司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其他关联方</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淡安（江苏）健康产业有限公司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江阴市传澄子公司</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江苏传澄文化传播有限公司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江阴市传澄子公司</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上海传澄供应链管理有限公司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江阴市传澄子公司</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江阴市大澄企业管理合伙企业（有限合伙）</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江阴市传澄子公司</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新疆锦晟胡杨资产管理有限公司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控股子公司奎屯锦孚纺织持股</w:t>
            </w:r>
            <w:r>
              <w:rPr>
                <w:rFonts w:ascii="宋体" w:eastAsia="宋体" w:hAnsi="宋体" w:cs="宋体"/>
                <w:sz w:val="18"/>
                <w:szCs w:val="18"/>
              </w:rPr>
              <w:t>33%</w:t>
            </w:r>
            <w:r>
              <w:rPr>
                <w:rFonts w:ascii="宋体" w:eastAsia="宋体" w:hAnsi="宋体" w:cs="宋体"/>
                <w:sz w:val="18"/>
                <w:szCs w:val="18"/>
              </w:rPr>
              <w:t>的少数股东</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张晚霞、许栩光</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控股子公司浙江博忆、诸暨力旗持股</w:t>
            </w:r>
            <w:r>
              <w:rPr>
                <w:rFonts w:ascii="宋体" w:eastAsia="宋体" w:hAnsi="宋体" w:cs="宋体"/>
                <w:sz w:val="18"/>
                <w:szCs w:val="18"/>
              </w:rPr>
              <w:t>49%</w:t>
            </w:r>
            <w:r>
              <w:rPr>
                <w:rFonts w:ascii="宋体" w:eastAsia="宋体" w:hAnsi="宋体" w:cs="宋体"/>
                <w:sz w:val="18"/>
                <w:szCs w:val="18"/>
              </w:rPr>
              <w:t>的少数股东</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钟耀栋、蔡珊妮</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控股子公司浙江鲲驰互联持股</w:t>
            </w:r>
            <w:r>
              <w:rPr>
                <w:rFonts w:ascii="宋体" w:eastAsia="宋体" w:hAnsi="宋体" w:cs="宋体"/>
                <w:sz w:val="18"/>
                <w:szCs w:val="18"/>
              </w:rPr>
              <w:t>35.0485%</w:t>
            </w:r>
            <w:r>
              <w:rPr>
                <w:rFonts w:ascii="宋体" w:eastAsia="宋体" w:hAnsi="宋体" w:cs="宋体"/>
                <w:sz w:val="18"/>
                <w:szCs w:val="18"/>
              </w:rPr>
              <w:t>的少数股东</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ascii="宋体" w:eastAsia="宋体" w:hAnsi="宋体" w:cs="宋体" w:hint="eastAsia"/>
          <w:sz w:val="18"/>
          <w:szCs w:val="18"/>
        </w:rPr>
        <w:t>：</w:t>
      </w:r>
      <w:r>
        <w:rPr>
          <w:rFonts w:hint="eastAsia"/>
          <w:sz w:val="18"/>
          <w:szCs w:val="18"/>
        </w:rPr>
        <w:t>无。</w:t>
      </w:r>
    </w:p>
    <w:p w:rsidR="00A067C6" w:rsidRDefault="005C4966">
      <w:pPr>
        <w:pStyle w:val="3"/>
        <w:spacing w:line="280" w:lineRule="exact"/>
        <w:jc w:val="left"/>
        <w:rPr>
          <w:rFonts w:ascii="宋体" w:hAnsi="宋体" w:cs="宋体"/>
          <w:b/>
          <w:bCs/>
        </w:rPr>
      </w:pPr>
      <w:bookmarkStart w:id="422" w:name="_Toc989314"/>
      <w:r>
        <w:rPr>
          <w:rFonts w:ascii="宋体" w:hAnsi="宋体" w:cs="宋体"/>
          <w:b/>
          <w:bCs/>
        </w:rPr>
        <w:t>5</w:t>
      </w:r>
      <w:r>
        <w:rPr>
          <w:rFonts w:ascii="宋体" w:hAnsi="宋体" w:cs="宋体"/>
          <w:b/>
          <w:bCs/>
        </w:rPr>
        <w:t>、关联交易情况</w:t>
      </w:r>
      <w:bookmarkEnd w:id="422"/>
    </w:p>
    <w:p w:rsidR="00A067C6" w:rsidRDefault="005C4966">
      <w:pPr>
        <w:keepNext/>
        <w:keepLines/>
        <w:spacing w:before="300" w:after="300" w:line="280" w:lineRule="exact"/>
        <w:outlineLvl w:val="3"/>
        <w:rPr>
          <w:rFonts w:ascii="宋体" w:eastAsia="宋体" w:hAnsi="宋体" w:cs="宋体"/>
          <w:b/>
          <w:bCs/>
          <w:szCs w:val="21"/>
        </w:rPr>
      </w:pPr>
      <w:bookmarkStart w:id="423" w:name="_Toc989315"/>
      <w:r>
        <w:rPr>
          <w:rFonts w:ascii="宋体" w:eastAsia="宋体" w:hAnsi="宋体" w:cs="宋体"/>
          <w:b/>
          <w:bCs/>
          <w:szCs w:val="21"/>
        </w:rPr>
        <w:t>（</w:t>
      </w:r>
      <w:r>
        <w:rPr>
          <w:rFonts w:ascii="宋体" w:eastAsia="宋体" w:hAnsi="宋体" w:cs="宋体"/>
          <w:b/>
          <w:bCs/>
          <w:szCs w:val="21"/>
        </w:rPr>
        <w:t>1</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购销商品、提供和接受劳务的关联交易</w:t>
      </w:r>
      <w:bookmarkEnd w:id="423"/>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采购商品</w:t>
      </w:r>
      <w:r>
        <w:rPr>
          <w:rFonts w:ascii="宋体" w:eastAsia="宋体" w:hAnsi="宋体" w:cs="宋体"/>
          <w:sz w:val="18"/>
          <w:szCs w:val="18"/>
        </w:rPr>
        <w:t>/</w:t>
      </w:r>
      <w:r>
        <w:rPr>
          <w:rFonts w:ascii="宋体" w:eastAsia="宋体" w:hAnsi="宋体" w:cs="宋体"/>
          <w:sz w:val="18"/>
          <w:szCs w:val="18"/>
        </w:rPr>
        <w:t>接受劳务情况表</w:t>
      </w:r>
    </w:p>
    <w:p w:rsidR="00A067C6" w:rsidRDefault="005C4966">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6"/>
        <w:gridCol w:w="1606"/>
        <w:gridCol w:w="1606"/>
        <w:gridCol w:w="1607"/>
        <w:gridCol w:w="1607"/>
        <w:gridCol w:w="1607"/>
      </w:tblGrid>
      <w:tr w:rsidR="00A067C6">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关联交易内容</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获批的交易额度</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是否超过交易额度</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A067C6">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江苏科孚纺织品贸易有限公司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采购棉花</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21,163,993.80</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21,163,993.80</w:t>
            </w:r>
          </w:p>
        </w:tc>
      </w:tr>
      <w:tr w:rsidR="00A067C6">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安徽环捷供应链管理有限公司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仓储物流服务</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73,889,791.53</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200,000,000.00</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购销商品、提供和接受劳务的关联交易说明</w:t>
      </w:r>
      <w:r>
        <w:rPr>
          <w:rFonts w:ascii="宋体" w:eastAsia="宋体" w:hAnsi="宋体" w:cs="宋体" w:hint="eastAsia"/>
          <w:sz w:val="18"/>
          <w:szCs w:val="18"/>
        </w:rPr>
        <w:t>：</w:t>
      </w:r>
      <w:r>
        <w:rPr>
          <w:rFonts w:hint="eastAsia"/>
          <w:sz w:val="18"/>
          <w:szCs w:val="18"/>
        </w:rPr>
        <w:t>无。</w:t>
      </w:r>
    </w:p>
    <w:p w:rsidR="00A067C6" w:rsidRDefault="005C4966">
      <w:pPr>
        <w:keepNext/>
        <w:keepLines/>
        <w:spacing w:before="300" w:after="300" w:line="280" w:lineRule="exact"/>
        <w:outlineLvl w:val="3"/>
        <w:rPr>
          <w:rFonts w:ascii="宋体" w:eastAsia="宋体" w:hAnsi="宋体" w:cs="宋体"/>
          <w:b/>
          <w:bCs/>
          <w:szCs w:val="21"/>
        </w:rPr>
      </w:pPr>
      <w:bookmarkStart w:id="424" w:name="_Toc989316"/>
      <w:r>
        <w:rPr>
          <w:rFonts w:ascii="宋体" w:eastAsia="宋体" w:hAnsi="宋体" w:cs="宋体"/>
          <w:b/>
          <w:bCs/>
          <w:szCs w:val="21"/>
        </w:rPr>
        <w:t>（</w:t>
      </w:r>
      <w:r>
        <w:rPr>
          <w:rFonts w:ascii="宋体" w:eastAsia="宋体" w:hAnsi="宋体" w:cs="宋体"/>
          <w:b/>
          <w:bCs/>
          <w:szCs w:val="21"/>
        </w:rPr>
        <w:t>2</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关联受托管理</w:t>
      </w:r>
      <w:r>
        <w:rPr>
          <w:rFonts w:ascii="宋体" w:eastAsia="宋体" w:hAnsi="宋体" w:cs="宋体"/>
          <w:b/>
          <w:bCs/>
          <w:szCs w:val="21"/>
        </w:rPr>
        <w:t>/</w:t>
      </w:r>
      <w:r>
        <w:rPr>
          <w:rFonts w:ascii="宋体" w:eastAsia="宋体" w:hAnsi="宋体" w:cs="宋体"/>
          <w:b/>
          <w:bCs/>
          <w:szCs w:val="21"/>
        </w:rPr>
        <w:t>承包及委托管理</w:t>
      </w:r>
      <w:r>
        <w:rPr>
          <w:rFonts w:ascii="宋体" w:eastAsia="宋体" w:hAnsi="宋体" w:cs="宋体"/>
          <w:b/>
          <w:bCs/>
          <w:szCs w:val="21"/>
        </w:rPr>
        <w:t>/</w:t>
      </w:r>
      <w:r>
        <w:rPr>
          <w:rFonts w:ascii="宋体" w:eastAsia="宋体" w:hAnsi="宋体" w:cs="宋体"/>
          <w:b/>
          <w:bCs/>
          <w:szCs w:val="21"/>
        </w:rPr>
        <w:t>出包情况</w:t>
      </w:r>
      <w:bookmarkEnd w:id="424"/>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关联托管</w:t>
      </w:r>
      <w:r>
        <w:rPr>
          <w:rFonts w:ascii="宋体" w:eastAsia="宋体" w:hAnsi="宋体" w:cs="宋体"/>
          <w:sz w:val="18"/>
          <w:szCs w:val="18"/>
        </w:rPr>
        <w:t>/</w:t>
      </w:r>
      <w:r>
        <w:rPr>
          <w:rFonts w:ascii="宋体" w:eastAsia="宋体" w:hAnsi="宋体" w:cs="宋体"/>
          <w:sz w:val="18"/>
          <w:szCs w:val="18"/>
        </w:rPr>
        <w:t>承包情况说明</w:t>
      </w:r>
      <w:r>
        <w:rPr>
          <w:rFonts w:hint="eastAsia"/>
          <w:sz w:val="18"/>
          <w:szCs w:val="18"/>
        </w:rPr>
        <w:t>无。</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关联管理</w:t>
      </w:r>
      <w:r>
        <w:rPr>
          <w:rFonts w:ascii="宋体" w:eastAsia="宋体" w:hAnsi="宋体" w:cs="宋体"/>
          <w:sz w:val="18"/>
          <w:szCs w:val="18"/>
        </w:rPr>
        <w:t>/</w:t>
      </w:r>
      <w:r>
        <w:rPr>
          <w:rFonts w:ascii="宋体" w:eastAsia="宋体" w:hAnsi="宋体" w:cs="宋体"/>
          <w:sz w:val="18"/>
          <w:szCs w:val="18"/>
        </w:rPr>
        <w:t>出包情况说明</w:t>
      </w:r>
      <w:r>
        <w:rPr>
          <w:rFonts w:ascii="宋体" w:eastAsia="宋体" w:hAnsi="宋体" w:cs="宋体" w:hint="eastAsia"/>
          <w:sz w:val="18"/>
          <w:szCs w:val="18"/>
        </w:rPr>
        <w:t>：</w:t>
      </w:r>
      <w:r>
        <w:rPr>
          <w:rFonts w:hint="eastAsia"/>
          <w:sz w:val="18"/>
          <w:szCs w:val="18"/>
        </w:rPr>
        <w:t>无。</w:t>
      </w:r>
    </w:p>
    <w:p w:rsidR="00A067C6" w:rsidRDefault="005C4966">
      <w:pPr>
        <w:keepNext/>
        <w:keepLines/>
        <w:spacing w:before="300" w:after="300" w:line="280" w:lineRule="exact"/>
        <w:outlineLvl w:val="3"/>
        <w:rPr>
          <w:rFonts w:ascii="宋体" w:eastAsia="宋体" w:hAnsi="宋体" w:cs="宋体"/>
          <w:b/>
          <w:bCs/>
          <w:szCs w:val="21"/>
        </w:rPr>
      </w:pPr>
      <w:bookmarkStart w:id="425" w:name="_Toc989317"/>
      <w:r>
        <w:rPr>
          <w:rFonts w:ascii="宋体" w:eastAsia="宋体" w:hAnsi="宋体" w:cs="宋体"/>
          <w:b/>
          <w:bCs/>
          <w:szCs w:val="21"/>
        </w:rPr>
        <w:t>（</w:t>
      </w:r>
      <w:r>
        <w:rPr>
          <w:rFonts w:ascii="宋体" w:eastAsia="宋体" w:hAnsi="宋体" w:cs="宋体"/>
          <w:b/>
          <w:bCs/>
          <w:szCs w:val="21"/>
        </w:rPr>
        <w:t>3</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关联租赁情况</w:t>
      </w:r>
      <w:bookmarkEnd w:id="425"/>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关联租赁情况说明</w:t>
      </w:r>
      <w:r>
        <w:rPr>
          <w:rFonts w:ascii="宋体" w:eastAsia="宋体" w:hAnsi="宋体" w:cs="宋体" w:hint="eastAsia"/>
          <w:sz w:val="18"/>
          <w:szCs w:val="18"/>
        </w:rPr>
        <w:t>：</w:t>
      </w:r>
      <w:r>
        <w:rPr>
          <w:rFonts w:hint="eastAsia"/>
          <w:sz w:val="18"/>
          <w:szCs w:val="18"/>
        </w:rPr>
        <w:t>无。</w:t>
      </w:r>
    </w:p>
    <w:p w:rsidR="00A067C6" w:rsidRDefault="005C4966">
      <w:pPr>
        <w:keepNext/>
        <w:keepLines/>
        <w:spacing w:before="300" w:after="300" w:line="280" w:lineRule="exact"/>
        <w:outlineLvl w:val="3"/>
        <w:rPr>
          <w:rFonts w:ascii="宋体" w:eastAsia="宋体" w:hAnsi="宋体" w:cs="宋体"/>
          <w:b/>
          <w:bCs/>
          <w:szCs w:val="21"/>
        </w:rPr>
      </w:pPr>
      <w:bookmarkStart w:id="426" w:name="_Toc989318"/>
      <w:r>
        <w:rPr>
          <w:rFonts w:ascii="宋体" w:eastAsia="宋体" w:hAnsi="宋体" w:cs="宋体"/>
          <w:b/>
          <w:bCs/>
          <w:szCs w:val="21"/>
        </w:rPr>
        <w:t>（</w:t>
      </w:r>
      <w:r>
        <w:rPr>
          <w:rFonts w:ascii="宋体" w:eastAsia="宋体" w:hAnsi="宋体" w:cs="宋体"/>
          <w:b/>
          <w:bCs/>
          <w:szCs w:val="21"/>
        </w:rPr>
        <w:t>4</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关联担保情况</w:t>
      </w:r>
      <w:bookmarkEnd w:id="426"/>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本公司作为担保方</w:t>
      </w:r>
      <w:r>
        <w:rPr>
          <w:rFonts w:ascii="宋体" w:eastAsia="宋体" w:hAnsi="宋体" w:cs="宋体" w:hint="eastAsia"/>
          <w:sz w:val="18"/>
          <w:szCs w:val="18"/>
        </w:rPr>
        <w:t>：无。</w:t>
      </w:r>
    </w:p>
    <w:p w:rsidR="00A067C6" w:rsidRDefault="00A067C6">
      <w:pPr>
        <w:spacing w:before="40" w:after="40" w:line="240" w:lineRule="exact"/>
        <w:rPr>
          <w:rFonts w:ascii="宋体" w:eastAsia="宋体" w:hAnsi="宋体" w:cs="宋体"/>
          <w:sz w:val="18"/>
          <w:szCs w:val="18"/>
        </w:rPr>
      </w:pPr>
    </w:p>
    <w:p w:rsidR="00A067C6" w:rsidRDefault="005C4966">
      <w:pPr>
        <w:spacing w:before="100" w:after="40" w:line="240" w:lineRule="exact"/>
        <w:rPr>
          <w:rFonts w:ascii="宋体" w:eastAsia="宋体" w:hAnsi="宋体" w:cs="宋体"/>
          <w:sz w:val="18"/>
          <w:szCs w:val="18"/>
        </w:rPr>
      </w:pPr>
      <w:r>
        <w:rPr>
          <w:rFonts w:ascii="宋体" w:eastAsia="宋体" w:hAnsi="宋体" w:cs="宋体"/>
          <w:sz w:val="18"/>
          <w:szCs w:val="18"/>
        </w:rPr>
        <w:t>本公司作为被担保方</w:t>
      </w:r>
    </w:p>
    <w:p w:rsidR="00A067C6" w:rsidRDefault="005C4966">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担保方</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担保金额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担保起始日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担保到期日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担保是否已经履行完毕</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张晚霞、许栩光</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06</w:t>
            </w:r>
            <w:r>
              <w:rPr>
                <w:rFonts w:ascii="宋体" w:eastAsia="宋体" w:hAnsi="宋体" w:cs="宋体"/>
                <w:sz w:val="18"/>
                <w:szCs w:val="18"/>
              </w:rPr>
              <w:t>月</w:t>
            </w:r>
            <w:r>
              <w:rPr>
                <w:rFonts w:ascii="宋体" w:eastAsia="宋体" w:hAnsi="宋体" w:cs="宋体"/>
                <w:sz w:val="18"/>
                <w:szCs w:val="18"/>
              </w:rPr>
              <w:t>29</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12</w:t>
            </w:r>
            <w:r>
              <w:rPr>
                <w:rFonts w:ascii="宋体" w:eastAsia="宋体" w:hAnsi="宋体" w:cs="宋体"/>
                <w:sz w:val="18"/>
                <w:szCs w:val="18"/>
              </w:rPr>
              <w:t>月</w:t>
            </w:r>
            <w:r>
              <w:rPr>
                <w:rFonts w:ascii="宋体" w:eastAsia="宋体" w:hAnsi="宋体" w:cs="宋体"/>
                <w:sz w:val="18"/>
                <w:szCs w:val="18"/>
              </w:rPr>
              <w:t>19</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张晚霞、许栩光</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06</w:t>
            </w:r>
            <w:r>
              <w:rPr>
                <w:rFonts w:ascii="宋体" w:eastAsia="宋体" w:hAnsi="宋体" w:cs="宋体"/>
                <w:sz w:val="18"/>
                <w:szCs w:val="18"/>
              </w:rPr>
              <w:t>月</w:t>
            </w:r>
            <w:r>
              <w:rPr>
                <w:rFonts w:ascii="宋体" w:eastAsia="宋体" w:hAnsi="宋体" w:cs="宋体"/>
                <w:sz w:val="18"/>
                <w:szCs w:val="18"/>
              </w:rPr>
              <w:t>29</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12</w:t>
            </w:r>
            <w:r>
              <w:rPr>
                <w:rFonts w:ascii="宋体" w:eastAsia="宋体" w:hAnsi="宋体" w:cs="宋体"/>
                <w:sz w:val="18"/>
                <w:szCs w:val="18"/>
              </w:rPr>
              <w:t>月</w:t>
            </w:r>
            <w:r>
              <w:rPr>
                <w:rFonts w:ascii="宋体" w:eastAsia="宋体" w:hAnsi="宋体" w:cs="宋体"/>
                <w:sz w:val="18"/>
                <w:szCs w:val="18"/>
              </w:rPr>
              <w:t>18</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张晚霞、许栩光</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06</w:t>
            </w:r>
            <w:r>
              <w:rPr>
                <w:rFonts w:ascii="宋体" w:eastAsia="宋体" w:hAnsi="宋体" w:cs="宋体"/>
                <w:sz w:val="18"/>
                <w:szCs w:val="18"/>
              </w:rPr>
              <w:t>月</w:t>
            </w:r>
            <w:r>
              <w:rPr>
                <w:rFonts w:ascii="宋体" w:eastAsia="宋体" w:hAnsi="宋体" w:cs="宋体"/>
                <w:sz w:val="18"/>
                <w:szCs w:val="18"/>
              </w:rPr>
              <w:t>29</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12</w:t>
            </w:r>
            <w:r>
              <w:rPr>
                <w:rFonts w:ascii="宋体" w:eastAsia="宋体" w:hAnsi="宋体" w:cs="宋体"/>
                <w:sz w:val="18"/>
                <w:szCs w:val="18"/>
              </w:rPr>
              <w:t>月</w:t>
            </w:r>
            <w:r>
              <w:rPr>
                <w:rFonts w:ascii="宋体" w:eastAsia="宋体" w:hAnsi="宋体" w:cs="宋体"/>
                <w:sz w:val="18"/>
                <w:szCs w:val="18"/>
              </w:rPr>
              <w:t>20</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张晚霞、许栩光</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06</w:t>
            </w:r>
            <w:r>
              <w:rPr>
                <w:rFonts w:ascii="宋体" w:eastAsia="宋体" w:hAnsi="宋体" w:cs="宋体"/>
                <w:sz w:val="18"/>
                <w:szCs w:val="18"/>
              </w:rPr>
              <w:t>月</w:t>
            </w:r>
            <w:r>
              <w:rPr>
                <w:rFonts w:ascii="宋体" w:eastAsia="宋体" w:hAnsi="宋体" w:cs="宋体"/>
                <w:sz w:val="18"/>
                <w:szCs w:val="18"/>
              </w:rPr>
              <w:t>29</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12</w:t>
            </w:r>
            <w:r>
              <w:rPr>
                <w:rFonts w:ascii="宋体" w:eastAsia="宋体" w:hAnsi="宋体" w:cs="宋体"/>
                <w:sz w:val="18"/>
                <w:szCs w:val="18"/>
              </w:rPr>
              <w:t>月</w:t>
            </w:r>
            <w:r>
              <w:rPr>
                <w:rFonts w:ascii="宋体" w:eastAsia="宋体" w:hAnsi="宋体" w:cs="宋体"/>
                <w:sz w:val="18"/>
                <w:szCs w:val="18"/>
              </w:rPr>
              <w:t>21</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华孚控股、华孚时尚、浙江色纺、九江中浩</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2022</w:t>
            </w:r>
            <w:r>
              <w:rPr>
                <w:rFonts w:ascii="宋体" w:eastAsia="宋体" w:hAnsi="宋体" w:cs="宋体"/>
                <w:sz w:val="18"/>
                <w:szCs w:val="18"/>
              </w:rPr>
              <w:t>年</w:t>
            </w:r>
            <w:r>
              <w:rPr>
                <w:rFonts w:ascii="宋体" w:eastAsia="宋体" w:hAnsi="宋体" w:cs="宋体"/>
                <w:sz w:val="18"/>
                <w:szCs w:val="18"/>
              </w:rPr>
              <w:t>07</w:t>
            </w:r>
            <w:r>
              <w:rPr>
                <w:rFonts w:ascii="宋体" w:eastAsia="宋体" w:hAnsi="宋体" w:cs="宋体"/>
                <w:sz w:val="18"/>
                <w:szCs w:val="18"/>
              </w:rPr>
              <w:t>月</w:t>
            </w:r>
            <w:r>
              <w:rPr>
                <w:rFonts w:ascii="宋体" w:eastAsia="宋体" w:hAnsi="宋体" w:cs="宋体"/>
                <w:sz w:val="18"/>
                <w:szCs w:val="18"/>
              </w:rPr>
              <w:t>20</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07</w:t>
            </w:r>
            <w:r>
              <w:rPr>
                <w:rFonts w:ascii="宋体" w:eastAsia="宋体" w:hAnsi="宋体" w:cs="宋体"/>
                <w:sz w:val="18"/>
                <w:szCs w:val="18"/>
              </w:rPr>
              <w:t>月</w:t>
            </w:r>
            <w:r>
              <w:rPr>
                <w:rFonts w:ascii="宋体" w:eastAsia="宋体" w:hAnsi="宋体" w:cs="宋体"/>
                <w:sz w:val="18"/>
                <w:szCs w:val="18"/>
              </w:rPr>
              <w:t>18</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华孚控股、华孚时尚、浙江色纺、九江中浩</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2022</w:t>
            </w:r>
            <w:r>
              <w:rPr>
                <w:rFonts w:ascii="宋体" w:eastAsia="宋体" w:hAnsi="宋体" w:cs="宋体"/>
                <w:sz w:val="18"/>
                <w:szCs w:val="18"/>
              </w:rPr>
              <w:t>年</w:t>
            </w:r>
            <w:r>
              <w:rPr>
                <w:rFonts w:ascii="宋体" w:eastAsia="宋体" w:hAnsi="宋体" w:cs="宋体"/>
                <w:sz w:val="18"/>
                <w:szCs w:val="18"/>
              </w:rPr>
              <w:t>07</w:t>
            </w:r>
            <w:r>
              <w:rPr>
                <w:rFonts w:ascii="宋体" w:eastAsia="宋体" w:hAnsi="宋体" w:cs="宋体"/>
                <w:sz w:val="18"/>
                <w:szCs w:val="18"/>
              </w:rPr>
              <w:t>月</w:t>
            </w:r>
            <w:r>
              <w:rPr>
                <w:rFonts w:ascii="宋体" w:eastAsia="宋体" w:hAnsi="宋体" w:cs="宋体"/>
                <w:sz w:val="18"/>
                <w:szCs w:val="18"/>
              </w:rPr>
              <w:t>20</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07</w:t>
            </w:r>
            <w:r>
              <w:rPr>
                <w:rFonts w:ascii="宋体" w:eastAsia="宋体" w:hAnsi="宋体" w:cs="宋体"/>
                <w:sz w:val="18"/>
                <w:szCs w:val="18"/>
              </w:rPr>
              <w:t>月</w:t>
            </w:r>
            <w:r>
              <w:rPr>
                <w:rFonts w:ascii="宋体" w:eastAsia="宋体" w:hAnsi="宋体" w:cs="宋体"/>
                <w:sz w:val="18"/>
                <w:szCs w:val="18"/>
              </w:rPr>
              <w:t>18</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华孚控股、华孚时尚、浙江色纺、九江中浩</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2022</w:t>
            </w:r>
            <w:r>
              <w:rPr>
                <w:rFonts w:ascii="宋体" w:eastAsia="宋体" w:hAnsi="宋体" w:cs="宋体"/>
                <w:sz w:val="18"/>
                <w:szCs w:val="18"/>
              </w:rPr>
              <w:t>年</w:t>
            </w:r>
            <w:r>
              <w:rPr>
                <w:rFonts w:ascii="宋体" w:eastAsia="宋体" w:hAnsi="宋体" w:cs="宋体"/>
                <w:sz w:val="18"/>
                <w:szCs w:val="18"/>
              </w:rPr>
              <w:t>07</w:t>
            </w:r>
            <w:r>
              <w:rPr>
                <w:rFonts w:ascii="宋体" w:eastAsia="宋体" w:hAnsi="宋体" w:cs="宋体"/>
                <w:sz w:val="18"/>
                <w:szCs w:val="18"/>
              </w:rPr>
              <w:t>月</w:t>
            </w:r>
            <w:r>
              <w:rPr>
                <w:rFonts w:ascii="宋体" w:eastAsia="宋体" w:hAnsi="宋体" w:cs="宋体"/>
                <w:sz w:val="18"/>
                <w:szCs w:val="18"/>
              </w:rPr>
              <w:t>20</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07</w:t>
            </w:r>
            <w:r>
              <w:rPr>
                <w:rFonts w:ascii="宋体" w:eastAsia="宋体" w:hAnsi="宋体" w:cs="宋体"/>
                <w:sz w:val="18"/>
                <w:szCs w:val="18"/>
              </w:rPr>
              <w:t>月</w:t>
            </w:r>
            <w:r>
              <w:rPr>
                <w:rFonts w:ascii="宋体" w:eastAsia="宋体" w:hAnsi="宋体" w:cs="宋体"/>
                <w:sz w:val="18"/>
                <w:szCs w:val="18"/>
              </w:rPr>
              <w:t>12</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华孚控股、华孚时尚、浙江色纺、九江中浩</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2022</w:t>
            </w:r>
            <w:r>
              <w:rPr>
                <w:rFonts w:ascii="宋体" w:eastAsia="宋体" w:hAnsi="宋体" w:cs="宋体"/>
                <w:sz w:val="18"/>
                <w:szCs w:val="18"/>
              </w:rPr>
              <w:t>年</w:t>
            </w:r>
            <w:r>
              <w:rPr>
                <w:rFonts w:ascii="宋体" w:eastAsia="宋体" w:hAnsi="宋体" w:cs="宋体"/>
                <w:sz w:val="18"/>
                <w:szCs w:val="18"/>
              </w:rPr>
              <w:t>07</w:t>
            </w:r>
            <w:r>
              <w:rPr>
                <w:rFonts w:ascii="宋体" w:eastAsia="宋体" w:hAnsi="宋体" w:cs="宋体"/>
                <w:sz w:val="18"/>
                <w:szCs w:val="18"/>
              </w:rPr>
              <w:t>月</w:t>
            </w:r>
            <w:r>
              <w:rPr>
                <w:rFonts w:ascii="宋体" w:eastAsia="宋体" w:hAnsi="宋体" w:cs="宋体"/>
                <w:sz w:val="18"/>
                <w:szCs w:val="18"/>
              </w:rPr>
              <w:t>20</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07</w:t>
            </w:r>
            <w:r>
              <w:rPr>
                <w:rFonts w:ascii="宋体" w:eastAsia="宋体" w:hAnsi="宋体" w:cs="宋体"/>
                <w:sz w:val="18"/>
                <w:szCs w:val="18"/>
              </w:rPr>
              <w:t>月</w:t>
            </w:r>
            <w:r>
              <w:rPr>
                <w:rFonts w:ascii="宋体" w:eastAsia="宋体" w:hAnsi="宋体" w:cs="宋体"/>
                <w:sz w:val="18"/>
                <w:szCs w:val="18"/>
              </w:rPr>
              <w:t>12</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华孚控股、华孚时尚、浙江色纺、九江中浩</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200,000,000.00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2022</w:t>
            </w:r>
            <w:r>
              <w:rPr>
                <w:rFonts w:ascii="宋体" w:eastAsia="宋体" w:hAnsi="宋体" w:cs="宋体"/>
                <w:sz w:val="18"/>
                <w:szCs w:val="18"/>
              </w:rPr>
              <w:t>年</w:t>
            </w:r>
            <w:r>
              <w:rPr>
                <w:rFonts w:ascii="宋体" w:eastAsia="宋体" w:hAnsi="宋体" w:cs="宋体"/>
                <w:sz w:val="18"/>
                <w:szCs w:val="18"/>
              </w:rPr>
              <w:t>09</w:t>
            </w:r>
            <w:r>
              <w:rPr>
                <w:rFonts w:ascii="宋体" w:eastAsia="宋体" w:hAnsi="宋体" w:cs="宋体"/>
                <w:sz w:val="18"/>
                <w:szCs w:val="18"/>
              </w:rPr>
              <w:t>月</w:t>
            </w:r>
            <w:r>
              <w:rPr>
                <w:rFonts w:ascii="宋体" w:eastAsia="宋体" w:hAnsi="宋体" w:cs="宋体"/>
                <w:sz w:val="18"/>
                <w:szCs w:val="18"/>
              </w:rPr>
              <w:t>13</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07</w:t>
            </w:r>
            <w:r>
              <w:rPr>
                <w:rFonts w:ascii="宋体" w:eastAsia="宋体" w:hAnsi="宋体" w:cs="宋体"/>
                <w:sz w:val="18"/>
                <w:szCs w:val="18"/>
              </w:rPr>
              <w:t>月</w:t>
            </w:r>
            <w:r>
              <w:rPr>
                <w:rFonts w:ascii="宋体" w:eastAsia="宋体" w:hAnsi="宋体" w:cs="宋体"/>
                <w:sz w:val="18"/>
                <w:szCs w:val="18"/>
              </w:rPr>
              <w:t>19</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华孚控股、华孚时尚、浙江色纺、九江中浩</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2022</w:t>
            </w:r>
            <w:r>
              <w:rPr>
                <w:rFonts w:ascii="宋体" w:eastAsia="宋体" w:hAnsi="宋体" w:cs="宋体"/>
                <w:sz w:val="18"/>
                <w:szCs w:val="18"/>
              </w:rPr>
              <w:t>年</w:t>
            </w:r>
            <w:r>
              <w:rPr>
                <w:rFonts w:ascii="宋体" w:eastAsia="宋体" w:hAnsi="宋体" w:cs="宋体"/>
                <w:sz w:val="18"/>
                <w:szCs w:val="18"/>
              </w:rPr>
              <w:t>10</w:t>
            </w:r>
            <w:r>
              <w:rPr>
                <w:rFonts w:ascii="宋体" w:eastAsia="宋体" w:hAnsi="宋体" w:cs="宋体"/>
                <w:sz w:val="18"/>
                <w:szCs w:val="18"/>
              </w:rPr>
              <w:t>月</w:t>
            </w:r>
            <w:r>
              <w:rPr>
                <w:rFonts w:ascii="宋体" w:eastAsia="宋体" w:hAnsi="宋体" w:cs="宋体"/>
                <w:sz w:val="18"/>
                <w:szCs w:val="18"/>
              </w:rPr>
              <w:t>17</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10</w:t>
            </w:r>
            <w:r>
              <w:rPr>
                <w:rFonts w:ascii="宋体" w:eastAsia="宋体" w:hAnsi="宋体" w:cs="宋体"/>
                <w:sz w:val="18"/>
                <w:szCs w:val="18"/>
              </w:rPr>
              <w:t>月</w:t>
            </w:r>
            <w:r>
              <w:rPr>
                <w:rFonts w:ascii="宋体" w:eastAsia="宋体" w:hAnsi="宋体" w:cs="宋体"/>
                <w:sz w:val="18"/>
                <w:szCs w:val="18"/>
              </w:rPr>
              <w:t>13</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华孚控股、华孚时尚、浙江色纺、九江中浩</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2022</w:t>
            </w:r>
            <w:r>
              <w:rPr>
                <w:rFonts w:ascii="宋体" w:eastAsia="宋体" w:hAnsi="宋体" w:cs="宋体"/>
                <w:sz w:val="18"/>
                <w:szCs w:val="18"/>
              </w:rPr>
              <w:t>年</w:t>
            </w:r>
            <w:r>
              <w:rPr>
                <w:rFonts w:ascii="宋体" w:eastAsia="宋体" w:hAnsi="宋体" w:cs="宋体"/>
                <w:sz w:val="18"/>
                <w:szCs w:val="18"/>
              </w:rPr>
              <w:t>10</w:t>
            </w:r>
            <w:r>
              <w:rPr>
                <w:rFonts w:ascii="宋体" w:eastAsia="宋体" w:hAnsi="宋体" w:cs="宋体"/>
                <w:sz w:val="18"/>
                <w:szCs w:val="18"/>
              </w:rPr>
              <w:t>月</w:t>
            </w:r>
            <w:r>
              <w:rPr>
                <w:rFonts w:ascii="宋体" w:eastAsia="宋体" w:hAnsi="宋体" w:cs="宋体"/>
                <w:sz w:val="18"/>
                <w:szCs w:val="18"/>
              </w:rPr>
              <w:t>17</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10</w:t>
            </w:r>
            <w:r>
              <w:rPr>
                <w:rFonts w:ascii="宋体" w:eastAsia="宋体" w:hAnsi="宋体" w:cs="宋体"/>
                <w:sz w:val="18"/>
                <w:szCs w:val="18"/>
              </w:rPr>
              <w:t>月</w:t>
            </w:r>
            <w:r>
              <w:rPr>
                <w:rFonts w:ascii="宋体" w:eastAsia="宋体" w:hAnsi="宋体" w:cs="宋体"/>
                <w:sz w:val="18"/>
                <w:szCs w:val="18"/>
              </w:rPr>
              <w:t>13</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华孚控股、华孚时尚、浙江色纺、九江中浩</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2022</w:t>
            </w:r>
            <w:r>
              <w:rPr>
                <w:rFonts w:ascii="宋体" w:eastAsia="宋体" w:hAnsi="宋体" w:cs="宋体"/>
                <w:sz w:val="18"/>
                <w:szCs w:val="18"/>
              </w:rPr>
              <w:t>年</w:t>
            </w:r>
            <w:r>
              <w:rPr>
                <w:rFonts w:ascii="宋体" w:eastAsia="宋体" w:hAnsi="宋体" w:cs="宋体"/>
                <w:sz w:val="18"/>
                <w:szCs w:val="18"/>
              </w:rPr>
              <w:t>10</w:t>
            </w:r>
            <w:r>
              <w:rPr>
                <w:rFonts w:ascii="宋体" w:eastAsia="宋体" w:hAnsi="宋体" w:cs="宋体"/>
                <w:sz w:val="18"/>
                <w:szCs w:val="18"/>
              </w:rPr>
              <w:t>月</w:t>
            </w:r>
            <w:r>
              <w:rPr>
                <w:rFonts w:ascii="宋体" w:eastAsia="宋体" w:hAnsi="宋体" w:cs="宋体"/>
                <w:sz w:val="18"/>
                <w:szCs w:val="18"/>
              </w:rPr>
              <w:t>17</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10</w:t>
            </w:r>
            <w:r>
              <w:rPr>
                <w:rFonts w:ascii="宋体" w:eastAsia="宋体" w:hAnsi="宋体" w:cs="宋体"/>
                <w:sz w:val="18"/>
                <w:szCs w:val="18"/>
              </w:rPr>
              <w:t>月</w:t>
            </w:r>
            <w:r>
              <w:rPr>
                <w:rFonts w:ascii="宋体" w:eastAsia="宋体" w:hAnsi="宋体" w:cs="宋体"/>
                <w:sz w:val="18"/>
                <w:szCs w:val="18"/>
              </w:rPr>
              <w:t>13</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华孚控股、华孚时尚、浙江色纺</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95,000,000.00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2022</w:t>
            </w:r>
            <w:r>
              <w:rPr>
                <w:rFonts w:ascii="宋体" w:eastAsia="宋体" w:hAnsi="宋体" w:cs="宋体"/>
                <w:sz w:val="18"/>
                <w:szCs w:val="18"/>
              </w:rPr>
              <w:t>年</w:t>
            </w:r>
            <w:r>
              <w:rPr>
                <w:rFonts w:ascii="宋体" w:eastAsia="宋体" w:hAnsi="宋体" w:cs="宋体"/>
                <w:sz w:val="18"/>
                <w:szCs w:val="18"/>
              </w:rPr>
              <w:t>10</w:t>
            </w:r>
            <w:r>
              <w:rPr>
                <w:rFonts w:ascii="宋体" w:eastAsia="宋体" w:hAnsi="宋体" w:cs="宋体"/>
                <w:sz w:val="18"/>
                <w:szCs w:val="18"/>
              </w:rPr>
              <w:t>月</w:t>
            </w:r>
            <w:r>
              <w:rPr>
                <w:rFonts w:ascii="宋体" w:eastAsia="宋体" w:hAnsi="宋体" w:cs="宋体"/>
                <w:sz w:val="18"/>
                <w:szCs w:val="18"/>
              </w:rPr>
              <w:t>20</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07</w:t>
            </w:r>
            <w:r>
              <w:rPr>
                <w:rFonts w:ascii="宋体" w:eastAsia="宋体" w:hAnsi="宋体" w:cs="宋体"/>
                <w:sz w:val="18"/>
                <w:szCs w:val="18"/>
              </w:rPr>
              <w:t>月</w:t>
            </w:r>
            <w:r>
              <w:rPr>
                <w:rFonts w:ascii="宋体" w:eastAsia="宋体" w:hAnsi="宋体" w:cs="宋体"/>
                <w:sz w:val="18"/>
                <w:szCs w:val="18"/>
              </w:rPr>
              <w:t>26</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华孚控股、华孚时尚、浙江色纺、九江中浩</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2022</w:t>
            </w:r>
            <w:r>
              <w:rPr>
                <w:rFonts w:ascii="宋体" w:eastAsia="宋体" w:hAnsi="宋体" w:cs="宋体"/>
                <w:sz w:val="18"/>
                <w:szCs w:val="18"/>
              </w:rPr>
              <w:t>年</w:t>
            </w:r>
            <w:r>
              <w:rPr>
                <w:rFonts w:ascii="宋体" w:eastAsia="宋体" w:hAnsi="宋体" w:cs="宋体"/>
                <w:sz w:val="18"/>
                <w:szCs w:val="18"/>
              </w:rPr>
              <w:t>11</w:t>
            </w:r>
            <w:r>
              <w:rPr>
                <w:rFonts w:ascii="宋体" w:eastAsia="宋体" w:hAnsi="宋体" w:cs="宋体"/>
                <w:sz w:val="18"/>
                <w:szCs w:val="18"/>
              </w:rPr>
              <w:t>月</w:t>
            </w:r>
            <w:r>
              <w:rPr>
                <w:rFonts w:ascii="宋体" w:eastAsia="宋体" w:hAnsi="宋体" w:cs="宋体"/>
                <w:sz w:val="18"/>
                <w:szCs w:val="18"/>
              </w:rPr>
              <w:t>17</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09</w:t>
            </w:r>
            <w:r>
              <w:rPr>
                <w:rFonts w:ascii="宋体" w:eastAsia="宋体" w:hAnsi="宋体" w:cs="宋体"/>
                <w:sz w:val="18"/>
                <w:szCs w:val="18"/>
              </w:rPr>
              <w:t>月</w:t>
            </w:r>
            <w:r>
              <w:rPr>
                <w:rFonts w:ascii="宋体" w:eastAsia="宋体" w:hAnsi="宋体" w:cs="宋体"/>
                <w:sz w:val="18"/>
                <w:szCs w:val="18"/>
              </w:rPr>
              <w:t>27</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华孚控股、华孚时尚、浙江色纺、九江中浩</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01</w:t>
            </w:r>
            <w:r>
              <w:rPr>
                <w:rFonts w:ascii="宋体" w:eastAsia="宋体" w:hAnsi="宋体" w:cs="宋体"/>
                <w:sz w:val="18"/>
                <w:szCs w:val="18"/>
              </w:rPr>
              <w:t>月</w:t>
            </w:r>
            <w:r>
              <w:rPr>
                <w:rFonts w:ascii="宋体" w:eastAsia="宋体" w:hAnsi="宋体" w:cs="宋体"/>
                <w:sz w:val="18"/>
                <w:szCs w:val="18"/>
              </w:rPr>
              <w:t>31</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11</w:t>
            </w:r>
            <w:r>
              <w:rPr>
                <w:rFonts w:ascii="宋体" w:eastAsia="宋体" w:hAnsi="宋体" w:cs="宋体"/>
                <w:sz w:val="18"/>
                <w:szCs w:val="18"/>
              </w:rPr>
              <w:t>月</w:t>
            </w:r>
            <w:r>
              <w:rPr>
                <w:rFonts w:ascii="宋体" w:eastAsia="宋体" w:hAnsi="宋体" w:cs="宋体"/>
                <w:sz w:val="18"/>
                <w:szCs w:val="18"/>
              </w:rPr>
              <w:t>28</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华孚控股、浙江色纺</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03</w:t>
            </w:r>
            <w:r>
              <w:rPr>
                <w:rFonts w:ascii="宋体" w:eastAsia="宋体" w:hAnsi="宋体" w:cs="宋体"/>
                <w:sz w:val="18"/>
                <w:szCs w:val="18"/>
              </w:rPr>
              <w:t>月</w:t>
            </w:r>
            <w:r>
              <w:rPr>
                <w:rFonts w:ascii="宋体" w:eastAsia="宋体" w:hAnsi="宋体" w:cs="宋体"/>
                <w:sz w:val="18"/>
                <w:szCs w:val="18"/>
              </w:rPr>
              <w:t>10</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08</w:t>
            </w:r>
            <w:r>
              <w:rPr>
                <w:rFonts w:ascii="宋体" w:eastAsia="宋体" w:hAnsi="宋体" w:cs="宋体"/>
                <w:sz w:val="18"/>
                <w:szCs w:val="18"/>
              </w:rPr>
              <w:t>月</w:t>
            </w:r>
            <w:r>
              <w:rPr>
                <w:rFonts w:ascii="宋体" w:eastAsia="宋体" w:hAnsi="宋体" w:cs="宋体"/>
                <w:sz w:val="18"/>
                <w:szCs w:val="18"/>
              </w:rPr>
              <w:t>29</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华孚控股、浙江色纺</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03</w:t>
            </w:r>
            <w:r>
              <w:rPr>
                <w:rFonts w:ascii="宋体" w:eastAsia="宋体" w:hAnsi="宋体" w:cs="宋体"/>
                <w:sz w:val="18"/>
                <w:szCs w:val="18"/>
              </w:rPr>
              <w:t>月</w:t>
            </w:r>
            <w:r>
              <w:rPr>
                <w:rFonts w:ascii="宋体" w:eastAsia="宋体" w:hAnsi="宋体" w:cs="宋体"/>
                <w:sz w:val="18"/>
                <w:szCs w:val="18"/>
              </w:rPr>
              <w:t>10</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09</w:t>
            </w:r>
            <w:r>
              <w:rPr>
                <w:rFonts w:ascii="宋体" w:eastAsia="宋体" w:hAnsi="宋体" w:cs="宋体"/>
                <w:sz w:val="18"/>
                <w:szCs w:val="18"/>
              </w:rPr>
              <w:t>月</w:t>
            </w:r>
            <w:r>
              <w:rPr>
                <w:rFonts w:ascii="宋体" w:eastAsia="宋体" w:hAnsi="宋体" w:cs="宋体"/>
                <w:sz w:val="18"/>
                <w:szCs w:val="18"/>
              </w:rPr>
              <w:t>05</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华孚控股、浙江色纺</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03</w:t>
            </w:r>
            <w:r>
              <w:rPr>
                <w:rFonts w:ascii="宋体" w:eastAsia="宋体" w:hAnsi="宋体" w:cs="宋体"/>
                <w:sz w:val="18"/>
                <w:szCs w:val="18"/>
              </w:rPr>
              <w:t>月</w:t>
            </w:r>
            <w:r>
              <w:rPr>
                <w:rFonts w:ascii="宋体" w:eastAsia="宋体" w:hAnsi="宋体" w:cs="宋体"/>
                <w:sz w:val="18"/>
                <w:szCs w:val="18"/>
              </w:rPr>
              <w:t>10</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08</w:t>
            </w:r>
            <w:r>
              <w:rPr>
                <w:rFonts w:ascii="宋体" w:eastAsia="宋体" w:hAnsi="宋体" w:cs="宋体"/>
                <w:sz w:val="18"/>
                <w:szCs w:val="18"/>
              </w:rPr>
              <w:t>月</w:t>
            </w:r>
            <w:r>
              <w:rPr>
                <w:rFonts w:ascii="宋体" w:eastAsia="宋体" w:hAnsi="宋体" w:cs="宋体"/>
                <w:sz w:val="18"/>
                <w:szCs w:val="18"/>
              </w:rPr>
              <w:t>22</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华孚控股、华孚时尚、浙江色纺</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115,000,000.00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04</w:t>
            </w:r>
            <w:r>
              <w:rPr>
                <w:rFonts w:ascii="宋体" w:eastAsia="宋体" w:hAnsi="宋体" w:cs="宋体"/>
                <w:sz w:val="18"/>
                <w:szCs w:val="18"/>
              </w:rPr>
              <w:t>月</w:t>
            </w:r>
            <w:r>
              <w:rPr>
                <w:rFonts w:ascii="宋体" w:eastAsia="宋体" w:hAnsi="宋体" w:cs="宋体"/>
                <w:sz w:val="18"/>
                <w:szCs w:val="18"/>
              </w:rPr>
              <w:t>26</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2024</w:t>
            </w:r>
            <w:r>
              <w:rPr>
                <w:rFonts w:ascii="宋体" w:eastAsia="宋体" w:hAnsi="宋体" w:cs="宋体"/>
                <w:sz w:val="18"/>
                <w:szCs w:val="18"/>
              </w:rPr>
              <w:t>年</w:t>
            </w:r>
            <w:r>
              <w:rPr>
                <w:rFonts w:ascii="宋体" w:eastAsia="宋体" w:hAnsi="宋体" w:cs="宋体"/>
                <w:sz w:val="18"/>
                <w:szCs w:val="18"/>
              </w:rPr>
              <w:t>03</w:t>
            </w:r>
            <w:r>
              <w:rPr>
                <w:rFonts w:ascii="宋体" w:eastAsia="宋体" w:hAnsi="宋体" w:cs="宋体"/>
                <w:sz w:val="18"/>
                <w:szCs w:val="18"/>
              </w:rPr>
              <w:t>月</w:t>
            </w:r>
            <w:r>
              <w:rPr>
                <w:rFonts w:ascii="宋体" w:eastAsia="宋体" w:hAnsi="宋体" w:cs="宋体"/>
                <w:sz w:val="18"/>
                <w:szCs w:val="18"/>
              </w:rPr>
              <w:t>22</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华孚控股、华孚时尚、浙江色纺</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30,000,000.00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06</w:t>
            </w:r>
            <w:r>
              <w:rPr>
                <w:rFonts w:ascii="宋体" w:eastAsia="宋体" w:hAnsi="宋体" w:cs="宋体"/>
                <w:sz w:val="18"/>
                <w:szCs w:val="18"/>
              </w:rPr>
              <w:t>月</w:t>
            </w:r>
            <w:r>
              <w:rPr>
                <w:rFonts w:ascii="宋体" w:eastAsia="宋体" w:hAnsi="宋体" w:cs="宋体"/>
                <w:sz w:val="18"/>
                <w:szCs w:val="18"/>
              </w:rPr>
              <w:t>05</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11</w:t>
            </w:r>
            <w:r>
              <w:rPr>
                <w:rFonts w:ascii="宋体" w:eastAsia="宋体" w:hAnsi="宋体" w:cs="宋体"/>
                <w:sz w:val="18"/>
                <w:szCs w:val="18"/>
              </w:rPr>
              <w:t>月</w:t>
            </w:r>
            <w:r>
              <w:rPr>
                <w:rFonts w:ascii="宋体" w:eastAsia="宋体" w:hAnsi="宋体" w:cs="宋体"/>
                <w:sz w:val="18"/>
                <w:szCs w:val="18"/>
              </w:rPr>
              <w:t>24</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华孚控股、华孚时尚、浙江色纺</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43,000,000.00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06</w:t>
            </w:r>
            <w:r>
              <w:rPr>
                <w:rFonts w:ascii="宋体" w:eastAsia="宋体" w:hAnsi="宋体" w:cs="宋体"/>
                <w:sz w:val="18"/>
                <w:szCs w:val="18"/>
              </w:rPr>
              <w:t>月</w:t>
            </w:r>
            <w:r>
              <w:rPr>
                <w:rFonts w:ascii="宋体" w:eastAsia="宋体" w:hAnsi="宋体" w:cs="宋体"/>
                <w:sz w:val="18"/>
                <w:szCs w:val="18"/>
              </w:rPr>
              <w:t>05</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11</w:t>
            </w:r>
            <w:r>
              <w:rPr>
                <w:rFonts w:ascii="宋体" w:eastAsia="宋体" w:hAnsi="宋体" w:cs="宋体"/>
                <w:sz w:val="18"/>
                <w:szCs w:val="18"/>
              </w:rPr>
              <w:t>月</w:t>
            </w:r>
            <w:r>
              <w:rPr>
                <w:rFonts w:ascii="宋体" w:eastAsia="宋体" w:hAnsi="宋体" w:cs="宋体"/>
                <w:sz w:val="18"/>
                <w:szCs w:val="18"/>
              </w:rPr>
              <w:t>24</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华孚控股、华孚时尚、浙江色纺</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127,000,000.00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05</w:t>
            </w:r>
            <w:r>
              <w:rPr>
                <w:rFonts w:ascii="宋体" w:eastAsia="宋体" w:hAnsi="宋体" w:cs="宋体"/>
                <w:sz w:val="18"/>
                <w:szCs w:val="18"/>
              </w:rPr>
              <w:t>月</w:t>
            </w:r>
            <w:r>
              <w:rPr>
                <w:rFonts w:ascii="宋体" w:eastAsia="宋体" w:hAnsi="宋体" w:cs="宋体"/>
                <w:sz w:val="18"/>
                <w:szCs w:val="18"/>
              </w:rPr>
              <w:t>29</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2024</w:t>
            </w:r>
            <w:r>
              <w:rPr>
                <w:rFonts w:ascii="宋体" w:eastAsia="宋体" w:hAnsi="宋体" w:cs="宋体"/>
                <w:sz w:val="18"/>
                <w:szCs w:val="18"/>
              </w:rPr>
              <w:t>年</w:t>
            </w:r>
            <w:r>
              <w:rPr>
                <w:rFonts w:ascii="宋体" w:eastAsia="宋体" w:hAnsi="宋体" w:cs="宋体"/>
                <w:sz w:val="18"/>
                <w:szCs w:val="18"/>
              </w:rPr>
              <w:t>04</w:t>
            </w:r>
            <w:r>
              <w:rPr>
                <w:rFonts w:ascii="宋体" w:eastAsia="宋体" w:hAnsi="宋体" w:cs="宋体"/>
                <w:sz w:val="18"/>
                <w:szCs w:val="18"/>
              </w:rPr>
              <w:t>月</w:t>
            </w:r>
            <w:r>
              <w:rPr>
                <w:rFonts w:ascii="宋体" w:eastAsia="宋体" w:hAnsi="宋体" w:cs="宋体"/>
                <w:sz w:val="18"/>
                <w:szCs w:val="18"/>
              </w:rPr>
              <w:t>19</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华孚控股、华孚时尚、浙江色纺</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06</w:t>
            </w:r>
            <w:r>
              <w:rPr>
                <w:rFonts w:ascii="宋体" w:eastAsia="宋体" w:hAnsi="宋体" w:cs="宋体"/>
                <w:sz w:val="18"/>
                <w:szCs w:val="18"/>
              </w:rPr>
              <w:t>月</w:t>
            </w:r>
            <w:r>
              <w:rPr>
                <w:rFonts w:ascii="宋体" w:eastAsia="宋体" w:hAnsi="宋体" w:cs="宋体"/>
                <w:sz w:val="18"/>
                <w:szCs w:val="18"/>
              </w:rPr>
              <w:t>16</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2024</w:t>
            </w:r>
            <w:r>
              <w:rPr>
                <w:rFonts w:ascii="宋体" w:eastAsia="宋体" w:hAnsi="宋体" w:cs="宋体"/>
                <w:sz w:val="18"/>
                <w:szCs w:val="18"/>
              </w:rPr>
              <w:t>年</w:t>
            </w:r>
            <w:r>
              <w:rPr>
                <w:rFonts w:ascii="宋体" w:eastAsia="宋体" w:hAnsi="宋体" w:cs="宋体"/>
                <w:sz w:val="18"/>
                <w:szCs w:val="18"/>
              </w:rPr>
              <w:t>05</w:t>
            </w:r>
            <w:r>
              <w:rPr>
                <w:rFonts w:ascii="宋体" w:eastAsia="宋体" w:hAnsi="宋体" w:cs="宋体"/>
                <w:sz w:val="18"/>
                <w:szCs w:val="18"/>
              </w:rPr>
              <w:t>月</w:t>
            </w:r>
            <w:r>
              <w:rPr>
                <w:rFonts w:ascii="宋体" w:eastAsia="宋体" w:hAnsi="宋体" w:cs="宋体"/>
                <w:sz w:val="18"/>
                <w:szCs w:val="18"/>
              </w:rPr>
              <w:t>17</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华孚控股、华孚时尚、浙江色纺</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9,880,000.00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06</w:t>
            </w:r>
            <w:r>
              <w:rPr>
                <w:rFonts w:ascii="宋体" w:eastAsia="宋体" w:hAnsi="宋体" w:cs="宋体"/>
                <w:sz w:val="18"/>
                <w:szCs w:val="18"/>
              </w:rPr>
              <w:t>月</w:t>
            </w:r>
            <w:r>
              <w:rPr>
                <w:rFonts w:ascii="宋体" w:eastAsia="宋体" w:hAnsi="宋体" w:cs="宋体"/>
                <w:sz w:val="18"/>
                <w:szCs w:val="18"/>
              </w:rPr>
              <w:t>29</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2024</w:t>
            </w:r>
            <w:r>
              <w:rPr>
                <w:rFonts w:ascii="宋体" w:eastAsia="宋体" w:hAnsi="宋体" w:cs="宋体"/>
                <w:sz w:val="18"/>
                <w:szCs w:val="18"/>
              </w:rPr>
              <w:t>年</w:t>
            </w:r>
            <w:r>
              <w:rPr>
                <w:rFonts w:ascii="宋体" w:eastAsia="宋体" w:hAnsi="宋体" w:cs="宋体"/>
                <w:sz w:val="18"/>
                <w:szCs w:val="18"/>
              </w:rPr>
              <w:t>06</w:t>
            </w:r>
            <w:r>
              <w:rPr>
                <w:rFonts w:ascii="宋体" w:eastAsia="宋体" w:hAnsi="宋体" w:cs="宋体"/>
                <w:sz w:val="18"/>
                <w:szCs w:val="18"/>
              </w:rPr>
              <w:t>月</w:t>
            </w:r>
            <w:r>
              <w:rPr>
                <w:rFonts w:ascii="宋体" w:eastAsia="宋体" w:hAnsi="宋体" w:cs="宋体"/>
                <w:sz w:val="18"/>
                <w:szCs w:val="18"/>
              </w:rPr>
              <w:t>21</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香港华孚、深圳进出口、孙伟挺、陈玲芬</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52,184,068.00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2022</w:t>
            </w:r>
            <w:r>
              <w:rPr>
                <w:rFonts w:ascii="宋体" w:eastAsia="宋体" w:hAnsi="宋体" w:cs="宋体"/>
                <w:sz w:val="18"/>
                <w:szCs w:val="18"/>
              </w:rPr>
              <w:t>年</w:t>
            </w:r>
            <w:r>
              <w:rPr>
                <w:rFonts w:ascii="宋体" w:eastAsia="宋体" w:hAnsi="宋体" w:cs="宋体"/>
                <w:sz w:val="18"/>
                <w:szCs w:val="18"/>
              </w:rPr>
              <w:t>09</w:t>
            </w:r>
            <w:r>
              <w:rPr>
                <w:rFonts w:ascii="宋体" w:eastAsia="宋体" w:hAnsi="宋体" w:cs="宋体"/>
                <w:sz w:val="18"/>
                <w:szCs w:val="18"/>
              </w:rPr>
              <w:t>月</w:t>
            </w:r>
            <w:r>
              <w:rPr>
                <w:rFonts w:ascii="宋体" w:eastAsia="宋体" w:hAnsi="宋体" w:cs="宋体"/>
                <w:sz w:val="18"/>
                <w:szCs w:val="18"/>
              </w:rPr>
              <w:t>27</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09</w:t>
            </w:r>
            <w:r>
              <w:rPr>
                <w:rFonts w:ascii="宋体" w:eastAsia="宋体" w:hAnsi="宋体" w:cs="宋体"/>
                <w:sz w:val="18"/>
                <w:szCs w:val="18"/>
              </w:rPr>
              <w:t>月</w:t>
            </w:r>
            <w:r>
              <w:rPr>
                <w:rFonts w:ascii="宋体" w:eastAsia="宋体" w:hAnsi="宋体" w:cs="宋体"/>
                <w:sz w:val="18"/>
                <w:szCs w:val="18"/>
              </w:rPr>
              <w:t>27</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香港华孚、深圳进出口、华孚控股、浙江色纺、孙伟挺、陈玲芬</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12,354,532.01</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2022</w:t>
            </w:r>
            <w:r>
              <w:rPr>
                <w:rFonts w:ascii="宋体" w:eastAsia="宋体" w:hAnsi="宋体" w:cs="宋体"/>
                <w:sz w:val="18"/>
                <w:szCs w:val="18"/>
              </w:rPr>
              <w:t>年</w:t>
            </w:r>
            <w:r>
              <w:rPr>
                <w:rFonts w:ascii="宋体" w:eastAsia="宋体" w:hAnsi="宋体" w:cs="宋体"/>
                <w:sz w:val="18"/>
                <w:szCs w:val="18"/>
              </w:rPr>
              <w:t>12</w:t>
            </w:r>
            <w:r>
              <w:rPr>
                <w:rFonts w:ascii="宋体" w:eastAsia="宋体" w:hAnsi="宋体" w:cs="宋体"/>
                <w:sz w:val="18"/>
                <w:szCs w:val="18"/>
              </w:rPr>
              <w:t>月</w:t>
            </w:r>
            <w:r>
              <w:rPr>
                <w:rFonts w:ascii="宋体" w:eastAsia="宋体" w:hAnsi="宋体" w:cs="宋体"/>
                <w:sz w:val="18"/>
                <w:szCs w:val="18"/>
              </w:rPr>
              <w:t>20</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12</w:t>
            </w:r>
            <w:r>
              <w:rPr>
                <w:rFonts w:ascii="宋体" w:eastAsia="宋体" w:hAnsi="宋体" w:cs="宋体"/>
                <w:sz w:val="18"/>
                <w:szCs w:val="18"/>
              </w:rPr>
              <w:t>月</w:t>
            </w:r>
            <w:r>
              <w:rPr>
                <w:rFonts w:ascii="宋体" w:eastAsia="宋体" w:hAnsi="宋体" w:cs="宋体"/>
                <w:sz w:val="18"/>
                <w:szCs w:val="18"/>
              </w:rPr>
              <w:t>19</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张晚霞、许栩光</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5,557,119.42</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01</w:t>
            </w:r>
            <w:r>
              <w:rPr>
                <w:rFonts w:ascii="宋体" w:eastAsia="宋体" w:hAnsi="宋体" w:cs="宋体"/>
                <w:sz w:val="18"/>
                <w:szCs w:val="18"/>
              </w:rPr>
              <w:t>月</w:t>
            </w:r>
            <w:r>
              <w:rPr>
                <w:rFonts w:ascii="宋体" w:eastAsia="宋体" w:hAnsi="宋体" w:cs="宋体"/>
                <w:sz w:val="18"/>
                <w:szCs w:val="18"/>
              </w:rPr>
              <w:t>18</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2024</w:t>
            </w:r>
            <w:r>
              <w:rPr>
                <w:rFonts w:ascii="宋体" w:eastAsia="宋体" w:hAnsi="宋体" w:cs="宋体"/>
                <w:sz w:val="18"/>
                <w:szCs w:val="18"/>
              </w:rPr>
              <w:t>年</w:t>
            </w:r>
            <w:r>
              <w:rPr>
                <w:rFonts w:ascii="宋体" w:eastAsia="宋体" w:hAnsi="宋体" w:cs="宋体"/>
                <w:sz w:val="18"/>
                <w:szCs w:val="18"/>
              </w:rPr>
              <w:t>01</w:t>
            </w:r>
            <w:r>
              <w:rPr>
                <w:rFonts w:ascii="宋体" w:eastAsia="宋体" w:hAnsi="宋体" w:cs="宋体"/>
                <w:sz w:val="18"/>
                <w:szCs w:val="18"/>
              </w:rPr>
              <w:t>月</w:t>
            </w:r>
            <w:r>
              <w:rPr>
                <w:rFonts w:ascii="宋体" w:eastAsia="宋体" w:hAnsi="宋体" w:cs="宋体"/>
                <w:sz w:val="18"/>
                <w:szCs w:val="18"/>
              </w:rPr>
              <w:t>13</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华孚控股</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40,870,000.00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2020</w:t>
            </w:r>
            <w:r>
              <w:rPr>
                <w:rFonts w:ascii="宋体" w:eastAsia="宋体" w:hAnsi="宋体" w:cs="宋体"/>
                <w:sz w:val="18"/>
                <w:szCs w:val="18"/>
              </w:rPr>
              <w:t>年</w:t>
            </w:r>
            <w:r>
              <w:rPr>
                <w:rFonts w:ascii="宋体" w:eastAsia="宋体" w:hAnsi="宋体" w:cs="宋体"/>
                <w:sz w:val="18"/>
                <w:szCs w:val="18"/>
              </w:rPr>
              <w:t>05</w:t>
            </w:r>
            <w:r>
              <w:rPr>
                <w:rFonts w:ascii="宋体" w:eastAsia="宋体" w:hAnsi="宋体" w:cs="宋体"/>
                <w:sz w:val="18"/>
                <w:szCs w:val="18"/>
              </w:rPr>
              <w:t>月</w:t>
            </w:r>
            <w:r>
              <w:rPr>
                <w:rFonts w:ascii="宋体" w:eastAsia="宋体" w:hAnsi="宋体" w:cs="宋体"/>
                <w:sz w:val="18"/>
                <w:szCs w:val="18"/>
              </w:rPr>
              <w:t>19</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2029</w:t>
            </w:r>
            <w:r>
              <w:rPr>
                <w:rFonts w:ascii="宋体" w:eastAsia="宋体" w:hAnsi="宋体" w:cs="宋体"/>
                <w:sz w:val="18"/>
                <w:szCs w:val="18"/>
              </w:rPr>
              <w:t>年</w:t>
            </w:r>
            <w:r>
              <w:rPr>
                <w:rFonts w:ascii="宋体" w:eastAsia="宋体" w:hAnsi="宋体" w:cs="宋体"/>
                <w:sz w:val="18"/>
                <w:szCs w:val="18"/>
              </w:rPr>
              <w:t>05</w:t>
            </w:r>
            <w:r>
              <w:rPr>
                <w:rFonts w:ascii="宋体" w:eastAsia="宋体" w:hAnsi="宋体" w:cs="宋体"/>
                <w:sz w:val="18"/>
                <w:szCs w:val="18"/>
              </w:rPr>
              <w:t>月</w:t>
            </w:r>
            <w:r>
              <w:rPr>
                <w:rFonts w:ascii="宋体" w:eastAsia="宋体" w:hAnsi="宋体" w:cs="宋体"/>
                <w:sz w:val="18"/>
                <w:szCs w:val="18"/>
              </w:rPr>
              <w:t>18</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华孚控股、华孚时尚</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06</w:t>
            </w:r>
            <w:r>
              <w:rPr>
                <w:rFonts w:ascii="宋体" w:eastAsia="宋体" w:hAnsi="宋体" w:cs="宋体"/>
                <w:sz w:val="18"/>
                <w:szCs w:val="18"/>
              </w:rPr>
              <w:t>月</w:t>
            </w:r>
            <w:r>
              <w:rPr>
                <w:rFonts w:ascii="宋体" w:eastAsia="宋体" w:hAnsi="宋体" w:cs="宋体"/>
                <w:sz w:val="18"/>
                <w:szCs w:val="18"/>
              </w:rPr>
              <w:t>16</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2024</w:t>
            </w:r>
            <w:r>
              <w:rPr>
                <w:rFonts w:ascii="宋体" w:eastAsia="宋体" w:hAnsi="宋体" w:cs="宋体"/>
                <w:sz w:val="18"/>
                <w:szCs w:val="18"/>
              </w:rPr>
              <w:t>年</w:t>
            </w:r>
            <w:r>
              <w:rPr>
                <w:rFonts w:ascii="宋体" w:eastAsia="宋体" w:hAnsi="宋体" w:cs="宋体"/>
                <w:sz w:val="18"/>
                <w:szCs w:val="18"/>
              </w:rPr>
              <w:t>06</w:t>
            </w:r>
            <w:r>
              <w:rPr>
                <w:rFonts w:ascii="宋体" w:eastAsia="宋体" w:hAnsi="宋体" w:cs="宋体"/>
                <w:sz w:val="18"/>
                <w:szCs w:val="18"/>
              </w:rPr>
              <w:t>月</w:t>
            </w:r>
            <w:r>
              <w:rPr>
                <w:rFonts w:ascii="宋体" w:eastAsia="宋体" w:hAnsi="宋体" w:cs="宋体"/>
                <w:sz w:val="18"/>
                <w:szCs w:val="18"/>
              </w:rPr>
              <w:t>16</w:t>
            </w:r>
            <w:r>
              <w:rPr>
                <w:rFonts w:ascii="宋体" w:eastAsia="宋体" w:hAnsi="宋体" w:cs="宋体"/>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否</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关联担保情况说明</w:t>
      </w:r>
      <w:r>
        <w:rPr>
          <w:rFonts w:ascii="宋体" w:eastAsia="宋体" w:hAnsi="宋体" w:cs="宋体" w:hint="eastAsia"/>
          <w:sz w:val="18"/>
          <w:szCs w:val="18"/>
        </w:rPr>
        <w:t>：</w:t>
      </w:r>
      <w:r>
        <w:rPr>
          <w:rFonts w:cs="Times New Roman" w:hint="eastAsia"/>
          <w:sz w:val="18"/>
          <w:szCs w:val="18"/>
        </w:rPr>
        <w:t>无。</w:t>
      </w:r>
    </w:p>
    <w:p w:rsidR="00A067C6" w:rsidRDefault="005C4966">
      <w:pPr>
        <w:keepNext/>
        <w:keepLines/>
        <w:spacing w:before="300" w:after="300" w:line="280" w:lineRule="exact"/>
        <w:outlineLvl w:val="3"/>
        <w:rPr>
          <w:rFonts w:ascii="宋体" w:eastAsia="宋体" w:hAnsi="宋体" w:cs="宋体"/>
          <w:b/>
          <w:bCs/>
          <w:szCs w:val="21"/>
        </w:rPr>
      </w:pPr>
      <w:bookmarkStart w:id="427" w:name="_Toc989319"/>
      <w:r>
        <w:rPr>
          <w:rFonts w:ascii="宋体" w:eastAsia="宋体" w:hAnsi="宋体" w:cs="宋体"/>
          <w:b/>
          <w:bCs/>
          <w:szCs w:val="21"/>
        </w:rPr>
        <w:t>（</w:t>
      </w:r>
      <w:r>
        <w:rPr>
          <w:rFonts w:ascii="宋体" w:eastAsia="宋体" w:hAnsi="宋体" w:cs="宋体"/>
          <w:b/>
          <w:bCs/>
          <w:szCs w:val="21"/>
        </w:rPr>
        <w:t>5</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关联方资金拆借</w:t>
      </w:r>
      <w:bookmarkEnd w:id="427"/>
    </w:p>
    <w:p w:rsidR="00A067C6" w:rsidRDefault="005C4966">
      <w:pPr>
        <w:keepNext/>
        <w:keepLines/>
        <w:spacing w:before="300" w:after="300" w:line="280" w:lineRule="exact"/>
        <w:outlineLvl w:val="3"/>
        <w:rPr>
          <w:rFonts w:ascii="宋体" w:eastAsia="宋体" w:hAnsi="宋体" w:cs="宋体"/>
          <w:sz w:val="18"/>
          <w:szCs w:val="18"/>
        </w:rPr>
      </w:pPr>
      <w:bookmarkStart w:id="428" w:name="_Toc989320"/>
      <w:r>
        <w:rPr>
          <w:rFonts w:ascii="宋体" w:eastAsia="宋体" w:hAnsi="宋体" w:cs="宋体" w:hint="eastAsia"/>
          <w:sz w:val="18"/>
          <w:szCs w:val="18"/>
        </w:rPr>
        <w:t>无</w:t>
      </w:r>
    </w:p>
    <w:p w:rsidR="00A067C6" w:rsidRDefault="005C4966">
      <w:pPr>
        <w:keepNext/>
        <w:keepLines/>
        <w:spacing w:before="300" w:after="300" w:line="280" w:lineRule="exact"/>
        <w:outlineLvl w:val="3"/>
        <w:rPr>
          <w:rFonts w:ascii="宋体" w:eastAsia="宋体" w:hAnsi="宋体" w:cs="宋体"/>
          <w:b/>
          <w:bCs/>
          <w:szCs w:val="21"/>
        </w:rPr>
      </w:pPr>
      <w:r>
        <w:rPr>
          <w:rFonts w:ascii="宋体" w:eastAsia="宋体" w:hAnsi="宋体" w:cs="宋体"/>
          <w:b/>
          <w:bCs/>
          <w:szCs w:val="21"/>
        </w:rPr>
        <w:t>（</w:t>
      </w:r>
      <w:r>
        <w:rPr>
          <w:rFonts w:ascii="宋体" w:eastAsia="宋体" w:hAnsi="宋体" w:cs="宋体"/>
          <w:b/>
          <w:bCs/>
          <w:szCs w:val="21"/>
        </w:rPr>
        <w:t>6</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关联方资产转让、债务重组情况</w:t>
      </w:r>
      <w:bookmarkEnd w:id="428"/>
    </w:p>
    <w:p w:rsidR="00A067C6" w:rsidRDefault="005C4966">
      <w:pPr>
        <w:keepNext/>
        <w:keepLines/>
        <w:spacing w:before="300" w:after="300" w:line="280" w:lineRule="exact"/>
        <w:outlineLvl w:val="3"/>
        <w:rPr>
          <w:rFonts w:ascii="宋体" w:eastAsia="宋体" w:hAnsi="宋体" w:cs="宋体"/>
          <w:sz w:val="18"/>
          <w:szCs w:val="18"/>
        </w:rPr>
      </w:pPr>
      <w:bookmarkStart w:id="429" w:name="_Toc989321"/>
      <w:r>
        <w:rPr>
          <w:rFonts w:ascii="宋体" w:eastAsia="宋体" w:hAnsi="宋体" w:cs="宋体" w:hint="eastAsia"/>
          <w:sz w:val="18"/>
          <w:szCs w:val="18"/>
        </w:rPr>
        <w:t>无</w:t>
      </w:r>
    </w:p>
    <w:p w:rsidR="00A067C6" w:rsidRDefault="005C4966">
      <w:pPr>
        <w:keepNext/>
        <w:keepLines/>
        <w:spacing w:before="300" w:after="300" w:line="280" w:lineRule="exact"/>
        <w:outlineLvl w:val="3"/>
        <w:rPr>
          <w:rFonts w:ascii="宋体" w:eastAsia="宋体" w:hAnsi="宋体" w:cs="宋体"/>
          <w:b/>
          <w:bCs/>
          <w:szCs w:val="21"/>
        </w:rPr>
      </w:pPr>
      <w:r>
        <w:rPr>
          <w:rFonts w:ascii="宋体" w:eastAsia="宋体" w:hAnsi="宋体" w:cs="宋体"/>
          <w:b/>
          <w:bCs/>
          <w:szCs w:val="21"/>
        </w:rPr>
        <w:t>（</w:t>
      </w:r>
      <w:r>
        <w:rPr>
          <w:rFonts w:ascii="宋体" w:eastAsia="宋体" w:hAnsi="宋体" w:cs="宋体"/>
          <w:b/>
          <w:bCs/>
          <w:szCs w:val="21"/>
        </w:rPr>
        <w:t>7</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关键管理人员报酬</w:t>
      </w:r>
      <w:bookmarkEnd w:id="429"/>
    </w:p>
    <w:p w:rsidR="00A067C6" w:rsidRDefault="005C4966">
      <w:pPr>
        <w:keepNext/>
        <w:keepLines/>
        <w:spacing w:before="300" w:after="300" w:line="280" w:lineRule="exact"/>
        <w:outlineLvl w:val="3"/>
        <w:rPr>
          <w:rFonts w:ascii="宋体" w:eastAsia="宋体" w:hAnsi="宋体" w:cs="宋体"/>
          <w:sz w:val="18"/>
          <w:szCs w:val="18"/>
        </w:rPr>
      </w:pPr>
      <w:bookmarkStart w:id="430" w:name="_Toc989322"/>
      <w:r>
        <w:rPr>
          <w:rFonts w:ascii="宋体" w:eastAsia="宋体" w:hAnsi="宋体" w:cs="宋体" w:hint="eastAsia"/>
          <w:sz w:val="18"/>
          <w:szCs w:val="18"/>
        </w:rPr>
        <w:t>无</w:t>
      </w:r>
    </w:p>
    <w:p w:rsidR="00A067C6" w:rsidRDefault="005C4966">
      <w:pPr>
        <w:keepNext/>
        <w:keepLines/>
        <w:spacing w:before="300" w:after="300" w:line="280" w:lineRule="exact"/>
        <w:outlineLvl w:val="3"/>
        <w:rPr>
          <w:rFonts w:ascii="宋体" w:eastAsia="宋体" w:hAnsi="宋体" w:cs="宋体"/>
          <w:b/>
          <w:bCs/>
          <w:szCs w:val="21"/>
        </w:rPr>
      </w:pPr>
      <w:r>
        <w:rPr>
          <w:rFonts w:ascii="宋体" w:eastAsia="宋体" w:hAnsi="宋体" w:cs="宋体"/>
          <w:b/>
          <w:bCs/>
          <w:szCs w:val="21"/>
        </w:rPr>
        <w:t>（</w:t>
      </w:r>
      <w:r>
        <w:rPr>
          <w:rFonts w:ascii="宋体" w:eastAsia="宋体" w:hAnsi="宋体" w:cs="宋体"/>
          <w:b/>
          <w:bCs/>
          <w:szCs w:val="21"/>
        </w:rPr>
        <w:t>8</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其他关联交易</w:t>
      </w:r>
      <w:bookmarkEnd w:id="430"/>
    </w:p>
    <w:p w:rsidR="00A067C6" w:rsidRDefault="005C4966">
      <w:pPr>
        <w:pStyle w:val="a6"/>
        <w:rPr>
          <w:rFonts w:ascii="Times New Roman" w:hAnsi="Times New Roman" w:cs="Times New Roman"/>
        </w:rPr>
      </w:pPr>
      <w:r>
        <w:rPr>
          <w:rFonts w:cs="Times New Roman" w:hint="eastAsia"/>
          <w:sz w:val="18"/>
          <w:szCs w:val="18"/>
        </w:rPr>
        <w:t>无。</w:t>
      </w:r>
    </w:p>
    <w:p w:rsidR="00A067C6" w:rsidRDefault="005C4966">
      <w:pPr>
        <w:pStyle w:val="3"/>
        <w:spacing w:line="280" w:lineRule="exact"/>
        <w:jc w:val="left"/>
        <w:rPr>
          <w:rFonts w:ascii="宋体" w:hAnsi="宋体" w:cs="宋体"/>
          <w:b/>
          <w:bCs/>
        </w:rPr>
      </w:pPr>
      <w:bookmarkStart w:id="431" w:name="_Toc989323"/>
      <w:r>
        <w:rPr>
          <w:rFonts w:ascii="宋体" w:hAnsi="宋体" w:cs="宋体"/>
          <w:b/>
          <w:bCs/>
        </w:rPr>
        <w:t>6</w:t>
      </w:r>
      <w:r>
        <w:rPr>
          <w:rFonts w:ascii="宋体" w:hAnsi="宋体" w:cs="宋体"/>
          <w:b/>
          <w:bCs/>
        </w:rPr>
        <w:t>、关联方应收应付款项</w:t>
      </w:r>
      <w:bookmarkEnd w:id="431"/>
    </w:p>
    <w:p w:rsidR="00A067C6" w:rsidRDefault="005C4966">
      <w:pPr>
        <w:keepNext/>
        <w:keepLines/>
        <w:spacing w:before="300" w:after="300" w:line="280" w:lineRule="exact"/>
        <w:outlineLvl w:val="3"/>
        <w:rPr>
          <w:rFonts w:ascii="宋体" w:eastAsia="宋体" w:hAnsi="宋体" w:cs="宋体"/>
          <w:b/>
          <w:bCs/>
          <w:szCs w:val="21"/>
        </w:rPr>
      </w:pPr>
      <w:bookmarkStart w:id="432" w:name="_Toc989324"/>
      <w:r>
        <w:rPr>
          <w:rFonts w:ascii="宋体" w:eastAsia="宋体" w:hAnsi="宋体" w:cs="宋体"/>
          <w:b/>
          <w:bCs/>
          <w:szCs w:val="21"/>
        </w:rPr>
        <w:t>（</w:t>
      </w:r>
      <w:r>
        <w:rPr>
          <w:rFonts w:ascii="宋体" w:eastAsia="宋体" w:hAnsi="宋体" w:cs="宋体"/>
          <w:b/>
          <w:bCs/>
          <w:szCs w:val="21"/>
        </w:rPr>
        <w:t>1</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应收项目</w:t>
      </w:r>
      <w:bookmarkEnd w:id="432"/>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7"/>
        <w:gridCol w:w="1606"/>
        <w:gridCol w:w="1606"/>
        <w:gridCol w:w="1607"/>
        <w:gridCol w:w="1606"/>
        <w:gridCol w:w="1607"/>
      </w:tblGrid>
      <w:tr w:rsidR="00A067C6">
        <w:trPr>
          <w:trHeight w:val="240"/>
        </w:trPr>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项目名称</w:t>
            </w:r>
          </w:p>
        </w:tc>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A067C6">
        <w:trPr>
          <w:trHeight w:val="240"/>
        </w:trPr>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r>
      <w:tr w:rsidR="00A067C6">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应收账款</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江阴市传澄电子商务有限公司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124,453.11</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12,445.31</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124,453.11</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6,222.66</w:t>
            </w:r>
          </w:p>
        </w:tc>
      </w:tr>
      <w:tr w:rsidR="00A067C6">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应收账款</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库车银花棉业有限责任公司</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210,000.00</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10,500.00</w:t>
            </w:r>
          </w:p>
        </w:tc>
      </w:tr>
      <w:tr w:rsidR="00A067C6">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其他应收款</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新疆棉花产业集团有限公司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5,803,479.86</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5,803,479.86</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5,803,479.86</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5,782,783.89</w:t>
            </w:r>
          </w:p>
        </w:tc>
      </w:tr>
      <w:tr w:rsidR="00A067C6">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其他应收款</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第七师国有资产经营有限公司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371,904.51</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371,904.51</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371,904.51</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371,904.51</w:t>
            </w:r>
          </w:p>
        </w:tc>
      </w:tr>
      <w:tr w:rsidR="00A067C6">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其他应收款</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江阴市传澄电子商务有限公司及其子公司</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21,963,897.78</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6,065,361.78</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21,963,897.78</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3,054,247.56</w:t>
            </w:r>
          </w:p>
        </w:tc>
      </w:tr>
      <w:tr w:rsidR="00A067C6">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其他非流动资产</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浙江华孚网链投资管理有限公司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60,000,000.00</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bl>
    <w:p w:rsidR="00A067C6" w:rsidRDefault="005C4966">
      <w:pPr>
        <w:keepNext/>
        <w:keepLines/>
        <w:spacing w:before="300" w:after="300" w:line="280" w:lineRule="exact"/>
        <w:outlineLvl w:val="3"/>
        <w:rPr>
          <w:rFonts w:ascii="宋体" w:eastAsia="宋体" w:hAnsi="宋体" w:cs="宋体"/>
          <w:b/>
          <w:bCs/>
          <w:szCs w:val="21"/>
        </w:rPr>
      </w:pPr>
      <w:bookmarkStart w:id="433" w:name="_Toc989325"/>
      <w:r>
        <w:rPr>
          <w:rFonts w:ascii="宋体" w:eastAsia="宋体" w:hAnsi="宋体" w:cs="宋体"/>
          <w:b/>
          <w:bCs/>
          <w:szCs w:val="21"/>
        </w:rPr>
        <w:t>（</w:t>
      </w:r>
      <w:r>
        <w:rPr>
          <w:rFonts w:ascii="宋体" w:eastAsia="宋体" w:hAnsi="宋体" w:cs="宋体"/>
          <w:b/>
          <w:bCs/>
          <w:szCs w:val="21"/>
        </w:rPr>
        <w:t>2</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应付项目</w:t>
      </w:r>
      <w:bookmarkEnd w:id="433"/>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合同负债</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上海传澄供应链管理有限公司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792.04</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其他应付款</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新疆新润气流纺有限公司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517,753.12</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517,753.12</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其他应付款</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安徽环捷供应链管理有限公司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9,549,153.71</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3,135,743.29</w:t>
            </w:r>
          </w:p>
        </w:tc>
      </w:tr>
    </w:tbl>
    <w:p w:rsidR="00A067C6" w:rsidRDefault="005C4966">
      <w:pPr>
        <w:pStyle w:val="3"/>
        <w:spacing w:line="280" w:lineRule="exact"/>
        <w:jc w:val="left"/>
        <w:rPr>
          <w:rFonts w:ascii="宋体" w:hAnsi="宋体" w:cs="宋体"/>
          <w:b/>
          <w:bCs/>
        </w:rPr>
      </w:pPr>
      <w:bookmarkStart w:id="434" w:name="_Toc989326"/>
      <w:r>
        <w:rPr>
          <w:rFonts w:ascii="宋体" w:hAnsi="宋体" w:cs="宋体"/>
          <w:b/>
          <w:bCs/>
        </w:rPr>
        <w:t>7</w:t>
      </w:r>
      <w:r>
        <w:rPr>
          <w:rFonts w:ascii="宋体" w:hAnsi="宋体" w:cs="宋体"/>
          <w:b/>
          <w:bCs/>
        </w:rPr>
        <w:t>、关联方承诺</w:t>
      </w:r>
      <w:bookmarkEnd w:id="434"/>
    </w:p>
    <w:p w:rsidR="00A067C6" w:rsidRDefault="005C4966">
      <w:pPr>
        <w:pStyle w:val="a6"/>
        <w:rPr>
          <w:rFonts w:ascii="Times New Roman" w:hAnsi="Times New Roman" w:cs="Times New Roman"/>
        </w:rPr>
      </w:pPr>
      <w:r>
        <w:rPr>
          <w:rFonts w:cs="Times New Roman" w:hint="eastAsia"/>
          <w:sz w:val="18"/>
          <w:szCs w:val="18"/>
        </w:rPr>
        <w:t>无。</w:t>
      </w:r>
    </w:p>
    <w:p w:rsidR="00A067C6" w:rsidRDefault="005C4966">
      <w:pPr>
        <w:pStyle w:val="3"/>
        <w:spacing w:line="280" w:lineRule="exact"/>
        <w:jc w:val="left"/>
        <w:rPr>
          <w:rFonts w:ascii="宋体" w:hAnsi="宋体" w:cs="宋体"/>
          <w:b/>
          <w:bCs/>
        </w:rPr>
      </w:pPr>
      <w:bookmarkStart w:id="435" w:name="_Toc989327"/>
      <w:r>
        <w:rPr>
          <w:rFonts w:ascii="宋体" w:hAnsi="宋体" w:cs="宋体"/>
          <w:b/>
          <w:bCs/>
        </w:rPr>
        <w:t>8</w:t>
      </w:r>
      <w:r>
        <w:rPr>
          <w:rFonts w:ascii="宋体" w:hAnsi="宋体" w:cs="宋体"/>
          <w:b/>
          <w:bCs/>
        </w:rPr>
        <w:t>、其他</w:t>
      </w:r>
      <w:bookmarkEnd w:id="435"/>
    </w:p>
    <w:p w:rsidR="00A067C6" w:rsidRDefault="005C4966">
      <w:pPr>
        <w:pStyle w:val="a6"/>
        <w:rPr>
          <w:rFonts w:ascii="Times New Roman" w:hAnsi="Times New Roman" w:cs="Times New Roman"/>
        </w:rPr>
      </w:pPr>
      <w:r>
        <w:rPr>
          <w:rFonts w:cs="Times New Roman" w:hint="eastAsia"/>
          <w:sz w:val="18"/>
          <w:szCs w:val="18"/>
        </w:rPr>
        <w:t>无。</w:t>
      </w:r>
    </w:p>
    <w:p w:rsidR="00A067C6" w:rsidRDefault="005C4966">
      <w:pPr>
        <w:pStyle w:val="2"/>
        <w:spacing w:before="300" w:after="300" w:line="320" w:lineRule="exact"/>
        <w:rPr>
          <w:rFonts w:ascii="宋体" w:eastAsia="宋体" w:hAnsi="宋体" w:cs="宋体"/>
          <w:b/>
          <w:bCs/>
          <w:sz w:val="24"/>
          <w:szCs w:val="24"/>
        </w:rPr>
      </w:pPr>
      <w:bookmarkStart w:id="436" w:name="_Toc989328"/>
      <w:r>
        <w:rPr>
          <w:rFonts w:ascii="宋体" w:eastAsia="宋体" w:hAnsi="宋体" w:cs="宋体"/>
          <w:b/>
          <w:bCs/>
          <w:sz w:val="24"/>
          <w:szCs w:val="24"/>
        </w:rPr>
        <w:t>十三、股份支付</w:t>
      </w:r>
      <w:bookmarkEnd w:id="436"/>
    </w:p>
    <w:p w:rsidR="00A067C6" w:rsidRDefault="005C4966">
      <w:pPr>
        <w:pStyle w:val="3"/>
        <w:spacing w:line="280" w:lineRule="exact"/>
        <w:jc w:val="left"/>
        <w:rPr>
          <w:rFonts w:ascii="宋体" w:hAnsi="宋体" w:cs="宋体"/>
          <w:b/>
          <w:bCs/>
        </w:rPr>
      </w:pPr>
      <w:bookmarkStart w:id="437" w:name="_Toc989329"/>
      <w:r>
        <w:rPr>
          <w:rFonts w:ascii="宋体" w:hAnsi="宋体" w:cs="宋体"/>
          <w:b/>
          <w:bCs/>
        </w:rPr>
        <w:t>1</w:t>
      </w:r>
      <w:r>
        <w:rPr>
          <w:rFonts w:ascii="宋体" w:hAnsi="宋体" w:cs="宋体"/>
          <w:b/>
          <w:bCs/>
        </w:rPr>
        <w:t>、股份支付总体情况</w:t>
      </w:r>
      <w:bookmarkEnd w:id="437"/>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pStyle w:val="3"/>
        <w:spacing w:line="280" w:lineRule="exact"/>
        <w:jc w:val="left"/>
        <w:rPr>
          <w:rFonts w:ascii="宋体" w:hAnsi="宋体" w:cs="宋体"/>
          <w:b/>
          <w:bCs/>
        </w:rPr>
      </w:pPr>
      <w:bookmarkStart w:id="438" w:name="_Toc989330"/>
      <w:r>
        <w:rPr>
          <w:rFonts w:ascii="宋体" w:hAnsi="宋体" w:cs="宋体"/>
          <w:b/>
          <w:bCs/>
        </w:rPr>
        <w:t>2</w:t>
      </w:r>
      <w:r>
        <w:rPr>
          <w:rFonts w:ascii="宋体" w:hAnsi="宋体" w:cs="宋体"/>
          <w:b/>
          <w:bCs/>
        </w:rPr>
        <w:t>、以权益结算的股份支付情况</w:t>
      </w:r>
      <w:bookmarkEnd w:id="438"/>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pStyle w:val="3"/>
        <w:spacing w:line="280" w:lineRule="exact"/>
        <w:jc w:val="left"/>
        <w:rPr>
          <w:rFonts w:ascii="宋体" w:hAnsi="宋体" w:cs="宋体"/>
          <w:b/>
          <w:bCs/>
        </w:rPr>
      </w:pPr>
      <w:bookmarkStart w:id="439" w:name="_Toc989331"/>
      <w:r>
        <w:rPr>
          <w:rFonts w:ascii="宋体" w:hAnsi="宋体" w:cs="宋体"/>
          <w:b/>
          <w:bCs/>
        </w:rPr>
        <w:t>3</w:t>
      </w:r>
      <w:r>
        <w:rPr>
          <w:rFonts w:ascii="宋体" w:hAnsi="宋体" w:cs="宋体"/>
          <w:b/>
          <w:bCs/>
        </w:rPr>
        <w:t>、以现金结算的股份支付情况</w:t>
      </w:r>
      <w:bookmarkEnd w:id="439"/>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pStyle w:val="3"/>
        <w:spacing w:line="280" w:lineRule="exact"/>
        <w:jc w:val="left"/>
        <w:rPr>
          <w:rFonts w:ascii="宋体" w:hAnsi="宋体" w:cs="宋体"/>
          <w:b/>
          <w:bCs/>
        </w:rPr>
      </w:pPr>
      <w:bookmarkStart w:id="440" w:name="_Toc989332"/>
      <w:r>
        <w:rPr>
          <w:rFonts w:ascii="宋体" w:hAnsi="宋体" w:cs="宋体"/>
          <w:b/>
          <w:bCs/>
        </w:rPr>
        <w:t>4</w:t>
      </w:r>
      <w:r>
        <w:rPr>
          <w:rFonts w:ascii="宋体" w:hAnsi="宋体" w:cs="宋体"/>
          <w:b/>
          <w:bCs/>
        </w:rPr>
        <w:t>、股份支付的修改、终止情况</w:t>
      </w:r>
      <w:bookmarkEnd w:id="440"/>
    </w:p>
    <w:p w:rsidR="00A067C6" w:rsidRDefault="005C4966">
      <w:pPr>
        <w:pStyle w:val="a6"/>
        <w:rPr>
          <w:sz w:val="18"/>
          <w:szCs w:val="18"/>
        </w:rPr>
      </w:pPr>
      <w:r>
        <w:rPr>
          <w:rFonts w:hint="eastAsia"/>
          <w:sz w:val="18"/>
          <w:szCs w:val="18"/>
        </w:rPr>
        <w:t>无。</w:t>
      </w:r>
    </w:p>
    <w:p w:rsidR="00A067C6" w:rsidRDefault="005C4966">
      <w:pPr>
        <w:pStyle w:val="3"/>
        <w:spacing w:line="280" w:lineRule="exact"/>
        <w:jc w:val="left"/>
        <w:rPr>
          <w:rFonts w:ascii="宋体" w:hAnsi="宋体" w:cs="宋体"/>
          <w:b/>
          <w:bCs/>
        </w:rPr>
      </w:pPr>
      <w:bookmarkStart w:id="441" w:name="_Toc989333"/>
      <w:r>
        <w:rPr>
          <w:rFonts w:ascii="宋体" w:hAnsi="宋体" w:cs="宋体"/>
          <w:b/>
          <w:bCs/>
        </w:rPr>
        <w:t>5</w:t>
      </w:r>
      <w:r>
        <w:rPr>
          <w:rFonts w:ascii="宋体" w:hAnsi="宋体" w:cs="宋体"/>
          <w:b/>
          <w:bCs/>
        </w:rPr>
        <w:t>、其他</w:t>
      </w:r>
      <w:r>
        <w:rPr>
          <w:rFonts w:ascii="宋体" w:hAnsi="宋体" w:cs="宋体"/>
          <w:b/>
          <w:bCs/>
        </w:rPr>
        <w:t xml:space="preserve"> </w:t>
      </w:r>
      <w:bookmarkEnd w:id="441"/>
    </w:p>
    <w:p w:rsidR="00A067C6" w:rsidRDefault="005C4966">
      <w:pPr>
        <w:pStyle w:val="a6"/>
        <w:rPr>
          <w:sz w:val="18"/>
          <w:szCs w:val="18"/>
        </w:rPr>
      </w:pPr>
      <w:r>
        <w:rPr>
          <w:rFonts w:hint="eastAsia"/>
          <w:sz w:val="18"/>
          <w:szCs w:val="18"/>
        </w:rPr>
        <w:t>无。</w:t>
      </w:r>
    </w:p>
    <w:p w:rsidR="00A067C6" w:rsidRDefault="005C4966">
      <w:pPr>
        <w:pStyle w:val="2"/>
        <w:spacing w:before="300" w:after="300" w:line="320" w:lineRule="exact"/>
        <w:rPr>
          <w:rFonts w:ascii="宋体" w:eastAsia="宋体" w:hAnsi="宋体" w:cs="宋体"/>
          <w:b/>
          <w:bCs/>
          <w:sz w:val="24"/>
          <w:szCs w:val="24"/>
        </w:rPr>
      </w:pPr>
      <w:bookmarkStart w:id="442" w:name="_Toc989334"/>
      <w:r>
        <w:rPr>
          <w:rFonts w:ascii="宋体" w:eastAsia="宋体" w:hAnsi="宋体" w:cs="宋体"/>
          <w:b/>
          <w:bCs/>
          <w:sz w:val="24"/>
          <w:szCs w:val="24"/>
        </w:rPr>
        <w:t>十四、承诺及或有事项</w:t>
      </w:r>
      <w:bookmarkEnd w:id="442"/>
    </w:p>
    <w:p w:rsidR="00A067C6" w:rsidRDefault="005C4966">
      <w:pPr>
        <w:pStyle w:val="3"/>
        <w:spacing w:line="280" w:lineRule="exact"/>
        <w:jc w:val="left"/>
        <w:rPr>
          <w:rFonts w:ascii="宋体" w:hAnsi="宋体" w:cs="宋体"/>
          <w:b/>
          <w:bCs/>
        </w:rPr>
      </w:pPr>
      <w:bookmarkStart w:id="443" w:name="_Toc989335"/>
      <w:r>
        <w:rPr>
          <w:rFonts w:ascii="宋体" w:hAnsi="宋体" w:cs="宋体"/>
          <w:b/>
          <w:bCs/>
        </w:rPr>
        <w:t>1</w:t>
      </w:r>
      <w:r>
        <w:rPr>
          <w:rFonts w:ascii="宋体" w:hAnsi="宋体" w:cs="宋体"/>
          <w:b/>
          <w:bCs/>
        </w:rPr>
        <w:t>、重要承诺事项</w:t>
      </w:r>
      <w:bookmarkEnd w:id="443"/>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资产负债表日存在的重要承诺</w:t>
      </w:r>
    </w:p>
    <w:p w:rsidR="00A067C6" w:rsidRDefault="005C4966">
      <w:pPr>
        <w:pStyle w:val="3"/>
        <w:spacing w:line="280" w:lineRule="exact"/>
        <w:jc w:val="left"/>
        <w:rPr>
          <w:rFonts w:ascii="宋体" w:hAnsi="宋体" w:cs="宋体"/>
          <w:b/>
          <w:bCs/>
        </w:rPr>
      </w:pPr>
      <w:bookmarkStart w:id="444" w:name="_Toc989336"/>
      <w:r>
        <w:rPr>
          <w:rFonts w:ascii="宋体" w:hAnsi="宋体" w:cs="宋体"/>
          <w:b/>
          <w:bCs/>
        </w:rPr>
        <w:t>2</w:t>
      </w:r>
      <w:r>
        <w:rPr>
          <w:rFonts w:ascii="宋体" w:hAnsi="宋体" w:cs="宋体"/>
          <w:b/>
          <w:bCs/>
        </w:rPr>
        <w:t>、或有事项</w:t>
      </w:r>
      <w:bookmarkEnd w:id="444"/>
    </w:p>
    <w:p w:rsidR="00A067C6" w:rsidRDefault="005C4966">
      <w:pPr>
        <w:keepNext/>
        <w:keepLines/>
        <w:spacing w:before="300" w:after="300" w:line="280" w:lineRule="exact"/>
        <w:outlineLvl w:val="3"/>
        <w:rPr>
          <w:rFonts w:ascii="宋体" w:eastAsia="宋体" w:hAnsi="宋体" w:cs="宋体"/>
          <w:b/>
          <w:bCs/>
          <w:szCs w:val="21"/>
        </w:rPr>
      </w:pPr>
      <w:bookmarkStart w:id="445" w:name="_Toc989337"/>
      <w:r>
        <w:rPr>
          <w:rFonts w:ascii="宋体" w:eastAsia="宋体" w:hAnsi="宋体" w:cs="宋体"/>
          <w:b/>
          <w:bCs/>
          <w:szCs w:val="21"/>
        </w:rPr>
        <w:t>（</w:t>
      </w:r>
      <w:r>
        <w:rPr>
          <w:rFonts w:ascii="宋体" w:eastAsia="宋体" w:hAnsi="宋体" w:cs="宋体"/>
          <w:b/>
          <w:bCs/>
          <w:szCs w:val="21"/>
        </w:rPr>
        <w:t>1</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资产负债表日存在的重要或有事项</w:t>
      </w:r>
      <w:bookmarkEnd w:id="445"/>
    </w:p>
    <w:p w:rsidR="00A067C6" w:rsidRDefault="005C4966">
      <w:pPr>
        <w:keepNext/>
        <w:keepLines/>
        <w:spacing w:before="300" w:after="300" w:line="280" w:lineRule="exact"/>
        <w:outlineLvl w:val="3"/>
        <w:rPr>
          <w:rFonts w:ascii="宋体" w:eastAsia="宋体" w:hAnsi="宋体" w:cs="宋体"/>
          <w:b/>
          <w:bCs/>
          <w:szCs w:val="21"/>
        </w:rPr>
      </w:pPr>
      <w:bookmarkStart w:id="446" w:name="_Toc989338"/>
      <w:r>
        <w:rPr>
          <w:rFonts w:ascii="宋体" w:eastAsia="宋体" w:hAnsi="宋体" w:cs="宋体"/>
          <w:b/>
          <w:bCs/>
          <w:szCs w:val="21"/>
        </w:rPr>
        <w:t>（</w:t>
      </w:r>
      <w:r>
        <w:rPr>
          <w:rFonts w:ascii="宋体" w:eastAsia="宋体" w:hAnsi="宋体" w:cs="宋体"/>
          <w:b/>
          <w:bCs/>
          <w:szCs w:val="21"/>
        </w:rPr>
        <w:t>2</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公司没有需要披露的重要或有事项，也应予以说明</w:t>
      </w:r>
      <w:bookmarkEnd w:id="446"/>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公司不存在需要披露的重要或有事项。</w:t>
      </w:r>
    </w:p>
    <w:p w:rsidR="00A067C6" w:rsidRDefault="005C4966">
      <w:pPr>
        <w:pStyle w:val="3"/>
        <w:spacing w:line="280" w:lineRule="exact"/>
        <w:jc w:val="left"/>
        <w:rPr>
          <w:rFonts w:ascii="宋体" w:hAnsi="宋体" w:cs="宋体"/>
          <w:b/>
          <w:bCs/>
        </w:rPr>
      </w:pPr>
      <w:bookmarkStart w:id="447" w:name="_Toc989339"/>
      <w:r>
        <w:rPr>
          <w:rFonts w:ascii="宋体" w:hAnsi="宋体" w:cs="宋体"/>
          <w:b/>
          <w:bCs/>
        </w:rPr>
        <w:t>3</w:t>
      </w:r>
      <w:r>
        <w:rPr>
          <w:rFonts w:ascii="宋体" w:hAnsi="宋体" w:cs="宋体"/>
          <w:b/>
          <w:bCs/>
        </w:rPr>
        <w:t>、其他</w:t>
      </w:r>
      <w:bookmarkEnd w:id="447"/>
    </w:p>
    <w:p w:rsidR="00A067C6" w:rsidRDefault="005C4966">
      <w:pPr>
        <w:pStyle w:val="2"/>
        <w:spacing w:before="300" w:after="300" w:line="320" w:lineRule="exact"/>
        <w:rPr>
          <w:rFonts w:ascii="宋体" w:eastAsia="宋体" w:hAnsi="宋体" w:cs="宋体"/>
          <w:b/>
          <w:bCs/>
          <w:sz w:val="24"/>
          <w:szCs w:val="24"/>
        </w:rPr>
      </w:pPr>
      <w:bookmarkStart w:id="448" w:name="_Toc989340"/>
      <w:r>
        <w:rPr>
          <w:rFonts w:ascii="宋体" w:eastAsia="宋体" w:hAnsi="宋体" w:cs="宋体"/>
          <w:b/>
          <w:bCs/>
          <w:sz w:val="24"/>
          <w:szCs w:val="24"/>
        </w:rPr>
        <w:t>十五、资产负债表日后事项</w:t>
      </w:r>
      <w:bookmarkEnd w:id="448"/>
    </w:p>
    <w:p w:rsidR="00A067C6" w:rsidRDefault="005C4966">
      <w:pPr>
        <w:pStyle w:val="3"/>
        <w:spacing w:line="280" w:lineRule="exact"/>
        <w:jc w:val="left"/>
        <w:rPr>
          <w:rFonts w:ascii="宋体" w:hAnsi="宋体" w:cs="宋体"/>
          <w:b/>
          <w:bCs/>
        </w:rPr>
      </w:pPr>
      <w:bookmarkStart w:id="449" w:name="_Toc989341"/>
      <w:r>
        <w:rPr>
          <w:rFonts w:ascii="宋体" w:hAnsi="宋体" w:cs="宋体"/>
          <w:b/>
          <w:bCs/>
        </w:rPr>
        <w:t>1</w:t>
      </w:r>
      <w:r>
        <w:rPr>
          <w:rFonts w:ascii="宋体" w:hAnsi="宋体" w:cs="宋体"/>
          <w:b/>
          <w:bCs/>
        </w:rPr>
        <w:t>、重要的非调整事项</w:t>
      </w:r>
      <w:bookmarkEnd w:id="449"/>
    </w:p>
    <w:p w:rsidR="00A067C6" w:rsidRDefault="005C4966">
      <w:pPr>
        <w:keepNext/>
        <w:keepLines/>
        <w:spacing w:before="300" w:after="300" w:line="280" w:lineRule="exact"/>
        <w:outlineLvl w:val="3"/>
        <w:rPr>
          <w:rFonts w:ascii="宋体" w:eastAsia="宋体" w:hAnsi="宋体" w:cs="宋体"/>
          <w:sz w:val="18"/>
          <w:szCs w:val="18"/>
        </w:rPr>
      </w:pPr>
      <w:bookmarkStart w:id="450" w:name="_Toc989342"/>
      <w:r>
        <w:rPr>
          <w:rFonts w:ascii="宋体" w:eastAsia="宋体" w:hAnsi="宋体" w:cs="宋体" w:hint="eastAsia"/>
          <w:sz w:val="18"/>
          <w:szCs w:val="18"/>
        </w:rPr>
        <w:t>无</w:t>
      </w:r>
    </w:p>
    <w:p w:rsidR="00A067C6" w:rsidRDefault="005C4966">
      <w:pPr>
        <w:pStyle w:val="3"/>
        <w:spacing w:line="280" w:lineRule="exact"/>
        <w:jc w:val="left"/>
        <w:rPr>
          <w:rFonts w:ascii="宋体" w:hAnsi="宋体" w:cs="宋体"/>
          <w:b/>
          <w:bCs/>
        </w:rPr>
      </w:pPr>
      <w:r>
        <w:rPr>
          <w:rFonts w:ascii="宋体" w:hAnsi="宋体" w:cs="宋体"/>
          <w:b/>
          <w:bCs/>
        </w:rPr>
        <w:t>2</w:t>
      </w:r>
      <w:r>
        <w:rPr>
          <w:rFonts w:ascii="宋体" w:hAnsi="宋体" w:cs="宋体"/>
          <w:b/>
          <w:bCs/>
        </w:rPr>
        <w:t>、利润分配情况</w:t>
      </w:r>
      <w:bookmarkEnd w:id="450"/>
    </w:p>
    <w:p w:rsidR="00A067C6" w:rsidRDefault="005C4966">
      <w:pPr>
        <w:keepNext/>
        <w:keepLines/>
        <w:spacing w:before="300" w:after="300" w:line="280" w:lineRule="exact"/>
        <w:outlineLvl w:val="3"/>
        <w:rPr>
          <w:rFonts w:ascii="宋体" w:eastAsia="宋体" w:hAnsi="宋体" w:cs="宋体"/>
          <w:sz w:val="18"/>
          <w:szCs w:val="18"/>
        </w:rPr>
      </w:pPr>
      <w:bookmarkStart w:id="451" w:name="_Toc989343"/>
      <w:r>
        <w:rPr>
          <w:rFonts w:ascii="宋体" w:eastAsia="宋体" w:hAnsi="宋体" w:cs="宋体" w:hint="eastAsia"/>
          <w:sz w:val="18"/>
          <w:szCs w:val="18"/>
        </w:rPr>
        <w:t>无</w:t>
      </w:r>
    </w:p>
    <w:p w:rsidR="00A067C6" w:rsidRDefault="005C4966">
      <w:pPr>
        <w:pStyle w:val="3"/>
        <w:spacing w:line="280" w:lineRule="exact"/>
        <w:jc w:val="left"/>
        <w:rPr>
          <w:rFonts w:ascii="宋体" w:hAnsi="宋体" w:cs="宋体"/>
          <w:b/>
          <w:bCs/>
        </w:rPr>
      </w:pPr>
      <w:r>
        <w:rPr>
          <w:rFonts w:ascii="宋体" w:hAnsi="宋体" w:cs="宋体"/>
          <w:b/>
          <w:bCs/>
        </w:rPr>
        <w:t>3</w:t>
      </w:r>
      <w:r>
        <w:rPr>
          <w:rFonts w:ascii="宋体" w:hAnsi="宋体" w:cs="宋体"/>
          <w:b/>
          <w:bCs/>
        </w:rPr>
        <w:t>、销售退回</w:t>
      </w:r>
      <w:bookmarkEnd w:id="451"/>
    </w:p>
    <w:p w:rsidR="00A067C6" w:rsidRDefault="005C4966">
      <w:pPr>
        <w:keepNext/>
        <w:keepLines/>
        <w:spacing w:before="300" w:after="300" w:line="280" w:lineRule="exact"/>
        <w:outlineLvl w:val="3"/>
        <w:rPr>
          <w:rFonts w:ascii="宋体" w:eastAsia="宋体" w:hAnsi="宋体" w:cs="宋体"/>
          <w:sz w:val="18"/>
          <w:szCs w:val="18"/>
        </w:rPr>
      </w:pPr>
      <w:bookmarkStart w:id="452" w:name="_Toc989344"/>
      <w:r>
        <w:rPr>
          <w:rFonts w:ascii="宋体" w:eastAsia="宋体" w:hAnsi="宋体" w:cs="宋体" w:hint="eastAsia"/>
          <w:sz w:val="18"/>
          <w:szCs w:val="18"/>
        </w:rPr>
        <w:t>无</w:t>
      </w:r>
    </w:p>
    <w:p w:rsidR="00A067C6" w:rsidRDefault="005C4966">
      <w:pPr>
        <w:pStyle w:val="3"/>
        <w:spacing w:line="280" w:lineRule="exact"/>
        <w:jc w:val="left"/>
        <w:rPr>
          <w:rFonts w:ascii="宋体" w:hAnsi="宋体" w:cs="宋体"/>
          <w:b/>
          <w:bCs/>
        </w:rPr>
      </w:pPr>
      <w:r>
        <w:rPr>
          <w:rFonts w:ascii="宋体" w:hAnsi="宋体" w:cs="宋体"/>
          <w:b/>
          <w:bCs/>
        </w:rPr>
        <w:t>4</w:t>
      </w:r>
      <w:r>
        <w:rPr>
          <w:rFonts w:ascii="宋体" w:hAnsi="宋体" w:cs="宋体"/>
          <w:b/>
          <w:bCs/>
        </w:rPr>
        <w:t>、其他资产负债表日后事项说明</w:t>
      </w:r>
      <w:bookmarkEnd w:id="452"/>
    </w:p>
    <w:p w:rsidR="00A067C6" w:rsidRDefault="005C4966">
      <w:pPr>
        <w:keepNext/>
        <w:keepLines/>
        <w:spacing w:before="300" w:after="300" w:line="280" w:lineRule="exact"/>
        <w:outlineLvl w:val="3"/>
        <w:rPr>
          <w:rFonts w:ascii="宋体" w:eastAsia="宋体" w:hAnsi="宋体" w:cs="宋体"/>
          <w:sz w:val="18"/>
          <w:szCs w:val="18"/>
        </w:rPr>
      </w:pPr>
      <w:bookmarkStart w:id="453" w:name="_Toc989345"/>
      <w:r>
        <w:rPr>
          <w:rFonts w:ascii="宋体" w:eastAsia="宋体" w:hAnsi="宋体" w:cs="宋体" w:hint="eastAsia"/>
          <w:sz w:val="18"/>
          <w:szCs w:val="18"/>
        </w:rPr>
        <w:t>无</w:t>
      </w:r>
    </w:p>
    <w:p w:rsidR="00A067C6" w:rsidRDefault="005C4966">
      <w:pPr>
        <w:pStyle w:val="2"/>
        <w:spacing w:before="300" w:after="300" w:line="320" w:lineRule="exact"/>
        <w:rPr>
          <w:rFonts w:ascii="宋体" w:eastAsia="宋体" w:hAnsi="宋体" w:cs="宋体"/>
          <w:b/>
          <w:bCs/>
          <w:sz w:val="24"/>
          <w:szCs w:val="24"/>
        </w:rPr>
      </w:pPr>
      <w:r>
        <w:rPr>
          <w:rFonts w:ascii="宋体" w:eastAsia="宋体" w:hAnsi="宋体" w:cs="宋体"/>
          <w:b/>
          <w:bCs/>
          <w:sz w:val="24"/>
          <w:szCs w:val="24"/>
        </w:rPr>
        <w:t>十六、其他重要事项</w:t>
      </w:r>
      <w:bookmarkEnd w:id="453"/>
    </w:p>
    <w:p w:rsidR="00A067C6" w:rsidRDefault="005C4966">
      <w:pPr>
        <w:pStyle w:val="3"/>
        <w:spacing w:line="280" w:lineRule="exact"/>
        <w:jc w:val="left"/>
        <w:rPr>
          <w:rFonts w:ascii="宋体" w:hAnsi="宋体" w:cs="宋体"/>
          <w:b/>
          <w:bCs/>
        </w:rPr>
      </w:pPr>
      <w:bookmarkStart w:id="454" w:name="_Toc989346"/>
      <w:r>
        <w:rPr>
          <w:rFonts w:ascii="宋体" w:hAnsi="宋体" w:cs="宋体"/>
          <w:b/>
          <w:bCs/>
        </w:rPr>
        <w:t>1</w:t>
      </w:r>
      <w:r>
        <w:rPr>
          <w:rFonts w:ascii="宋体" w:hAnsi="宋体" w:cs="宋体"/>
          <w:b/>
          <w:bCs/>
        </w:rPr>
        <w:t>、前期会计差错更正</w:t>
      </w:r>
      <w:bookmarkEnd w:id="454"/>
    </w:p>
    <w:p w:rsidR="00A067C6" w:rsidRDefault="005C4966">
      <w:pPr>
        <w:keepNext/>
        <w:keepLines/>
        <w:spacing w:before="300" w:after="300" w:line="280" w:lineRule="exact"/>
        <w:outlineLvl w:val="3"/>
        <w:rPr>
          <w:rFonts w:ascii="宋体" w:eastAsia="宋体" w:hAnsi="宋体" w:cs="宋体"/>
          <w:b/>
          <w:bCs/>
          <w:szCs w:val="21"/>
        </w:rPr>
      </w:pPr>
      <w:bookmarkStart w:id="455" w:name="_Toc989347"/>
      <w:r>
        <w:rPr>
          <w:rFonts w:ascii="宋体" w:eastAsia="宋体" w:hAnsi="宋体" w:cs="宋体"/>
          <w:b/>
          <w:bCs/>
          <w:szCs w:val="21"/>
        </w:rPr>
        <w:t>（</w:t>
      </w:r>
      <w:r>
        <w:rPr>
          <w:rFonts w:ascii="宋体" w:eastAsia="宋体" w:hAnsi="宋体" w:cs="宋体"/>
          <w:b/>
          <w:bCs/>
          <w:szCs w:val="21"/>
        </w:rPr>
        <w:t>1</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追溯重述法</w:t>
      </w:r>
      <w:bookmarkEnd w:id="455"/>
    </w:p>
    <w:p w:rsidR="00A067C6" w:rsidRDefault="005C4966">
      <w:pPr>
        <w:keepNext/>
        <w:keepLines/>
        <w:spacing w:before="300" w:after="300" w:line="280" w:lineRule="exact"/>
        <w:outlineLvl w:val="3"/>
        <w:rPr>
          <w:rFonts w:ascii="宋体" w:eastAsia="宋体" w:hAnsi="宋体" w:cs="宋体"/>
          <w:sz w:val="18"/>
          <w:szCs w:val="18"/>
        </w:rPr>
      </w:pPr>
      <w:bookmarkStart w:id="456" w:name="_Toc989348"/>
      <w:r>
        <w:rPr>
          <w:rFonts w:ascii="宋体" w:eastAsia="宋体" w:hAnsi="宋体" w:cs="宋体" w:hint="eastAsia"/>
          <w:sz w:val="18"/>
          <w:szCs w:val="18"/>
        </w:rPr>
        <w:t>无</w:t>
      </w:r>
    </w:p>
    <w:p w:rsidR="00A067C6" w:rsidRDefault="005C4966">
      <w:pPr>
        <w:keepNext/>
        <w:keepLines/>
        <w:spacing w:before="300" w:after="300" w:line="280" w:lineRule="exact"/>
        <w:outlineLvl w:val="3"/>
        <w:rPr>
          <w:rFonts w:ascii="宋体" w:eastAsia="宋体" w:hAnsi="宋体" w:cs="宋体"/>
          <w:b/>
          <w:bCs/>
          <w:szCs w:val="21"/>
        </w:rPr>
      </w:pPr>
      <w:r>
        <w:rPr>
          <w:rFonts w:ascii="宋体" w:eastAsia="宋体" w:hAnsi="宋体" w:cs="宋体"/>
          <w:b/>
          <w:bCs/>
          <w:szCs w:val="21"/>
        </w:rPr>
        <w:t>（</w:t>
      </w:r>
      <w:r>
        <w:rPr>
          <w:rFonts w:ascii="宋体" w:eastAsia="宋体" w:hAnsi="宋体" w:cs="宋体"/>
          <w:b/>
          <w:bCs/>
          <w:szCs w:val="21"/>
        </w:rPr>
        <w:t>2</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未来适用法</w:t>
      </w:r>
      <w:bookmarkEnd w:id="456"/>
    </w:p>
    <w:p w:rsidR="00A067C6" w:rsidRDefault="005C4966">
      <w:pPr>
        <w:keepNext/>
        <w:keepLines/>
        <w:spacing w:before="300" w:after="300" w:line="280" w:lineRule="exact"/>
        <w:outlineLvl w:val="3"/>
        <w:rPr>
          <w:rFonts w:ascii="宋体" w:eastAsia="宋体" w:hAnsi="宋体" w:cs="宋体"/>
          <w:sz w:val="18"/>
          <w:szCs w:val="18"/>
        </w:rPr>
      </w:pPr>
      <w:bookmarkStart w:id="457" w:name="_Toc989349"/>
      <w:r>
        <w:rPr>
          <w:rFonts w:ascii="宋体" w:eastAsia="宋体" w:hAnsi="宋体" w:cs="宋体" w:hint="eastAsia"/>
          <w:sz w:val="18"/>
          <w:szCs w:val="18"/>
        </w:rPr>
        <w:t>无</w:t>
      </w:r>
    </w:p>
    <w:p w:rsidR="00A067C6" w:rsidRDefault="005C4966">
      <w:pPr>
        <w:pStyle w:val="3"/>
        <w:spacing w:line="280" w:lineRule="exact"/>
        <w:jc w:val="left"/>
        <w:rPr>
          <w:rFonts w:ascii="宋体" w:hAnsi="宋体" w:cs="宋体"/>
          <w:b/>
          <w:bCs/>
        </w:rPr>
      </w:pPr>
      <w:r>
        <w:rPr>
          <w:rFonts w:ascii="宋体" w:hAnsi="宋体" w:cs="宋体"/>
          <w:b/>
          <w:bCs/>
        </w:rPr>
        <w:t>2</w:t>
      </w:r>
      <w:r>
        <w:rPr>
          <w:rFonts w:ascii="宋体" w:hAnsi="宋体" w:cs="宋体"/>
          <w:b/>
          <w:bCs/>
        </w:rPr>
        <w:t>、债务重组</w:t>
      </w:r>
      <w:bookmarkEnd w:id="457"/>
    </w:p>
    <w:p w:rsidR="00A067C6" w:rsidRDefault="005C4966">
      <w:pPr>
        <w:keepNext/>
        <w:keepLines/>
        <w:spacing w:before="300" w:after="300" w:line="280" w:lineRule="exact"/>
        <w:outlineLvl w:val="3"/>
        <w:rPr>
          <w:rFonts w:ascii="宋体" w:eastAsia="宋体" w:hAnsi="宋体" w:cs="宋体"/>
          <w:sz w:val="18"/>
          <w:szCs w:val="18"/>
        </w:rPr>
      </w:pPr>
      <w:bookmarkStart w:id="458" w:name="_Toc989350"/>
      <w:r>
        <w:rPr>
          <w:rFonts w:ascii="宋体" w:eastAsia="宋体" w:hAnsi="宋体" w:cs="宋体" w:hint="eastAsia"/>
          <w:sz w:val="18"/>
          <w:szCs w:val="18"/>
        </w:rPr>
        <w:t>无</w:t>
      </w:r>
    </w:p>
    <w:p w:rsidR="00A067C6" w:rsidRDefault="005C4966">
      <w:pPr>
        <w:pStyle w:val="3"/>
        <w:spacing w:line="280" w:lineRule="exact"/>
        <w:jc w:val="left"/>
        <w:rPr>
          <w:rFonts w:ascii="宋体" w:hAnsi="宋体" w:cs="宋体"/>
          <w:b/>
          <w:bCs/>
        </w:rPr>
      </w:pPr>
      <w:r>
        <w:rPr>
          <w:rFonts w:ascii="宋体" w:hAnsi="宋体" w:cs="宋体"/>
          <w:b/>
          <w:bCs/>
        </w:rPr>
        <w:t>3</w:t>
      </w:r>
      <w:r>
        <w:rPr>
          <w:rFonts w:ascii="宋体" w:hAnsi="宋体" w:cs="宋体"/>
          <w:b/>
          <w:bCs/>
        </w:rPr>
        <w:t>、资产置换</w:t>
      </w:r>
      <w:bookmarkEnd w:id="458"/>
    </w:p>
    <w:p w:rsidR="00A067C6" w:rsidRDefault="005C4966">
      <w:pPr>
        <w:keepNext/>
        <w:keepLines/>
        <w:spacing w:before="300" w:after="300" w:line="280" w:lineRule="exact"/>
        <w:outlineLvl w:val="3"/>
        <w:rPr>
          <w:rFonts w:ascii="宋体" w:eastAsia="宋体" w:hAnsi="宋体" w:cs="宋体"/>
          <w:b/>
          <w:bCs/>
          <w:szCs w:val="21"/>
        </w:rPr>
      </w:pPr>
      <w:bookmarkStart w:id="459" w:name="_Toc989351"/>
      <w:r>
        <w:rPr>
          <w:rFonts w:ascii="宋体" w:eastAsia="宋体" w:hAnsi="宋体" w:cs="宋体"/>
          <w:b/>
          <w:bCs/>
          <w:szCs w:val="21"/>
        </w:rPr>
        <w:t>（</w:t>
      </w:r>
      <w:r>
        <w:rPr>
          <w:rFonts w:ascii="宋体" w:eastAsia="宋体" w:hAnsi="宋体" w:cs="宋体"/>
          <w:b/>
          <w:bCs/>
          <w:szCs w:val="21"/>
        </w:rPr>
        <w:t>1</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非货币性资产交换</w:t>
      </w:r>
      <w:bookmarkEnd w:id="459"/>
    </w:p>
    <w:p w:rsidR="00A067C6" w:rsidRDefault="005C4966">
      <w:pPr>
        <w:keepNext/>
        <w:keepLines/>
        <w:spacing w:before="300" w:after="300" w:line="280" w:lineRule="exact"/>
        <w:outlineLvl w:val="3"/>
        <w:rPr>
          <w:rFonts w:ascii="宋体" w:eastAsia="宋体" w:hAnsi="宋体" w:cs="宋体"/>
          <w:b/>
          <w:bCs/>
          <w:szCs w:val="21"/>
        </w:rPr>
      </w:pPr>
      <w:bookmarkStart w:id="460" w:name="_Toc989352"/>
      <w:r>
        <w:rPr>
          <w:rFonts w:ascii="宋体" w:eastAsia="宋体" w:hAnsi="宋体" w:cs="宋体"/>
          <w:b/>
          <w:bCs/>
          <w:szCs w:val="21"/>
        </w:rPr>
        <w:t>（</w:t>
      </w:r>
      <w:r>
        <w:rPr>
          <w:rFonts w:ascii="宋体" w:eastAsia="宋体" w:hAnsi="宋体" w:cs="宋体"/>
          <w:b/>
          <w:bCs/>
          <w:szCs w:val="21"/>
        </w:rPr>
        <w:t>2</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其他资产置换</w:t>
      </w:r>
      <w:bookmarkEnd w:id="460"/>
    </w:p>
    <w:p w:rsidR="00A067C6" w:rsidRDefault="005C4966">
      <w:pPr>
        <w:pStyle w:val="3"/>
        <w:spacing w:line="280" w:lineRule="exact"/>
        <w:jc w:val="left"/>
        <w:rPr>
          <w:rFonts w:ascii="宋体" w:hAnsi="宋体" w:cs="宋体"/>
          <w:b/>
          <w:bCs/>
        </w:rPr>
      </w:pPr>
      <w:bookmarkStart w:id="461" w:name="_Toc989353"/>
      <w:r>
        <w:rPr>
          <w:rFonts w:ascii="宋体" w:hAnsi="宋体" w:cs="宋体"/>
          <w:b/>
          <w:bCs/>
        </w:rPr>
        <w:t>4</w:t>
      </w:r>
      <w:r>
        <w:rPr>
          <w:rFonts w:ascii="宋体" w:hAnsi="宋体" w:cs="宋体"/>
          <w:b/>
          <w:bCs/>
        </w:rPr>
        <w:t>、年金计划</w:t>
      </w:r>
      <w:bookmarkEnd w:id="461"/>
    </w:p>
    <w:p w:rsidR="00A067C6" w:rsidRDefault="005C4966">
      <w:pPr>
        <w:pStyle w:val="3"/>
        <w:spacing w:line="280" w:lineRule="exact"/>
        <w:jc w:val="left"/>
        <w:rPr>
          <w:rFonts w:ascii="宋体" w:hAnsi="宋体" w:cs="宋体"/>
          <w:b/>
          <w:bCs/>
        </w:rPr>
      </w:pPr>
      <w:bookmarkStart w:id="462" w:name="_Toc989354"/>
      <w:r>
        <w:rPr>
          <w:rFonts w:ascii="宋体" w:hAnsi="宋体" w:cs="宋体"/>
          <w:b/>
          <w:bCs/>
        </w:rPr>
        <w:t>5</w:t>
      </w:r>
      <w:r>
        <w:rPr>
          <w:rFonts w:ascii="宋体" w:hAnsi="宋体" w:cs="宋体"/>
          <w:b/>
          <w:bCs/>
        </w:rPr>
        <w:t>、终止经营</w:t>
      </w:r>
      <w:bookmarkEnd w:id="462"/>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ascii="宋体" w:eastAsia="宋体" w:hAnsi="宋体" w:cs="宋体" w:hint="eastAsia"/>
          <w:sz w:val="18"/>
          <w:szCs w:val="18"/>
        </w:rPr>
        <w:t>：无</w:t>
      </w:r>
    </w:p>
    <w:p w:rsidR="00A067C6" w:rsidRDefault="005C4966">
      <w:pPr>
        <w:pStyle w:val="3"/>
        <w:spacing w:line="280" w:lineRule="exact"/>
        <w:jc w:val="left"/>
        <w:rPr>
          <w:rFonts w:ascii="宋体" w:hAnsi="宋体" w:cs="宋体"/>
          <w:b/>
          <w:bCs/>
        </w:rPr>
      </w:pPr>
      <w:bookmarkStart w:id="463" w:name="_Toc989355"/>
      <w:r>
        <w:rPr>
          <w:rFonts w:ascii="宋体" w:hAnsi="宋体" w:cs="宋体"/>
          <w:b/>
          <w:bCs/>
        </w:rPr>
        <w:t>6</w:t>
      </w:r>
      <w:r>
        <w:rPr>
          <w:rFonts w:ascii="宋体" w:hAnsi="宋体" w:cs="宋体"/>
          <w:b/>
          <w:bCs/>
        </w:rPr>
        <w:t>、分部信息</w:t>
      </w:r>
      <w:bookmarkEnd w:id="463"/>
    </w:p>
    <w:p w:rsidR="00A067C6" w:rsidRDefault="005C4966">
      <w:pPr>
        <w:keepNext/>
        <w:keepLines/>
        <w:spacing w:before="300" w:after="300" w:line="280" w:lineRule="exact"/>
        <w:outlineLvl w:val="3"/>
        <w:rPr>
          <w:rFonts w:ascii="宋体" w:eastAsia="宋体" w:hAnsi="宋体" w:cs="宋体"/>
          <w:b/>
          <w:bCs/>
          <w:szCs w:val="21"/>
        </w:rPr>
      </w:pPr>
      <w:bookmarkStart w:id="464" w:name="_Toc989356"/>
      <w:r>
        <w:rPr>
          <w:rFonts w:ascii="宋体" w:eastAsia="宋体" w:hAnsi="宋体" w:cs="宋体"/>
          <w:b/>
          <w:bCs/>
          <w:szCs w:val="21"/>
        </w:rPr>
        <w:t>（</w:t>
      </w:r>
      <w:r>
        <w:rPr>
          <w:rFonts w:ascii="宋体" w:eastAsia="宋体" w:hAnsi="宋体" w:cs="宋体"/>
          <w:b/>
          <w:bCs/>
          <w:szCs w:val="21"/>
        </w:rPr>
        <w:t>1</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报告分部的确定依据与会计政策</w:t>
      </w:r>
      <w:bookmarkEnd w:id="464"/>
    </w:p>
    <w:p w:rsidR="00A067C6" w:rsidRDefault="005C4966">
      <w:pPr>
        <w:keepNext/>
        <w:keepLines/>
        <w:spacing w:before="300" w:after="300" w:line="280" w:lineRule="exact"/>
        <w:outlineLvl w:val="3"/>
        <w:rPr>
          <w:rFonts w:ascii="宋体" w:eastAsia="宋体" w:hAnsi="宋体" w:cs="宋体"/>
          <w:sz w:val="18"/>
          <w:szCs w:val="18"/>
        </w:rPr>
      </w:pPr>
      <w:r>
        <w:rPr>
          <w:rFonts w:ascii="宋体" w:eastAsia="宋体" w:hAnsi="宋体" w:cs="宋体" w:hint="eastAsia"/>
          <w:sz w:val="18"/>
          <w:szCs w:val="18"/>
        </w:rPr>
        <w:t>无</w:t>
      </w:r>
    </w:p>
    <w:p w:rsidR="00A067C6" w:rsidRDefault="005C4966">
      <w:pPr>
        <w:keepNext/>
        <w:keepLines/>
        <w:spacing w:before="300" w:after="300" w:line="280" w:lineRule="exact"/>
        <w:outlineLvl w:val="3"/>
        <w:rPr>
          <w:rFonts w:ascii="宋体" w:eastAsia="宋体" w:hAnsi="宋体" w:cs="宋体"/>
          <w:b/>
          <w:bCs/>
          <w:szCs w:val="21"/>
        </w:rPr>
      </w:pPr>
      <w:bookmarkStart w:id="465" w:name="_Toc989357"/>
      <w:r>
        <w:rPr>
          <w:rFonts w:ascii="宋体" w:eastAsia="宋体" w:hAnsi="宋体" w:cs="宋体"/>
          <w:b/>
          <w:bCs/>
          <w:szCs w:val="21"/>
        </w:rPr>
        <w:t>（</w:t>
      </w:r>
      <w:r>
        <w:rPr>
          <w:rFonts w:ascii="宋体" w:eastAsia="宋体" w:hAnsi="宋体" w:cs="宋体"/>
          <w:b/>
          <w:bCs/>
          <w:szCs w:val="21"/>
        </w:rPr>
        <w:t>2</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报告分部的财务信息</w:t>
      </w:r>
      <w:bookmarkEnd w:id="465"/>
    </w:p>
    <w:p w:rsidR="00A067C6" w:rsidRDefault="005C4966">
      <w:pPr>
        <w:keepNext/>
        <w:keepLines/>
        <w:spacing w:before="300" w:after="300" w:line="280" w:lineRule="exact"/>
        <w:outlineLvl w:val="3"/>
        <w:rPr>
          <w:rFonts w:ascii="宋体" w:eastAsia="宋体" w:hAnsi="宋体" w:cs="宋体"/>
          <w:sz w:val="18"/>
          <w:szCs w:val="18"/>
        </w:rPr>
      </w:pPr>
      <w:r>
        <w:rPr>
          <w:rFonts w:ascii="宋体" w:eastAsia="宋体" w:hAnsi="宋体" w:cs="宋体" w:hint="eastAsia"/>
          <w:sz w:val="18"/>
          <w:szCs w:val="18"/>
        </w:rPr>
        <w:t>无</w:t>
      </w:r>
    </w:p>
    <w:p w:rsidR="00A067C6" w:rsidRDefault="005C4966">
      <w:pPr>
        <w:keepNext/>
        <w:keepLines/>
        <w:spacing w:before="300" w:after="300" w:line="280" w:lineRule="exact"/>
        <w:outlineLvl w:val="3"/>
        <w:rPr>
          <w:rFonts w:ascii="宋体" w:eastAsia="宋体" w:hAnsi="宋体" w:cs="宋体"/>
          <w:b/>
          <w:bCs/>
          <w:szCs w:val="21"/>
        </w:rPr>
      </w:pPr>
      <w:bookmarkStart w:id="466" w:name="_Toc989358"/>
      <w:r>
        <w:rPr>
          <w:rFonts w:ascii="宋体" w:eastAsia="宋体" w:hAnsi="宋体" w:cs="宋体"/>
          <w:b/>
          <w:bCs/>
          <w:szCs w:val="21"/>
        </w:rPr>
        <w:t>（</w:t>
      </w:r>
      <w:r>
        <w:rPr>
          <w:rFonts w:ascii="宋体" w:eastAsia="宋体" w:hAnsi="宋体" w:cs="宋体"/>
          <w:b/>
          <w:bCs/>
          <w:szCs w:val="21"/>
        </w:rPr>
        <w:t>3</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公司无报告分部的，或者不能披露各报告分部的资产总额和负债总额的，应说明原因</w:t>
      </w:r>
      <w:bookmarkEnd w:id="466"/>
    </w:p>
    <w:p w:rsidR="00A067C6" w:rsidRDefault="005C4966">
      <w:pPr>
        <w:keepNext/>
        <w:keepLines/>
        <w:spacing w:before="300" w:after="300" w:line="280" w:lineRule="exact"/>
        <w:outlineLvl w:val="3"/>
        <w:rPr>
          <w:rFonts w:ascii="宋体" w:eastAsia="宋体" w:hAnsi="宋体" w:cs="宋体"/>
          <w:sz w:val="18"/>
          <w:szCs w:val="18"/>
        </w:rPr>
      </w:pPr>
      <w:r>
        <w:rPr>
          <w:rFonts w:ascii="宋体" w:eastAsia="宋体" w:hAnsi="宋体" w:cs="宋体" w:hint="eastAsia"/>
          <w:sz w:val="18"/>
          <w:szCs w:val="18"/>
        </w:rPr>
        <w:t>无</w:t>
      </w:r>
    </w:p>
    <w:p w:rsidR="00A067C6" w:rsidRDefault="005C4966">
      <w:pPr>
        <w:keepNext/>
        <w:keepLines/>
        <w:spacing w:before="300" w:after="300" w:line="280" w:lineRule="exact"/>
        <w:outlineLvl w:val="3"/>
        <w:rPr>
          <w:rFonts w:ascii="宋体" w:eastAsia="宋体" w:hAnsi="宋体" w:cs="宋体"/>
          <w:b/>
          <w:bCs/>
          <w:szCs w:val="21"/>
        </w:rPr>
      </w:pPr>
      <w:bookmarkStart w:id="467" w:name="_Toc989359"/>
      <w:r>
        <w:rPr>
          <w:rFonts w:ascii="宋体" w:eastAsia="宋体" w:hAnsi="宋体" w:cs="宋体"/>
          <w:b/>
          <w:bCs/>
          <w:szCs w:val="21"/>
        </w:rPr>
        <w:t>（</w:t>
      </w:r>
      <w:r>
        <w:rPr>
          <w:rFonts w:ascii="宋体" w:eastAsia="宋体" w:hAnsi="宋体" w:cs="宋体"/>
          <w:b/>
          <w:bCs/>
          <w:szCs w:val="21"/>
        </w:rPr>
        <w:t>4</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其他说明</w:t>
      </w:r>
      <w:bookmarkEnd w:id="467"/>
    </w:p>
    <w:p w:rsidR="00A067C6" w:rsidRDefault="005C4966">
      <w:pPr>
        <w:keepNext/>
        <w:keepLines/>
        <w:spacing w:before="300" w:after="300" w:line="280" w:lineRule="exact"/>
        <w:outlineLvl w:val="3"/>
        <w:rPr>
          <w:rFonts w:ascii="宋体" w:eastAsia="宋体" w:hAnsi="宋体" w:cs="宋体"/>
          <w:sz w:val="18"/>
          <w:szCs w:val="18"/>
        </w:rPr>
      </w:pPr>
      <w:r>
        <w:rPr>
          <w:rFonts w:ascii="宋体" w:eastAsia="宋体" w:hAnsi="宋体" w:cs="宋体" w:hint="eastAsia"/>
          <w:sz w:val="18"/>
          <w:szCs w:val="18"/>
        </w:rPr>
        <w:t>无</w:t>
      </w:r>
    </w:p>
    <w:p w:rsidR="00A067C6" w:rsidRDefault="005C4966">
      <w:pPr>
        <w:pStyle w:val="3"/>
        <w:spacing w:line="280" w:lineRule="exact"/>
        <w:jc w:val="left"/>
        <w:rPr>
          <w:rFonts w:ascii="宋体" w:hAnsi="宋体" w:cs="宋体"/>
          <w:b/>
          <w:bCs/>
        </w:rPr>
      </w:pPr>
      <w:bookmarkStart w:id="468" w:name="_Toc989360"/>
      <w:r>
        <w:rPr>
          <w:rFonts w:ascii="宋体" w:hAnsi="宋体" w:cs="宋体"/>
          <w:b/>
          <w:bCs/>
        </w:rPr>
        <w:t>7</w:t>
      </w:r>
      <w:r>
        <w:rPr>
          <w:rFonts w:ascii="宋体" w:hAnsi="宋体" w:cs="宋体"/>
          <w:b/>
          <w:bCs/>
        </w:rPr>
        <w:t>、其他对投资者决策有影响的重要交易和事项</w:t>
      </w:r>
      <w:bookmarkEnd w:id="468"/>
    </w:p>
    <w:p w:rsidR="00A067C6" w:rsidRDefault="005C4966">
      <w:pPr>
        <w:keepNext/>
        <w:keepLines/>
        <w:spacing w:before="300" w:after="300" w:line="280" w:lineRule="exact"/>
        <w:outlineLvl w:val="3"/>
        <w:rPr>
          <w:rFonts w:ascii="宋体" w:eastAsia="宋体" w:hAnsi="宋体" w:cs="宋体"/>
          <w:sz w:val="18"/>
          <w:szCs w:val="18"/>
        </w:rPr>
      </w:pPr>
      <w:r>
        <w:rPr>
          <w:rFonts w:ascii="宋体" w:eastAsia="宋体" w:hAnsi="宋体" w:cs="宋体" w:hint="eastAsia"/>
          <w:sz w:val="18"/>
          <w:szCs w:val="18"/>
        </w:rPr>
        <w:t>无</w:t>
      </w:r>
    </w:p>
    <w:p w:rsidR="00A067C6" w:rsidRDefault="005C4966">
      <w:pPr>
        <w:pStyle w:val="3"/>
        <w:spacing w:line="280" w:lineRule="exact"/>
        <w:jc w:val="left"/>
        <w:rPr>
          <w:rFonts w:ascii="宋体" w:hAnsi="宋体" w:cs="宋体"/>
          <w:b/>
          <w:bCs/>
        </w:rPr>
      </w:pPr>
      <w:bookmarkStart w:id="469" w:name="_Toc989361"/>
      <w:r>
        <w:rPr>
          <w:rFonts w:ascii="宋体" w:hAnsi="宋体" w:cs="宋体"/>
          <w:b/>
          <w:bCs/>
        </w:rPr>
        <w:t>8</w:t>
      </w:r>
      <w:r>
        <w:rPr>
          <w:rFonts w:ascii="宋体" w:hAnsi="宋体" w:cs="宋体"/>
          <w:b/>
          <w:bCs/>
        </w:rPr>
        <w:t>、其他</w:t>
      </w:r>
      <w:bookmarkEnd w:id="469"/>
    </w:p>
    <w:p w:rsidR="00A067C6" w:rsidRDefault="005C4966">
      <w:pPr>
        <w:rPr>
          <w:sz w:val="18"/>
          <w:szCs w:val="18"/>
        </w:rPr>
      </w:pPr>
      <w:r>
        <w:rPr>
          <w:rFonts w:hint="eastAsia"/>
          <w:sz w:val="18"/>
          <w:szCs w:val="18"/>
        </w:rPr>
        <w:t>无</w:t>
      </w:r>
    </w:p>
    <w:p w:rsidR="00A067C6" w:rsidRDefault="005C4966">
      <w:pPr>
        <w:pStyle w:val="2"/>
        <w:spacing w:before="300" w:after="300" w:line="320" w:lineRule="exact"/>
        <w:rPr>
          <w:rFonts w:ascii="宋体" w:eastAsia="宋体" w:hAnsi="宋体" w:cs="宋体"/>
          <w:b/>
          <w:bCs/>
          <w:sz w:val="24"/>
          <w:szCs w:val="24"/>
        </w:rPr>
      </w:pPr>
      <w:bookmarkStart w:id="470" w:name="_Toc989362"/>
      <w:r>
        <w:rPr>
          <w:rFonts w:ascii="宋体" w:eastAsia="宋体" w:hAnsi="宋体" w:cs="宋体"/>
          <w:b/>
          <w:bCs/>
          <w:sz w:val="24"/>
          <w:szCs w:val="24"/>
        </w:rPr>
        <w:t>十七、母公司财务报表主要项目注释</w:t>
      </w:r>
      <w:bookmarkEnd w:id="470"/>
    </w:p>
    <w:p w:rsidR="00A067C6" w:rsidRDefault="005C4966">
      <w:pPr>
        <w:pStyle w:val="3"/>
        <w:spacing w:line="280" w:lineRule="exact"/>
        <w:jc w:val="left"/>
        <w:rPr>
          <w:rFonts w:ascii="宋体" w:hAnsi="宋体" w:cs="宋体"/>
          <w:b/>
          <w:bCs/>
        </w:rPr>
      </w:pPr>
      <w:bookmarkStart w:id="471" w:name="_Toc989363"/>
      <w:r>
        <w:rPr>
          <w:rFonts w:ascii="宋体" w:hAnsi="宋体" w:cs="宋体"/>
          <w:b/>
          <w:bCs/>
        </w:rPr>
        <w:t>1</w:t>
      </w:r>
      <w:r>
        <w:rPr>
          <w:rFonts w:ascii="宋体" w:hAnsi="宋体" w:cs="宋体"/>
          <w:b/>
          <w:bCs/>
        </w:rPr>
        <w:t>、应收账款</w:t>
      </w:r>
      <w:bookmarkEnd w:id="471"/>
    </w:p>
    <w:p w:rsidR="00A067C6" w:rsidRDefault="005C4966">
      <w:pPr>
        <w:keepNext/>
        <w:keepLines/>
        <w:spacing w:before="300" w:after="300" w:line="280" w:lineRule="exact"/>
        <w:outlineLvl w:val="3"/>
        <w:rPr>
          <w:rFonts w:ascii="宋体" w:eastAsia="宋体" w:hAnsi="宋体" w:cs="宋体"/>
          <w:b/>
          <w:bCs/>
          <w:szCs w:val="21"/>
        </w:rPr>
      </w:pPr>
      <w:bookmarkStart w:id="472" w:name="_Toc989364"/>
      <w:r>
        <w:rPr>
          <w:rFonts w:ascii="宋体" w:eastAsia="宋体" w:hAnsi="宋体" w:cs="宋体"/>
          <w:b/>
          <w:bCs/>
          <w:szCs w:val="21"/>
        </w:rPr>
        <w:t>（</w:t>
      </w:r>
      <w:r>
        <w:rPr>
          <w:rFonts w:ascii="宋体" w:eastAsia="宋体" w:hAnsi="宋体" w:cs="宋体"/>
          <w:b/>
          <w:bCs/>
          <w:szCs w:val="21"/>
        </w:rPr>
        <w:t>1</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应收账款分类披露</w:t>
      </w:r>
      <w:bookmarkEnd w:id="472"/>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75"/>
        <w:gridCol w:w="876"/>
        <w:gridCol w:w="877"/>
        <w:gridCol w:w="876"/>
        <w:gridCol w:w="877"/>
        <w:gridCol w:w="876"/>
        <w:gridCol w:w="876"/>
        <w:gridCol w:w="877"/>
        <w:gridCol w:w="876"/>
        <w:gridCol w:w="877"/>
        <w:gridCol w:w="876"/>
      </w:tblGrid>
      <w:tr w:rsidR="00A067C6">
        <w:trPr>
          <w:trHeight w:val="240"/>
        </w:trPr>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A067C6">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A067C6">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按组合计提坏账准备的应收账款</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148,572,874.26</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88,577.36</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0.06%</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148,484,296.90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113,650.34</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5,682.52</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107,967.82</w:t>
            </w:r>
          </w:p>
        </w:tc>
      </w:tr>
      <w:tr w:rsidR="00A067C6">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预期信用风险组合</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1,771,547.24</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88,577.36</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1,682,969.88</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113,650.34</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5,682.52</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107,967.82</w:t>
            </w:r>
          </w:p>
        </w:tc>
      </w:tr>
      <w:tr w:rsidR="00A067C6">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性质组合</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146,801,327.02</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99.00%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146,801,327.02</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148,572,874.26</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88,577.36</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0.06%</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148,484,296.90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113,650.34</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5,682.52</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5.00%</w:t>
            </w:r>
          </w:p>
        </w:tc>
        <w:tc>
          <w:tcPr>
            <w:tcW w:w="87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107,967.82</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按组合计提坏账准备：账龄组合</w:t>
      </w:r>
    </w:p>
    <w:p w:rsidR="00A067C6" w:rsidRDefault="005C4966">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A067C6">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722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A067C6">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年以内</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1,771,547.24</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88,577.36</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5.00%</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1,771,547.24</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88,577.36</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确定该组合依据的说明：</w:t>
      </w:r>
      <w:r>
        <w:rPr>
          <w:rFonts w:hint="eastAsia"/>
          <w:sz w:val="18"/>
          <w:szCs w:val="18"/>
        </w:rPr>
        <w:t>无。</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如是按照预期信用损失一般模型计提应收账款坏账准备，请参照其他应收款的披露方式披露坏账准备的相关信息：</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按账龄披露</w:t>
      </w:r>
    </w:p>
    <w:p w:rsidR="00A067C6" w:rsidRDefault="005C4966">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A067C6">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年以内（含</w:t>
            </w:r>
            <w:r>
              <w:rPr>
                <w:rFonts w:ascii="宋体" w:eastAsia="宋体" w:hAnsi="宋体" w:cs="宋体"/>
                <w:sz w:val="18"/>
                <w:szCs w:val="18"/>
              </w:rPr>
              <w:t>1</w:t>
            </w:r>
            <w:r>
              <w:rPr>
                <w:rFonts w:ascii="宋体" w:eastAsia="宋体" w:hAnsi="宋体" w:cs="宋体"/>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148,572,874.26</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148,572,874.26</w:t>
            </w:r>
          </w:p>
        </w:tc>
      </w:tr>
    </w:tbl>
    <w:p w:rsidR="00A067C6" w:rsidRDefault="005C4966">
      <w:pPr>
        <w:keepNext/>
        <w:keepLines/>
        <w:spacing w:before="300" w:after="300" w:line="280" w:lineRule="exact"/>
        <w:outlineLvl w:val="3"/>
        <w:rPr>
          <w:rFonts w:ascii="宋体" w:eastAsia="宋体" w:hAnsi="宋体" w:cs="宋体"/>
          <w:b/>
          <w:bCs/>
          <w:szCs w:val="21"/>
        </w:rPr>
      </w:pPr>
      <w:bookmarkStart w:id="473" w:name="_Toc989365"/>
      <w:r>
        <w:rPr>
          <w:rFonts w:ascii="宋体" w:eastAsia="宋体" w:hAnsi="宋体" w:cs="宋体"/>
          <w:b/>
          <w:bCs/>
          <w:szCs w:val="21"/>
        </w:rPr>
        <w:t>（</w:t>
      </w:r>
      <w:r>
        <w:rPr>
          <w:rFonts w:ascii="宋体" w:eastAsia="宋体" w:hAnsi="宋体" w:cs="宋体"/>
          <w:b/>
          <w:bCs/>
          <w:szCs w:val="21"/>
        </w:rPr>
        <w:t>2</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本期计提、收回或转回的坏账准备情况</w:t>
      </w:r>
      <w:bookmarkEnd w:id="473"/>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本期计提坏账准备情况：</w:t>
      </w:r>
    </w:p>
    <w:p w:rsidR="00A067C6" w:rsidRDefault="005C4966">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A067C6">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A067C6">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预期信用风险组合</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5,682.52</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hint="eastAsia"/>
                <w:sz w:val="18"/>
                <w:szCs w:val="18"/>
              </w:rPr>
              <w:t>82,894.84</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88,577.36</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5,682.52</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hint="eastAsia"/>
                <w:sz w:val="18"/>
                <w:szCs w:val="18"/>
              </w:rPr>
              <w:t>82,894.84</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88,577.36</w:t>
            </w:r>
          </w:p>
        </w:tc>
      </w:tr>
    </w:tbl>
    <w:p w:rsidR="00A067C6" w:rsidRDefault="005C4966">
      <w:pPr>
        <w:keepNext/>
        <w:keepLines/>
        <w:spacing w:before="300" w:after="300" w:line="280" w:lineRule="exact"/>
        <w:outlineLvl w:val="3"/>
        <w:rPr>
          <w:rFonts w:ascii="宋体" w:eastAsia="宋体" w:hAnsi="宋体" w:cs="宋体"/>
          <w:b/>
          <w:bCs/>
          <w:szCs w:val="21"/>
        </w:rPr>
      </w:pPr>
      <w:bookmarkStart w:id="474" w:name="_Toc989366"/>
      <w:r>
        <w:rPr>
          <w:rFonts w:ascii="宋体" w:eastAsia="宋体" w:hAnsi="宋体" w:cs="宋体"/>
          <w:b/>
          <w:bCs/>
          <w:szCs w:val="21"/>
        </w:rPr>
        <w:t>（</w:t>
      </w:r>
      <w:r>
        <w:rPr>
          <w:rFonts w:ascii="宋体" w:eastAsia="宋体" w:hAnsi="宋体" w:cs="宋体"/>
          <w:b/>
          <w:bCs/>
          <w:szCs w:val="21"/>
        </w:rPr>
        <w:t>3</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本期实际核销的应收账款情况</w:t>
      </w:r>
      <w:bookmarkEnd w:id="474"/>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应收账款核销说明：</w:t>
      </w:r>
      <w:r>
        <w:rPr>
          <w:rFonts w:hint="eastAsia"/>
          <w:sz w:val="18"/>
          <w:szCs w:val="18"/>
        </w:rPr>
        <w:t>无。</w:t>
      </w:r>
    </w:p>
    <w:p w:rsidR="00A067C6" w:rsidRDefault="005C4966">
      <w:pPr>
        <w:keepNext/>
        <w:keepLines/>
        <w:spacing w:before="300" w:after="300" w:line="280" w:lineRule="exact"/>
        <w:outlineLvl w:val="3"/>
        <w:rPr>
          <w:rFonts w:ascii="宋体" w:eastAsia="宋体" w:hAnsi="宋体" w:cs="宋体"/>
          <w:b/>
          <w:bCs/>
          <w:szCs w:val="21"/>
        </w:rPr>
      </w:pPr>
      <w:bookmarkStart w:id="475" w:name="_Toc989367"/>
      <w:r>
        <w:rPr>
          <w:rFonts w:ascii="宋体" w:eastAsia="宋体" w:hAnsi="宋体" w:cs="宋体"/>
          <w:b/>
          <w:bCs/>
          <w:szCs w:val="21"/>
        </w:rPr>
        <w:t>（</w:t>
      </w:r>
      <w:r>
        <w:rPr>
          <w:rFonts w:ascii="宋体" w:eastAsia="宋体" w:hAnsi="宋体" w:cs="宋体"/>
          <w:b/>
          <w:bCs/>
          <w:szCs w:val="21"/>
        </w:rPr>
        <w:t>4</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按欠款方归集的期末余额前五名的应收账款情况</w:t>
      </w:r>
      <w:bookmarkEnd w:id="475"/>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应收账款期末余额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占应收账款期末余额合计数的比例</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坏账准备期末余额</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第一名</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86,774,451.73</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58.00%</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第二名</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57,696,051.21</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39.00%</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第三名</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2,330,824.08</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2.00%</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第四名</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1,771,547.24</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88,577.36</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148,572,874.26</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bl>
    <w:p w:rsidR="00A067C6" w:rsidRDefault="005C4966">
      <w:pPr>
        <w:keepNext/>
        <w:keepLines/>
        <w:spacing w:before="300" w:after="300" w:line="280" w:lineRule="exact"/>
        <w:outlineLvl w:val="3"/>
        <w:rPr>
          <w:rFonts w:ascii="宋体" w:eastAsia="宋体" w:hAnsi="宋体" w:cs="宋体"/>
          <w:b/>
          <w:bCs/>
          <w:szCs w:val="21"/>
        </w:rPr>
      </w:pPr>
      <w:bookmarkStart w:id="476" w:name="_Toc989368"/>
      <w:r>
        <w:rPr>
          <w:rFonts w:ascii="宋体" w:eastAsia="宋体" w:hAnsi="宋体" w:cs="宋体"/>
          <w:b/>
          <w:bCs/>
          <w:szCs w:val="21"/>
        </w:rPr>
        <w:t>（</w:t>
      </w:r>
      <w:r>
        <w:rPr>
          <w:rFonts w:ascii="宋体" w:eastAsia="宋体" w:hAnsi="宋体" w:cs="宋体"/>
          <w:b/>
          <w:bCs/>
          <w:szCs w:val="21"/>
        </w:rPr>
        <w:t>5</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因金融资产转移而终止确认的应收账款</w:t>
      </w:r>
      <w:bookmarkEnd w:id="476"/>
    </w:p>
    <w:p w:rsidR="00A067C6" w:rsidRDefault="005C4966">
      <w:pPr>
        <w:pStyle w:val="a6"/>
        <w:rPr>
          <w:sz w:val="18"/>
          <w:szCs w:val="18"/>
        </w:rPr>
      </w:pPr>
      <w:r>
        <w:rPr>
          <w:rFonts w:hint="eastAsia"/>
          <w:sz w:val="18"/>
          <w:szCs w:val="18"/>
        </w:rPr>
        <w:t>无。</w:t>
      </w:r>
    </w:p>
    <w:p w:rsidR="00A067C6" w:rsidRDefault="005C4966">
      <w:pPr>
        <w:keepNext/>
        <w:keepLines/>
        <w:spacing w:before="300" w:after="300" w:line="280" w:lineRule="exact"/>
        <w:outlineLvl w:val="3"/>
        <w:rPr>
          <w:rFonts w:ascii="宋体" w:eastAsia="宋体" w:hAnsi="宋体" w:cs="宋体"/>
          <w:b/>
          <w:bCs/>
          <w:szCs w:val="21"/>
        </w:rPr>
      </w:pPr>
      <w:bookmarkStart w:id="477" w:name="_Toc989369"/>
      <w:r>
        <w:rPr>
          <w:rFonts w:ascii="宋体" w:eastAsia="宋体" w:hAnsi="宋体" w:cs="宋体"/>
          <w:b/>
          <w:bCs/>
          <w:szCs w:val="21"/>
        </w:rPr>
        <w:t>（</w:t>
      </w:r>
      <w:r>
        <w:rPr>
          <w:rFonts w:ascii="宋体" w:eastAsia="宋体" w:hAnsi="宋体" w:cs="宋体"/>
          <w:b/>
          <w:bCs/>
          <w:szCs w:val="21"/>
        </w:rPr>
        <w:t>6</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转移应收账款且继续涉入形成的资产、负债金额</w:t>
      </w:r>
      <w:bookmarkEnd w:id="477"/>
    </w:p>
    <w:p w:rsidR="00A067C6" w:rsidRDefault="005C4966">
      <w:pPr>
        <w:pStyle w:val="a6"/>
        <w:rPr>
          <w:sz w:val="18"/>
          <w:szCs w:val="18"/>
        </w:rPr>
      </w:pPr>
      <w:r>
        <w:rPr>
          <w:rFonts w:hint="eastAsia"/>
          <w:sz w:val="18"/>
          <w:szCs w:val="18"/>
        </w:rPr>
        <w:t>无。</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pStyle w:val="3"/>
        <w:spacing w:line="280" w:lineRule="exact"/>
        <w:jc w:val="left"/>
        <w:rPr>
          <w:rFonts w:ascii="宋体" w:hAnsi="宋体" w:cs="宋体"/>
          <w:b/>
          <w:bCs/>
        </w:rPr>
      </w:pPr>
      <w:bookmarkStart w:id="478" w:name="_Toc989370"/>
      <w:r>
        <w:rPr>
          <w:rFonts w:ascii="宋体" w:hAnsi="宋体" w:cs="宋体"/>
          <w:b/>
          <w:bCs/>
        </w:rPr>
        <w:t>2</w:t>
      </w:r>
      <w:r>
        <w:rPr>
          <w:rFonts w:ascii="宋体" w:hAnsi="宋体" w:cs="宋体"/>
          <w:b/>
          <w:bCs/>
        </w:rPr>
        <w:t>、其他应收款</w:t>
      </w:r>
      <w:bookmarkEnd w:id="478"/>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20,581,720.51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186,936,582.08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163,704,476.95</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207,518,302.59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163,704,476.95</w:t>
            </w:r>
          </w:p>
        </w:tc>
      </w:tr>
    </w:tbl>
    <w:p w:rsidR="00A067C6" w:rsidRDefault="005C4966">
      <w:pPr>
        <w:keepNext/>
        <w:keepLines/>
        <w:spacing w:before="300" w:after="300" w:line="280" w:lineRule="exact"/>
        <w:outlineLvl w:val="3"/>
        <w:rPr>
          <w:rFonts w:ascii="宋体" w:eastAsia="宋体" w:hAnsi="宋体" w:cs="宋体"/>
          <w:b/>
          <w:bCs/>
          <w:sz w:val="18"/>
          <w:szCs w:val="18"/>
        </w:rPr>
      </w:pPr>
      <w:bookmarkStart w:id="479" w:name="_Toc989371"/>
      <w:r>
        <w:rPr>
          <w:rFonts w:ascii="宋体" w:eastAsia="宋体" w:hAnsi="宋体" w:cs="宋体"/>
          <w:b/>
          <w:bCs/>
          <w:sz w:val="18"/>
          <w:szCs w:val="18"/>
        </w:rPr>
        <w:t>（</w:t>
      </w:r>
      <w:r>
        <w:rPr>
          <w:rFonts w:ascii="宋体" w:eastAsia="宋体" w:hAnsi="宋体" w:cs="宋体"/>
          <w:b/>
          <w:bCs/>
          <w:sz w:val="18"/>
          <w:szCs w:val="18"/>
        </w:rPr>
        <w:t>1</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应收利息</w:t>
      </w:r>
      <w:bookmarkEnd w:id="479"/>
    </w:p>
    <w:p w:rsidR="00A067C6" w:rsidRDefault="005C4966">
      <w:pPr>
        <w:keepNext/>
        <w:keepLines/>
        <w:spacing w:before="300" w:after="300" w:line="280" w:lineRule="exact"/>
        <w:outlineLvl w:val="4"/>
        <w:rPr>
          <w:rFonts w:ascii="宋体" w:eastAsia="宋体" w:hAnsi="宋体" w:cs="宋体"/>
          <w:b/>
          <w:bCs/>
          <w:sz w:val="18"/>
          <w:szCs w:val="18"/>
        </w:rPr>
      </w:pPr>
      <w:bookmarkStart w:id="480" w:name="_Toc989372"/>
      <w:r>
        <w:rPr>
          <w:rFonts w:ascii="宋体" w:eastAsia="宋体" w:hAnsi="宋体" w:cs="宋体"/>
          <w:b/>
          <w:bCs/>
          <w:sz w:val="18"/>
          <w:szCs w:val="18"/>
        </w:rPr>
        <w:t>1</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应收利息分类</w:t>
      </w:r>
      <w:bookmarkEnd w:id="480"/>
    </w:p>
    <w:p w:rsidR="00A067C6" w:rsidRDefault="005C4966">
      <w:pPr>
        <w:keepNext/>
        <w:keepLines/>
        <w:spacing w:before="300" w:after="300" w:line="280" w:lineRule="exact"/>
        <w:outlineLvl w:val="4"/>
        <w:rPr>
          <w:rFonts w:ascii="宋体" w:eastAsia="宋体" w:hAnsi="宋体" w:cs="宋体"/>
          <w:sz w:val="18"/>
          <w:szCs w:val="18"/>
        </w:rPr>
      </w:pPr>
      <w:bookmarkStart w:id="481" w:name="_Toc989373"/>
      <w:r>
        <w:rPr>
          <w:rFonts w:ascii="宋体" w:eastAsia="宋体" w:hAnsi="宋体" w:cs="宋体" w:hint="eastAsia"/>
          <w:sz w:val="18"/>
          <w:szCs w:val="18"/>
        </w:rPr>
        <w:t>无。</w:t>
      </w:r>
    </w:p>
    <w:p w:rsidR="00A067C6" w:rsidRDefault="005C4966">
      <w:pPr>
        <w:keepNext/>
        <w:keepLines/>
        <w:spacing w:before="300" w:after="300" w:line="280" w:lineRule="exact"/>
        <w:outlineLvl w:val="4"/>
        <w:rPr>
          <w:rFonts w:ascii="宋体" w:eastAsia="宋体" w:hAnsi="宋体" w:cs="宋体"/>
          <w:b/>
          <w:bCs/>
          <w:sz w:val="18"/>
          <w:szCs w:val="18"/>
        </w:rPr>
      </w:pPr>
      <w:r>
        <w:rPr>
          <w:rFonts w:ascii="宋体" w:eastAsia="宋体" w:hAnsi="宋体" w:cs="宋体"/>
          <w:b/>
          <w:bCs/>
          <w:sz w:val="18"/>
          <w:szCs w:val="18"/>
        </w:rPr>
        <w:t>2</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重要逾期利息</w:t>
      </w:r>
      <w:bookmarkEnd w:id="481"/>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keepNext/>
        <w:keepLines/>
        <w:spacing w:before="300" w:after="300" w:line="280" w:lineRule="exact"/>
        <w:outlineLvl w:val="4"/>
        <w:rPr>
          <w:rFonts w:ascii="宋体" w:eastAsia="宋体" w:hAnsi="宋体" w:cs="宋体"/>
          <w:b/>
          <w:bCs/>
          <w:sz w:val="18"/>
          <w:szCs w:val="18"/>
        </w:rPr>
      </w:pPr>
      <w:bookmarkStart w:id="482" w:name="_Toc989374"/>
      <w:r>
        <w:rPr>
          <w:rFonts w:ascii="宋体" w:eastAsia="宋体" w:hAnsi="宋体" w:cs="宋体"/>
          <w:b/>
          <w:bCs/>
          <w:sz w:val="18"/>
          <w:szCs w:val="18"/>
        </w:rPr>
        <w:t>3</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坏账准备计提情况</w:t>
      </w:r>
      <w:bookmarkEnd w:id="482"/>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keepNext/>
        <w:keepLines/>
        <w:spacing w:before="300" w:after="300" w:line="280" w:lineRule="exact"/>
        <w:outlineLvl w:val="3"/>
        <w:rPr>
          <w:rFonts w:ascii="宋体" w:eastAsia="宋体" w:hAnsi="宋体" w:cs="宋体"/>
          <w:b/>
          <w:bCs/>
          <w:sz w:val="18"/>
          <w:szCs w:val="18"/>
        </w:rPr>
      </w:pPr>
      <w:bookmarkStart w:id="483" w:name="_Toc989375"/>
      <w:r>
        <w:rPr>
          <w:rFonts w:ascii="宋体" w:eastAsia="宋体" w:hAnsi="宋体" w:cs="宋体"/>
          <w:b/>
          <w:bCs/>
          <w:sz w:val="18"/>
          <w:szCs w:val="18"/>
        </w:rPr>
        <w:t>（</w:t>
      </w:r>
      <w:r>
        <w:rPr>
          <w:rFonts w:ascii="宋体" w:eastAsia="宋体" w:hAnsi="宋体" w:cs="宋体"/>
          <w:b/>
          <w:bCs/>
          <w:sz w:val="18"/>
          <w:szCs w:val="18"/>
        </w:rPr>
        <w:t>2</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应收股利</w:t>
      </w:r>
      <w:bookmarkEnd w:id="483"/>
    </w:p>
    <w:p w:rsidR="00A067C6" w:rsidRDefault="005C4966">
      <w:pPr>
        <w:keepNext/>
        <w:keepLines/>
        <w:spacing w:before="300" w:after="300" w:line="280" w:lineRule="exact"/>
        <w:outlineLvl w:val="4"/>
        <w:rPr>
          <w:rFonts w:ascii="宋体" w:eastAsia="宋体" w:hAnsi="宋体" w:cs="宋体"/>
          <w:b/>
          <w:bCs/>
          <w:sz w:val="18"/>
          <w:szCs w:val="18"/>
        </w:rPr>
      </w:pPr>
      <w:bookmarkStart w:id="484" w:name="_Toc989376"/>
      <w:r>
        <w:rPr>
          <w:rFonts w:ascii="宋体" w:eastAsia="宋体" w:hAnsi="宋体" w:cs="宋体"/>
          <w:b/>
          <w:bCs/>
          <w:sz w:val="18"/>
          <w:szCs w:val="18"/>
        </w:rPr>
        <w:t>1</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应收股利分类</w:t>
      </w:r>
      <w:bookmarkEnd w:id="484"/>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r>
              <w:rPr>
                <w:rFonts w:ascii="宋体" w:eastAsia="宋体" w:hAnsi="宋体" w:cs="宋体"/>
                <w:sz w:val="18"/>
                <w:szCs w:val="18"/>
              </w:rPr>
              <w:t>(</w:t>
            </w:r>
            <w:r>
              <w:rPr>
                <w:rFonts w:ascii="宋体" w:eastAsia="宋体" w:hAnsi="宋体" w:cs="宋体"/>
                <w:sz w:val="18"/>
                <w:szCs w:val="18"/>
              </w:rPr>
              <w:t>或被投资单位</w:t>
            </w:r>
            <w:r>
              <w:rPr>
                <w:rFonts w:ascii="宋体" w:eastAsia="宋体" w:hAnsi="宋体" w:cs="宋体"/>
                <w:sz w:val="18"/>
                <w:szCs w:val="18"/>
              </w:rPr>
              <w:t>)</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浙江华孚色纺有限公司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789,895.16</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浙江缙云华孚纺织有限公司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19,791,825.35</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20,581,720.51</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bl>
    <w:p w:rsidR="00A067C6" w:rsidRDefault="005C4966">
      <w:pPr>
        <w:keepNext/>
        <w:keepLines/>
        <w:spacing w:before="300" w:after="300" w:line="280" w:lineRule="exact"/>
        <w:outlineLvl w:val="4"/>
        <w:rPr>
          <w:rFonts w:ascii="宋体" w:eastAsia="宋体" w:hAnsi="宋体" w:cs="宋体"/>
          <w:b/>
          <w:bCs/>
          <w:sz w:val="18"/>
          <w:szCs w:val="18"/>
        </w:rPr>
      </w:pPr>
      <w:bookmarkStart w:id="485" w:name="_Toc989377"/>
      <w:r>
        <w:rPr>
          <w:rFonts w:ascii="宋体" w:eastAsia="宋体" w:hAnsi="宋体" w:cs="宋体"/>
          <w:b/>
          <w:bCs/>
          <w:sz w:val="18"/>
          <w:szCs w:val="18"/>
        </w:rPr>
        <w:t>2</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重要的账龄超过</w:t>
      </w:r>
      <w:r>
        <w:rPr>
          <w:rFonts w:ascii="宋体" w:eastAsia="宋体" w:hAnsi="宋体" w:cs="宋体"/>
          <w:b/>
          <w:bCs/>
          <w:sz w:val="18"/>
          <w:szCs w:val="18"/>
        </w:rPr>
        <w:t>1</w:t>
      </w:r>
      <w:r>
        <w:rPr>
          <w:rFonts w:ascii="宋体" w:eastAsia="宋体" w:hAnsi="宋体" w:cs="宋体"/>
          <w:b/>
          <w:bCs/>
          <w:sz w:val="18"/>
          <w:szCs w:val="18"/>
        </w:rPr>
        <w:t>年的应收股利</w:t>
      </w:r>
      <w:bookmarkEnd w:id="485"/>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r>
              <w:rPr>
                <w:rFonts w:ascii="宋体" w:eastAsia="宋体" w:hAnsi="宋体" w:cs="宋体"/>
                <w:sz w:val="18"/>
                <w:szCs w:val="18"/>
              </w:rPr>
              <w:t>(</w:t>
            </w:r>
            <w:r>
              <w:rPr>
                <w:rFonts w:ascii="宋体" w:eastAsia="宋体" w:hAnsi="宋体" w:cs="宋体"/>
                <w:sz w:val="18"/>
                <w:szCs w:val="18"/>
              </w:rPr>
              <w:t>或被投资单位</w:t>
            </w: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未收回的原因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是否发生减值及其判断依据</w:t>
            </w:r>
          </w:p>
        </w:tc>
      </w:tr>
    </w:tbl>
    <w:p w:rsidR="00A067C6" w:rsidRDefault="005C4966">
      <w:pPr>
        <w:keepNext/>
        <w:keepLines/>
        <w:spacing w:before="300" w:after="300" w:line="280" w:lineRule="exact"/>
        <w:outlineLvl w:val="4"/>
        <w:rPr>
          <w:rFonts w:ascii="宋体" w:eastAsia="宋体" w:hAnsi="宋体" w:cs="宋体"/>
          <w:b/>
          <w:bCs/>
          <w:sz w:val="18"/>
          <w:szCs w:val="18"/>
        </w:rPr>
      </w:pPr>
      <w:bookmarkStart w:id="486" w:name="_Toc989378"/>
      <w:r>
        <w:rPr>
          <w:rFonts w:ascii="宋体" w:eastAsia="宋体" w:hAnsi="宋体" w:cs="宋体"/>
          <w:b/>
          <w:bCs/>
          <w:sz w:val="18"/>
          <w:szCs w:val="18"/>
        </w:rPr>
        <w:t>3</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坏账准备计提情况</w:t>
      </w:r>
      <w:bookmarkEnd w:id="486"/>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keepNext/>
        <w:keepLines/>
        <w:spacing w:before="300" w:after="300" w:line="280" w:lineRule="exact"/>
        <w:outlineLvl w:val="3"/>
        <w:rPr>
          <w:rFonts w:ascii="宋体" w:eastAsia="宋体" w:hAnsi="宋体" w:cs="宋体"/>
          <w:b/>
          <w:bCs/>
          <w:sz w:val="18"/>
          <w:szCs w:val="18"/>
        </w:rPr>
      </w:pPr>
      <w:bookmarkStart w:id="487" w:name="_Toc989379"/>
      <w:r>
        <w:rPr>
          <w:rFonts w:ascii="宋体" w:eastAsia="宋体" w:hAnsi="宋体" w:cs="宋体"/>
          <w:b/>
          <w:bCs/>
          <w:sz w:val="18"/>
          <w:szCs w:val="18"/>
        </w:rPr>
        <w:t>（</w:t>
      </w:r>
      <w:r>
        <w:rPr>
          <w:rFonts w:ascii="宋体" w:eastAsia="宋体" w:hAnsi="宋体" w:cs="宋体"/>
          <w:b/>
          <w:bCs/>
          <w:sz w:val="18"/>
          <w:szCs w:val="18"/>
        </w:rPr>
        <w:t>3</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其他应收款</w:t>
      </w:r>
      <w:bookmarkEnd w:id="487"/>
    </w:p>
    <w:p w:rsidR="00A067C6" w:rsidRDefault="005C4966">
      <w:pPr>
        <w:keepNext/>
        <w:keepLines/>
        <w:spacing w:before="300" w:after="300" w:line="280" w:lineRule="exact"/>
        <w:outlineLvl w:val="4"/>
        <w:rPr>
          <w:rFonts w:ascii="宋体" w:eastAsia="宋体" w:hAnsi="宋体" w:cs="宋体"/>
          <w:b/>
          <w:bCs/>
          <w:sz w:val="18"/>
          <w:szCs w:val="18"/>
        </w:rPr>
      </w:pPr>
      <w:bookmarkStart w:id="488" w:name="_Toc989380"/>
      <w:r>
        <w:rPr>
          <w:rFonts w:ascii="宋体" w:eastAsia="宋体" w:hAnsi="宋体" w:cs="宋体"/>
          <w:b/>
          <w:bCs/>
          <w:sz w:val="18"/>
          <w:szCs w:val="18"/>
        </w:rPr>
        <w:t>1</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其他应收款按款项性质分类情况</w:t>
      </w:r>
      <w:bookmarkEnd w:id="488"/>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款项性质</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暂借款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19,629,916.68</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21,369,916.68</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员工借款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64,532.69</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132,580.03</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单位往来款</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172,513,726.95</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147,088,668.08</w:t>
            </w:r>
          </w:p>
        </w:tc>
      </w:tr>
      <w:tr w:rsidR="00A067C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192,208,176.32</w:t>
            </w:r>
          </w:p>
        </w:tc>
        <w:tc>
          <w:tcPr>
            <w:tcW w:w="321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168,591,164.79</w:t>
            </w:r>
          </w:p>
        </w:tc>
      </w:tr>
    </w:tbl>
    <w:p w:rsidR="00A067C6" w:rsidRDefault="005C4966">
      <w:pPr>
        <w:keepNext/>
        <w:keepLines/>
        <w:spacing w:before="300" w:after="300" w:line="280" w:lineRule="exact"/>
        <w:outlineLvl w:val="4"/>
        <w:rPr>
          <w:rFonts w:ascii="宋体" w:eastAsia="宋体" w:hAnsi="宋体" w:cs="宋体"/>
          <w:b/>
          <w:bCs/>
          <w:sz w:val="18"/>
          <w:szCs w:val="18"/>
        </w:rPr>
      </w:pPr>
      <w:bookmarkStart w:id="489" w:name="_Toc989381"/>
      <w:r>
        <w:rPr>
          <w:rFonts w:ascii="宋体" w:eastAsia="宋体" w:hAnsi="宋体" w:cs="宋体"/>
          <w:b/>
          <w:bCs/>
          <w:sz w:val="18"/>
          <w:szCs w:val="18"/>
        </w:rPr>
        <w:t>2</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坏账准备计提情况</w:t>
      </w:r>
      <w:bookmarkEnd w:id="489"/>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A067C6">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第一阶段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第二阶段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第三阶段</w:t>
            </w:r>
          </w:p>
        </w:tc>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A067C6">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未来</w:t>
            </w:r>
            <w:r>
              <w:rPr>
                <w:rFonts w:ascii="宋体" w:eastAsia="宋体" w:hAnsi="宋体" w:cs="宋体"/>
                <w:sz w:val="18"/>
                <w:szCs w:val="18"/>
              </w:rPr>
              <w:t>12</w:t>
            </w:r>
            <w:r>
              <w:rPr>
                <w:rFonts w:ascii="宋体" w:eastAsia="宋体" w:hAnsi="宋体" w:cs="宋体"/>
                <w:sz w:val="18"/>
                <w:szCs w:val="18"/>
              </w:rPr>
              <w:t>个月预期信用损失</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w:t>
            </w:r>
            <w:r>
              <w:rPr>
                <w:rFonts w:ascii="宋体" w:eastAsia="宋体" w:hAnsi="宋体" w:cs="宋体"/>
                <w:sz w:val="18"/>
                <w:szCs w:val="18"/>
              </w:rPr>
              <w:t>(</w:t>
            </w:r>
            <w:r>
              <w:rPr>
                <w:rFonts w:ascii="宋体" w:eastAsia="宋体" w:hAnsi="宋体" w:cs="宋体"/>
                <w:sz w:val="18"/>
                <w:szCs w:val="18"/>
              </w:rPr>
              <w:t>未发生信用减值</w:t>
            </w: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w:t>
            </w:r>
            <w:r>
              <w:rPr>
                <w:rFonts w:ascii="宋体" w:eastAsia="宋体" w:hAnsi="宋体" w:cs="宋体"/>
                <w:sz w:val="18"/>
                <w:szCs w:val="18"/>
              </w:rPr>
              <w:t>(</w:t>
            </w:r>
            <w:r>
              <w:rPr>
                <w:rFonts w:ascii="宋体" w:eastAsia="宋体" w:hAnsi="宋体" w:cs="宋体"/>
                <w:sz w:val="18"/>
                <w:szCs w:val="18"/>
              </w:rPr>
              <w:t>已发生信用减值</w:t>
            </w:r>
            <w:r>
              <w:rPr>
                <w:rFonts w:ascii="宋体" w:eastAsia="宋体" w:hAnsi="宋体" w:cs="宋体"/>
                <w:sz w:val="18"/>
                <w:szCs w:val="18"/>
              </w:rPr>
              <w:t>)</w:t>
            </w:r>
          </w:p>
        </w:tc>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1</w:t>
            </w:r>
            <w:r>
              <w:rPr>
                <w:rFonts w:ascii="宋体" w:eastAsia="宋体" w:hAnsi="宋体" w:cs="宋体"/>
                <w:sz w:val="18"/>
                <w:szCs w:val="18"/>
              </w:rPr>
              <w:t>月</w:t>
            </w:r>
            <w:r>
              <w:rPr>
                <w:rFonts w:ascii="宋体" w:eastAsia="宋体" w:hAnsi="宋体" w:cs="宋体"/>
                <w:sz w:val="18"/>
                <w:szCs w:val="18"/>
              </w:rPr>
              <w:t>1</w:t>
            </w:r>
            <w:r>
              <w:rPr>
                <w:rFonts w:ascii="宋体" w:eastAsia="宋体" w:hAnsi="宋体" w:cs="宋体"/>
                <w:sz w:val="18"/>
                <w:szCs w:val="18"/>
              </w:rPr>
              <w:t>日余额</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4,886,687.84</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4,886,687.84</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1</w:t>
            </w:r>
            <w:r>
              <w:rPr>
                <w:rFonts w:ascii="宋体" w:eastAsia="宋体" w:hAnsi="宋体" w:cs="宋体"/>
                <w:sz w:val="18"/>
                <w:szCs w:val="18"/>
              </w:rPr>
              <w:t>月</w:t>
            </w:r>
            <w:r>
              <w:rPr>
                <w:rFonts w:ascii="宋体" w:eastAsia="宋体" w:hAnsi="宋体" w:cs="宋体"/>
                <w:sz w:val="18"/>
                <w:szCs w:val="18"/>
              </w:rPr>
              <w:t>1</w:t>
            </w:r>
            <w:r>
              <w:rPr>
                <w:rFonts w:ascii="宋体" w:eastAsia="宋体" w:hAnsi="宋体" w:cs="宋体"/>
                <w:sz w:val="18"/>
                <w:szCs w:val="18"/>
              </w:rPr>
              <w:t>日余额在本期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本期计提</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384,906.40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384,906.40</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2023</w:t>
            </w:r>
            <w:r>
              <w:rPr>
                <w:rFonts w:ascii="宋体" w:eastAsia="宋体" w:hAnsi="宋体" w:cs="宋体"/>
                <w:sz w:val="18"/>
                <w:szCs w:val="18"/>
              </w:rPr>
              <w:t>年</w:t>
            </w:r>
            <w:r>
              <w:rPr>
                <w:rFonts w:ascii="宋体" w:eastAsia="宋体" w:hAnsi="宋体" w:cs="宋体"/>
                <w:sz w:val="18"/>
                <w:szCs w:val="18"/>
              </w:rPr>
              <w:t>6</w:t>
            </w:r>
            <w:r>
              <w:rPr>
                <w:rFonts w:ascii="宋体" w:eastAsia="宋体" w:hAnsi="宋体" w:cs="宋体"/>
                <w:sz w:val="18"/>
                <w:szCs w:val="18"/>
              </w:rPr>
              <w:t>月</w:t>
            </w:r>
            <w:r>
              <w:rPr>
                <w:rFonts w:ascii="宋体" w:eastAsia="宋体" w:hAnsi="宋体" w:cs="宋体"/>
                <w:sz w:val="18"/>
                <w:szCs w:val="18"/>
              </w:rPr>
              <w:t>30</w:t>
            </w:r>
            <w:r>
              <w:rPr>
                <w:rFonts w:ascii="宋体" w:eastAsia="宋体" w:hAnsi="宋体" w:cs="宋体"/>
                <w:sz w:val="18"/>
                <w:szCs w:val="18"/>
              </w:rPr>
              <w:t>日余额</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5,271,594.24</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5,271,594.24</w:t>
            </w:r>
          </w:p>
        </w:tc>
      </w:tr>
    </w:tbl>
    <w:p w:rsidR="00A067C6" w:rsidRDefault="005C4966">
      <w:pPr>
        <w:spacing w:before="100" w:after="40" w:line="240" w:lineRule="exact"/>
        <w:rPr>
          <w:rFonts w:ascii="宋体" w:eastAsia="宋体" w:hAnsi="宋体" w:cs="宋体"/>
          <w:sz w:val="18"/>
          <w:szCs w:val="18"/>
        </w:rPr>
      </w:pPr>
      <w:r>
        <w:rPr>
          <w:rFonts w:ascii="宋体" w:eastAsia="宋体" w:hAnsi="宋体" w:cs="宋体"/>
          <w:sz w:val="18"/>
          <w:szCs w:val="18"/>
        </w:rPr>
        <w:t>损失准备本期变动金额重大的账面余额变动情况</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100" w:after="40" w:line="240" w:lineRule="exact"/>
        <w:rPr>
          <w:rFonts w:ascii="宋体" w:eastAsia="宋体" w:hAnsi="宋体" w:cs="宋体"/>
          <w:sz w:val="18"/>
          <w:szCs w:val="18"/>
        </w:rPr>
      </w:pPr>
      <w:r>
        <w:rPr>
          <w:rFonts w:ascii="宋体" w:eastAsia="宋体" w:hAnsi="宋体" w:cs="宋体"/>
          <w:sz w:val="18"/>
          <w:szCs w:val="18"/>
        </w:rPr>
        <w:t>按账龄披露</w:t>
      </w:r>
    </w:p>
    <w:p w:rsidR="00A067C6" w:rsidRDefault="005C4966">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A067C6">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年以内（含</w:t>
            </w:r>
            <w:r>
              <w:rPr>
                <w:rFonts w:ascii="宋体" w:eastAsia="宋体" w:hAnsi="宋体" w:cs="宋体"/>
                <w:sz w:val="18"/>
                <w:szCs w:val="18"/>
              </w:rPr>
              <w:t>1</w:t>
            </w:r>
            <w:r>
              <w:rPr>
                <w:rFonts w:ascii="宋体" w:eastAsia="宋体" w:hAnsi="宋体" w:cs="宋体"/>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155,478,028.45</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至</w:t>
            </w:r>
            <w:r>
              <w:rPr>
                <w:rFonts w:ascii="宋体" w:eastAsia="宋体" w:hAnsi="宋体" w:cs="宋体"/>
                <w:sz w:val="18"/>
                <w:szCs w:val="18"/>
              </w:rPr>
              <w:t>2</w:t>
            </w:r>
            <w:r>
              <w:rPr>
                <w:rFonts w:ascii="宋体" w:eastAsia="宋体" w:hAnsi="宋体" w:cs="宋体"/>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25,629,916.67</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至</w:t>
            </w:r>
            <w:r>
              <w:rPr>
                <w:rFonts w:ascii="宋体" w:eastAsia="宋体" w:hAnsi="宋体" w:cs="宋体"/>
                <w:sz w:val="18"/>
                <w:szCs w:val="18"/>
              </w:rPr>
              <w:t>3</w:t>
            </w:r>
            <w:r>
              <w:rPr>
                <w:rFonts w:ascii="宋体" w:eastAsia="宋体" w:hAnsi="宋体" w:cs="宋体"/>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10,031,541.20</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年以上</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1,068,690.00</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至</w:t>
            </w:r>
            <w:r>
              <w:rPr>
                <w:rFonts w:ascii="宋体" w:eastAsia="宋体" w:hAnsi="宋体" w:cs="宋体"/>
                <w:sz w:val="18"/>
                <w:szCs w:val="18"/>
              </w:rPr>
              <w:t>4</w:t>
            </w:r>
            <w:r>
              <w:rPr>
                <w:rFonts w:ascii="宋体" w:eastAsia="宋体" w:hAnsi="宋体" w:cs="宋体"/>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1,068,690.00</w:t>
            </w:r>
          </w:p>
        </w:tc>
      </w:tr>
      <w:tr w:rsidR="00A067C6">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192,208,176.32</w:t>
            </w:r>
          </w:p>
        </w:tc>
      </w:tr>
    </w:tbl>
    <w:p w:rsidR="00A067C6" w:rsidRDefault="005C4966">
      <w:pPr>
        <w:keepNext/>
        <w:keepLines/>
        <w:spacing w:before="300" w:after="300" w:line="280" w:lineRule="exact"/>
        <w:outlineLvl w:val="4"/>
        <w:rPr>
          <w:rFonts w:ascii="宋体" w:eastAsia="宋体" w:hAnsi="宋体" w:cs="宋体"/>
          <w:b/>
          <w:bCs/>
          <w:sz w:val="18"/>
          <w:szCs w:val="18"/>
        </w:rPr>
      </w:pPr>
      <w:bookmarkStart w:id="490" w:name="_Toc989382"/>
      <w:r>
        <w:rPr>
          <w:rFonts w:ascii="宋体" w:eastAsia="宋体" w:hAnsi="宋体" w:cs="宋体"/>
          <w:b/>
          <w:bCs/>
          <w:sz w:val="18"/>
          <w:szCs w:val="18"/>
        </w:rPr>
        <w:t>3</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本期计提、收回或转回的坏账准备情况</w:t>
      </w:r>
      <w:bookmarkEnd w:id="490"/>
    </w:p>
    <w:p w:rsidR="00A067C6" w:rsidRDefault="005C4966">
      <w:pPr>
        <w:spacing w:line="240" w:lineRule="exact"/>
        <w:rPr>
          <w:rFonts w:ascii="宋体" w:eastAsia="宋体" w:hAnsi="宋体" w:cs="宋体"/>
          <w:sz w:val="18"/>
          <w:szCs w:val="18"/>
        </w:rPr>
      </w:pPr>
      <w:r>
        <w:rPr>
          <w:rFonts w:ascii="宋体" w:eastAsia="宋体" w:hAnsi="宋体" w:cs="宋体"/>
          <w:sz w:val="18"/>
          <w:szCs w:val="18"/>
        </w:rPr>
        <w:t>本期计提坏账准备情况：</w:t>
      </w:r>
    </w:p>
    <w:p w:rsidR="00A067C6" w:rsidRDefault="005C4966">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A067C6">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A067C6">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预期信用风险组合</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4,886,687.84</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384,906.40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5,271,594.24</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4,886,687.84</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384,906.40</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5,271,594.24</w:t>
            </w:r>
          </w:p>
        </w:tc>
      </w:tr>
    </w:tbl>
    <w:p w:rsidR="00A067C6" w:rsidRDefault="00A067C6">
      <w:pPr>
        <w:rPr>
          <w:sz w:val="18"/>
          <w:szCs w:val="18"/>
        </w:rPr>
      </w:pPr>
    </w:p>
    <w:p w:rsidR="00A067C6" w:rsidRDefault="005C4966">
      <w:pPr>
        <w:spacing w:before="100" w:after="40" w:line="240" w:lineRule="exact"/>
        <w:rPr>
          <w:rFonts w:ascii="宋体" w:eastAsia="宋体" w:hAnsi="宋体" w:cs="宋体"/>
          <w:sz w:val="18"/>
          <w:szCs w:val="18"/>
        </w:rPr>
      </w:pPr>
      <w:r>
        <w:rPr>
          <w:rFonts w:ascii="宋体" w:eastAsia="宋体" w:hAnsi="宋体" w:cs="宋体"/>
          <w:sz w:val="18"/>
          <w:szCs w:val="18"/>
        </w:rPr>
        <w:t>其中本期坏账准备转回或收回金额重要的：</w:t>
      </w:r>
      <w:r>
        <w:rPr>
          <w:rFonts w:ascii="宋体" w:eastAsia="宋体" w:hAnsi="宋体" w:cs="宋体" w:hint="eastAsia"/>
          <w:sz w:val="18"/>
          <w:szCs w:val="18"/>
        </w:rPr>
        <w:t>无</w:t>
      </w:r>
    </w:p>
    <w:p w:rsidR="00A067C6" w:rsidRDefault="005C4966">
      <w:pPr>
        <w:keepNext/>
        <w:keepLines/>
        <w:spacing w:before="300" w:after="300" w:line="280" w:lineRule="exact"/>
        <w:outlineLvl w:val="4"/>
        <w:rPr>
          <w:rFonts w:ascii="宋体" w:eastAsia="宋体" w:hAnsi="宋体" w:cs="宋体"/>
          <w:b/>
          <w:bCs/>
          <w:sz w:val="18"/>
          <w:szCs w:val="18"/>
        </w:rPr>
      </w:pPr>
      <w:bookmarkStart w:id="491" w:name="_Toc989383"/>
      <w:r>
        <w:rPr>
          <w:rFonts w:ascii="宋体" w:eastAsia="宋体" w:hAnsi="宋体" w:cs="宋体"/>
          <w:b/>
          <w:bCs/>
          <w:sz w:val="18"/>
          <w:szCs w:val="18"/>
        </w:rPr>
        <w:t>4</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本期实际核销的其他应收款情况</w:t>
      </w:r>
      <w:bookmarkEnd w:id="491"/>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其他应收款核销说明：</w:t>
      </w:r>
      <w:r>
        <w:rPr>
          <w:rFonts w:hint="eastAsia"/>
          <w:sz w:val="18"/>
          <w:szCs w:val="18"/>
        </w:rPr>
        <w:t>无。</w:t>
      </w:r>
    </w:p>
    <w:p w:rsidR="00A067C6" w:rsidRDefault="005C4966">
      <w:pPr>
        <w:keepNext/>
        <w:keepLines/>
        <w:spacing w:before="300" w:after="300" w:line="280" w:lineRule="exact"/>
        <w:outlineLvl w:val="4"/>
        <w:rPr>
          <w:rFonts w:ascii="宋体" w:eastAsia="宋体" w:hAnsi="宋体" w:cs="宋体"/>
          <w:b/>
          <w:bCs/>
          <w:sz w:val="18"/>
          <w:szCs w:val="18"/>
        </w:rPr>
      </w:pPr>
      <w:bookmarkStart w:id="492" w:name="_Toc989384"/>
      <w:r>
        <w:rPr>
          <w:rFonts w:ascii="宋体" w:eastAsia="宋体" w:hAnsi="宋体" w:cs="宋体"/>
          <w:b/>
          <w:bCs/>
          <w:sz w:val="18"/>
          <w:szCs w:val="18"/>
        </w:rPr>
        <w:t>5</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按欠款方归集的期末余额前五名的其他应收款情况</w:t>
      </w:r>
      <w:bookmarkEnd w:id="492"/>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6"/>
        <w:gridCol w:w="1606"/>
        <w:gridCol w:w="1606"/>
        <w:gridCol w:w="1607"/>
        <w:gridCol w:w="1607"/>
        <w:gridCol w:w="1607"/>
      </w:tblGrid>
      <w:tr w:rsidR="00A067C6">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款项的性质</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占其他应收款期末余额合计数的比例</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坏账准备期末余额</w:t>
            </w:r>
          </w:p>
        </w:tc>
      </w:tr>
      <w:tr w:rsidR="00A067C6">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第一名</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合并范围内关联方往来</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81,723,246.56</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1-2</w:t>
            </w:r>
            <w:r>
              <w:rPr>
                <w:rFonts w:ascii="宋体" w:eastAsia="宋体" w:hAnsi="宋体" w:cs="宋体"/>
                <w:sz w:val="18"/>
                <w:szCs w:val="18"/>
              </w:rPr>
              <w:t>年</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42.52%</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第二名</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暂借款</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19,629,916.67</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1-2</w:t>
            </w:r>
            <w:r>
              <w:rPr>
                <w:rFonts w:ascii="宋体" w:eastAsia="宋体" w:hAnsi="宋体" w:cs="宋体"/>
                <w:sz w:val="18"/>
                <w:szCs w:val="18"/>
              </w:rPr>
              <w:t>年</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10.21%</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1,962,991.67</w:t>
            </w:r>
          </w:p>
        </w:tc>
      </w:tr>
      <w:tr w:rsidR="00A067C6">
        <w:trPr>
          <w:trHeight w:val="240"/>
        </w:trPr>
        <w:tc>
          <w:tcPr>
            <w:tcW w:w="1606" w:type="dxa"/>
            <w:vMerge w:val="restart"/>
            <w:tcBorders>
              <w:top w:val="single" w:sz="2" w:space="0" w:color="auto"/>
              <w:left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第三名</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合并范围外关联方往来</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1,129,444.45</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年以内</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6.16%</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2,098,138.89</w:t>
            </w:r>
          </w:p>
        </w:tc>
      </w:tr>
      <w:tr w:rsidR="00A067C6">
        <w:trPr>
          <w:trHeight w:val="240"/>
        </w:trPr>
        <w:tc>
          <w:tcPr>
            <w:tcW w:w="1606" w:type="dxa"/>
            <w:vMerge/>
            <w:tcBorders>
              <w:left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合并范围外关联方往来</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1,016,666.66</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1-2</w:t>
            </w:r>
            <w:r>
              <w:rPr>
                <w:rFonts w:ascii="宋体" w:eastAsia="宋体" w:hAnsi="宋体" w:cs="宋体"/>
                <w:sz w:val="18"/>
                <w:szCs w:val="18"/>
              </w:rPr>
              <w:t>年</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606" w:type="dxa"/>
            <w:vMerge/>
            <w:tcBorders>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合并范围外关联方往来</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9,700,000.00</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2-3</w:t>
            </w:r>
            <w:r>
              <w:rPr>
                <w:rFonts w:ascii="宋体" w:eastAsia="宋体" w:hAnsi="宋体" w:cs="宋体"/>
                <w:sz w:val="18"/>
                <w:szCs w:val="18"/>
              </w:rPr>
              <w:t>年</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第四名</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合并范围内关联方往来</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10,425,229.39</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年以内</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5.42%</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606" w:type="dxa"/>
            <w:vMerge w:val="restart"/>
            <w:tcBorders>
              <w:top w:val="single" w:sz="2" w:space="0" w:color="auto"/>
              <w:left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第五名</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合并范围外关联方往来</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1,269,666.67</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年以内</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0.66%</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63,483.33</w:t>
            </w:r>
          </w:p>
        </w:tc>
      </w:tr>
      <w:tr w:rsidR="00A067C6">
        <w:trPr>
          <w:trHeight w:val="240"/>
        </w:trPr>
        <w:tc>
          <w:tcPr>
            <w:tcW w:w="1606" w:type="dxa"/>
            <w:vMerge/>
            <w:tcBorders>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 </w:t>
            </w:r>
            <w:r>
              <w:rPr>
                <w:rFonts w:ascii="宋体" w:eastAsia="宋体" w:hAnsi="宋体" w:cs="宋体"/>
                <w:sz w:val="18"/>
                <w:szCs w:val="18"/>
              </w:rPr>
              <w:t>合并范围外关联方往来</w:t>
            </w:r>
          </w:p>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6,000,000.00</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1-2</w:t>
            </w:r>
            <w:r>
              <w:rPr>
                <w:rFonts w:ascii="宋体" w:eastAsia="宋体" w:hAnsi="宋体" w:cs="宋体"/>
                <w:sz w:val="18"/>
                <w:szCs w:val="18"/>
              </w:rPr>
              <w:t>年</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3.12%</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600,000.00</w:t>
            </w:r>
          </w:p>
        </w:tc>
      </w:tr>
      <w:tr w:rsidR="00A067C6">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606"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130,894,170.40</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68.09%</w:t>
            </w:r>
          </w:p>
        </w:tc>
        <w:tc>
          <w:tcPr>
            <w:tcW w:w="160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4,724,613.89</w:t>
            </w:r>
          </w:p>
        </w:tc>
      </w:tr>
    </w:tbl>
    <w:p w:rsidR="00A067C6" w:rsidRDefault="005C4966">
      <w:pPr>
        <w:keepNext/>
        <w:keepLines/>
        <w:spacing w:before="300" w:after="300" w:line="280" w:lineRule="exact"/>
        <w:outlineLvl w:val="4"/>
        <w:rPr>
          <w:rFonts w:ascii="宋体" w:eastAsia="宋体" w:hAnsi="宋体" w:cs="宋体"/>
          <w:b/>
          <w:bCs/>
          <w:sz w:val="18"/>
          <w:szCs w:val="18"/>
        </w:rPr>
      </w:pPr>
      <w:bookmarkStart w:id="493" w:name="_Toc989385"/>
      <w:r>
        <w:rPr>
          <w:rFonts w:ascii="宋体" w:eastAsia="宋体" w:hAnsi="宋体" w:cs="宋体"/>
          <w:b/>
          <w:bCs/>
          <w:sz w:val="18"/>
          <w:szCs w:val="18"/>
        </w:rPr>
        <w:t>6</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涉及政府补助的应收款项</w:t>
      </w:r>
      <w:bookmarkEnd w:id="493"/>
    </w:p>
    <w:p w:rsidR="00A067C6" w:rsidRDefault="005C4966">
      <w:pPr>
        <w:pStyle w:val="a6"/>
        <w:rPr>
          <w:sz w:val="18"/>
          <w:szCs w:val="18"/>
        </w:rPr>
      </w:pPr>
      <w:r>
        <w:rPr>
          <w:rFonts w:hint="eastAsia"/>
          <w:sz w:val="18"/>
          <w:szCs w:val="18"/>
        </w:rPr>
        <w:t>无。</w:t>
      </w:r>
    </w:p>
    <w:p w:rsidR="00A067C6" w:rsidRDefault="005C4966">
      <w:pPr>
        <w:keepNext/>
        <w:keepLines/>
        <w:spacing w:before="300" w:after="300" w:line="280" w:lineRule="exact"/>
        <w:outlineLvl w:val="4"/>
        <w:rPr>
          <w:rFonts w:ascii="宋体" w:eastAsia="宋体" w:hAnsi="宋体" w:cs="宋体"/>
          <w:b/>
          <w:bCs/>
          <w:sz w:val="18"/>
          <w:szCs w:val="18"/>
        </w:rPr>
      </w:pPr>
      <w:bookmarkStart w:id="494" w:name="_Toc989386"/>
      <w:r>
        <w:rPr>
          <w:rFonts w:ascii="宋体" w:eastAsia="宋体" w:hAnsi="宋体" w:cs="宋体"/>
          <w:b/>
          <w:bCs/>
          <w:sz w:val="18"/>
          <w:szCs w:val="18"/>
        </w:rPr>
        <w:t>7</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因金融资产转移而终止确认的其他应收款</w:t>
      </w:r>
      <w:bookmarkEnd w:id="494"/>
    </w:p>
    <w:p w:rsidR="00A067C6" w:rsidRDefault="005C4966">
      <w:pPr>
        <w:pStyle w:val="a6"/>
        <w:rPr>
          <w:sz w:val="18"/>
          <w:szCs w:val="18"/>
        </w:rPr>
      </w:pPr>
      <w:r>
        <w:rPr>
          <w:rFonts w:hint="eastAsia"/>
          <w:sz w:val="18"/>
          <w:szCs w:val="18"/>
        </w:rPr>
        <w:t>无。</w:t>
      </w:r>
    </w:p>
    <w:p w:rsidR="00A067C6" w:rsidRDefault="005C4966">
      <w:pPr>
        <w:keepNext/>
        <w:keepLines/>
        <w:spacing w:before="300" w:after="300" w:line="280" w:lineRule="exact"/>
        <w:outlineLvl w:val="4"/>
        <w:rPr>
          <w:rFonts w:ascii="宋体" w:eastAsia="宋体" w:hAnsi="宋体" w:cs="宋体"/>
          <w:b/>
          <w:bCs/>
          <w:sz w:val="18"/>
          <w:szCs w:val="18"/>
        </w:rPr>
      </w:pPr>
      <w:bookmarkStart w:id="495" w:name="_Toc989387"/>
      <w:r>
        <w:rPr>
          <w:rFonts w:ascii="宋体" w:eastAsia="宋体" w:hAnsi="宋体" w:cs="宋体"/>
          <w:b/>
          <w:bCs/>
          <w:sz w:val="18"/>
          <w:szCs w:val="18"/>
        </w:rPr>
        <w:t>8</w:t>
      </w:r>
      <w:r>
        <w:rPr>
          <w:rFonts w:ascii="宋体" w:eastAsia="宋体" w:hAnsi="宋体" w:cs="宋体"/>
          <w:b/>
          <w:bCs/>
          <w:sz w:val="18"/>
          <w:szCs w:val="18"/>
        </w:rPr>
        <w:t>）</w:t>
      </w:r>
      <w:r>
        <w:rPr>
          <w:rFonts w:ascii="宋体" w:eastAsia="宋体" w:hAnsi="宋体" w:cs="宋体"/>
          <w:b/>
          <w:bCs/>
          <w:sz w:val="18"/>
          <w:szCs w:val="18"/>
        </w:rPr>
        <w:t xml:space="preserve"> </w:t>
      </w:r>
      <w:r>
        <w:rPr>
          <w:rFonts w:ascii="宋体" w:eastAsia="宋体" w:hAnsi="宋体" w:cs="宋体"/>
          <w:b/>
          <w:bCs/>
          <w:sz w:val="18"/>
          <w:szCs w:val="18"/>
        </w:rPr>
        <w:t>转移其他应收款且继续涉入形成的资产、负债金额</w:t>
      </w:r>
      <w:bookmarkEnd w:id="495"/>
    </w:p>
    <w:p w:rsidR="00A067C6" w:rsidRDefault="005C4966">
      <w:pPr>
        <w:pStyle w:val="a6"/>
        <w:rPr>
          <w:sz w:val="18"/>
          <w:szCs w:val="18"/>
        </w:rPr>
      </w:pPr>
      <w:r>
        <w:rPr>
          <w:sz w:val="18"/>
          <w:szCs w:val="18"/>
        </w:rPr>
        <w:t>其他说明：</w:t>
      </w:r>
      <w:r>
        <w:rPr>
          <w:rFonts w:hint="eastAsia"/>
          <w:sz w:val="18"/>
          <w:szCs w:val="18"/>
        </w:rPr>
        <w:t>无。</w:t>
      </w:r>
    </w:p>
    <w:p w:rsidR="00A067C6" w:rsidRDefault="005C4966">
      <w:pPr>
        <w:pStyle w:val="3"/>
        <w:spacing w:line="280" w:lineRule="exact"/>
        <w:jc w:val="left"/>
        <w:rPr>
          <w:rFonts w:ascii="宋体" w:hAnsi="宋体" w:cs="宋体"/>
          <w:b/>
          <w:bCs/>
        </w:rPr>
      </w:pPr>
      <w:bookmarkStart w:id="496" w:name="_Toc989388"/>
      <w:r>
        <w:rPr>
          <w:rFonts w:ascii="宋体" w:hAnsi="宋体" w:cs="宋体"/>
          <w:b/>
          <w:bCs/>
        </w:rPr>
        <w:t>3</w:t>
      </w:r>
      <w:r>
        <w:rPr>
          <w:rFonts w:ascii="宋体" w:hAnsi="宋体" w:cs="宋体"/>
          <w:b/>
          <w:bCs/>
        </w:rPr>
        <w:t>、长期股权投资</w:t>
      </w:r>
      <w:bookmarkEnd w:id="496"/>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A067C6">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A067C6">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对子公司投资</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4,414,907,400.06</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4,414,907,400.06</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4,414,907,400.06</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4,414,907,400.06</w:t>
            </w:r>
          </w:p>
        </w:tc>
      </w:tr>
      <w:tr w:rsidR="00A067C6">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4,414,907,400.06</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4,414,907,400.06</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4,414,907,400.06</w:t>
            </w: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4,414,907,400.06</w:t>
            </w:r>
          </w:p>
        </w:tc>
      </w:tr>
    </w:tbl>
    <w:p w:rsidR="00A067C6" w:rsidRDefault="005C4966">
      <w:pPr>
        <w:keepNext/>
        <w:keepLines/>
        <w:spacing w:before="300" w:after="300" w:line="280" w:lineRule="exact"/>
        <w:outlineLvl w:val="3"/>
        <w:rPr>
          <w:rFonts w:ascii="宋体" w:eastAsia="宋体" w:hAnsi="宋体" w:cs="宋体"/>
          <w:b/>
          <w:bCs/>
          <w:szCs w:val="21"/>
        </w:rPr>
      </w:pPr>
      <w:bookmarkStart w:id="497" w:name="_Toc989389"/>
      <w:r>
        <w:rPr>
          <w:rFonts w:ascii="宋体" w:eastAsia="宋体" w:hAnsi="宋体" w:cs="宋体"/>
          <w:b/>
          <w:bCs/>
          <w:szCs w:val="21"/>
        </w:rPr>
        <w:t>（</w:t>
      </w:r>
      <w:r>
        <w:rPr>
          <w:rFonts w:ascii="宋体" w:eastAsia="宋体" w:hAnsi="宋体" w:cs="宋体"/>
          <w:b/>
          <w:bCs/>
          <w:szCs w:val="21"/>
        </w:rPr>
        <w:t>1</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对子公司投资</w:t>
      </w:r>
      <w:bookmarkEnd w:id="497"/>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809"/>
        <w:gridCol w:w="1701"/>
        <w:gridCol w:w="709"/>
        <w:gridCol w:w="709"/>
        <w:gridCol w:w="992"/>
        <w:gridCol w:w="709"/>
        <w:gridCol w:w="1805"/>
        <w:gridCol w:w="1205"/>
      </w:tblGrid>
      <w:tr w:rsidR="00A067C6">
        <w:trPr>
          <w:trHeight w:val="240"/>
        </w:trPr>
        <w:tc>
          <w:tcPr>
            <w:tcW w:w="1809"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被投资单位</w:t>
            </w:r>
          </w:p>
        </w:tc>
        <w:tc>
          <w:tcPr>
            <w:tcW w:w="170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期初余额（账面价值）</w:t>
            </w:r>
          </w:p>
        </w:tc>
        <w:tc>
          <w:tcPr>
            <w:tcW w:w="3119"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本期增减变动</w:t>
            </w:r>
          </w:p>
        </w:tc>
        <w:tc>
          <w:tcPr>
            <w:tcW w:w="18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期末余额（账面价值）</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减值准备期末余额</w:t>
            </w:r>
          </w:p>
        </w:tc>
      </w:tr>
      <w:tr w:rsidR="00A067C6">
        <w:trPr>
          <w:trHeight w:val="240"/>
        </w:trPr>
        <w:tc>
          <w:tcPr>
            <w:tcW w:w="1809"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70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70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追加投资</w:t>
            </w:r>
          </w:p>
        </w:tc>
        <w:tc>
          <w:tcPr>
            <w:tcW w:w="70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减少投资</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计提减值准备</w:t>
            </w:r>
          </w:p>
        </w:tc>
        <w:tc>
          <w:tcPr>
            <w:tcW w:w="70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8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180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深圳市华孚进出口有限公司</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2,126,565,336.11</w:t>
            </w:r>
          </w:p>
        </w:tc>
        <w:tc>
          <w:tcPr>
            <w:tcW w:w="709"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8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2,126,565,336.11</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80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浙江金华华孚纺织有限公司</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44,257,636.45</w:t>
            </w:r>
          </w:p>
        </w:tc>
        <w:tc>
          <w:tcPr>
            <w:tcW w:w="709"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8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44,257,636.45</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80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浙江缙云华孚纺织有限公司</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29,754,027.50</w:t>
            </w:r>
          </w:p>
        </w:tc>
        <w:tc>
          <w:tcPr>
            <w:tcW w:w="709"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8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29,754,027.50</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80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浙江华孚色纺有限公司</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360,000,000.00</w:t>
            </w:r>
          </w:p>
        </w:tc>
        <w:tc>
          <w:tcPr>
            <w:tcW w:w="709"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8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360,000,000.00</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80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淮北市华孚纺织有限公司</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200,000,000.00</w:t>
            </w:r>
          </w:p>
        </w:tc>
        <w:tc>
          <w:tcPr>
            <w:tcW w:w="709"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8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200,000,000.00</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80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奎屯锦孚纺织有限公司</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154,330,400.00</w:t>
            </w:r>
          </w:p>
        </w:tc>
        <w:tc>
          <w:tcPr>
            <w:tcW w:w="709"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8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154,330,400.00</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80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深圳华孚网链投资有限公司</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500,000,000.00</w:t>
            </w:r>
          </w:p>
        </w:tc>
        <w:tc>
          <w:tcPr>
            <w:tcW w:w="709"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8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500,000,000.00</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80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新疆华孚棉业集团有限公司</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1,000,000,000.00</w:t>
            </w:r>
          </w:p>
        </w:tc>
        <w:tc>
          <w:tcPr>
            <w:tcW w:w="709"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8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1,000,000,000.00</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80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701"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4,414,907,400.06</w:t>
            </w:r>
          </w:p>
        </w:tc>
        <w:tc>
          <w:tcPr>
            <w:tcW w:w="709"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805"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4,414,907,400.06</w:t>
            </w:r>
          </w:p>
        </w:tc>
        <w:tc>
          <w:tcPr>
            <w:tcW w:w="1205"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bl>
    <w:p w:rsidR="00A067C6" w:rsidRDefault="005C4966">
      <w:pPr>
        <w:keepNext/>
        <w:keepLines/>
        <w:spacing w:before="300" w:after="300" w:line="280" w:lineRule="exact"/>
        <w:outlineLvl w:val="3"/>
        <w:rPr>
          <w:rFonts w:ascii="宋体" w:eastAsia="宋体" w:hAnsi="宋体" w:cs="宋体"/>
          <w:b/>
          <w:bCs/>
          <w:szCs w:val="21"/>
        </w:rPr>
      </w:pPr>
      <w:bookmarkStart w:id="498" w:name="_Toc989390"/>
      <w:r>
        <w:rPr>
          <w:rFonts w:ascii="宋体" w:eastAsia="宋体" w:hAnsi="宋体" w:cs="宋体"/>
          <w:b/>
          <w:bCs/>
          <w:szCs w:val="21"/>
        </w:rPr>
        <w:t>（</w:t>
      </w:r>
      <w:r>
        <w:rPr>
          <w:rFonts w:ascii="宋体" w:eastAsia="宋体" w:hAnsi="宋体" w:cs="宋体"/>
          <w:b/>
          <w:bCs/>
          <w:szCs w:val="21"/>
        </w:rPr>
        <w:t>2</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对联营、合营企业投资</w:t>
      </w:r>
      <w:bookmarkEnd w:id="498"/>
    </w:p>
    <w:p w:rsidR="00A067C6" w:rsidRDefault="005C4966">
      <w:pPr>
        <w:pStyle w:val="a6"/>
        <w:rPr>
          <w:sz w:val="18"/>
          <w:szCs w:val="18"/>
        </w:rPr>
      </w:pPr>
      <w:bookmarkStart w:id="499" w:name="_Toc989391"/>
      <w:r>
        <w:rPr>
          <w:rFonts w:hint="eastAsia"/>
          <w:sz w:val="18"/>
          <w:szCs w:val="18"/>
        </w:rPr>
        <w:t>无。</w:t>
      </w:r>
    </w:p>
    <w:p w:rsidR="00A067C6" w:rsidRDefault="005C4966">
      <w:pPr>
        <w:keepNext/>
        <w:keepLines/>
        <w:spacing w:before="300" w:after="300" w:line="280" w:lineRule="exact"/>
        <w:outlineLvl w:val="3"/>
        <w:rPr>
          <w:rFonts w:ascii="宋体" w:eastAsia="宋体" w:hAnsi="宋体" w:cs="宋体"/>
          <w:b/>
          <w:bCs/>
          <w:szCs w:val="21"/>
        </w:rPr>
      </w:pPr>
      <w:r>
        <w:rPr>
          <w:rFonts w:ascii="宋体" w:eastAsia="宋体" w:hAnsi="宋体" w:cs="宋体"/>
          <w:b/>
          <w:bCs/>
          <w:szCs w:val="21"/>
        </w:rPr>
        <w:t>（</w:t>
      </w:r>
      <w:r>
        <w:rPr>
          <w:rFonts w:ascii="宋体" w:eastAsia="宋体" w:hAnsi="宋体" w:cs="宋体"/>
          <w:b/>
          <w:bCs/>
          <w:szCs w:val="21"/>
        </w:rPr>
        <w:t>3</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其他说明</w:t>
      </w:r>
      <w:bookmarkEnd w:id="499"/>
    </w:p>
    <w:p w:rsidR="00A067C6" w:rsidRDefault="005C4966">
      <w:pPr>
        <w:pStyle w:val="a6"/>
        <w:rPr>
          <w:sz w:val="18"/>
          <w:szCs w:val="18"/>
        </w:rPr>
      </w:pPr>
      <w:r>
        <w:rPr>
          <w:rFonts w:hint="eastAsia"/>
          <w:sz w:val="18"/>
          <w:szCs w:val="18"/>
        </w:rPr>
        <w:t>无。</w:t>
      </w:r>
    </w:p>
    <w:p w:rsidR="00A067C6" w:rsidRDefault="005C4966">
      <w:pPr>
        <w:pStyle w:val="3"/>
        <w:spacing w:line="280" w:lineRule="exact"/>
        <w:jc w:val="left"/>
        <w:rPr>
          <w:rFonts w:ascii="宋体" w:hAnsi="宋体" w:cs="宋体"/>
          <w:b/>
          <w:bCs/>
        </w:rPr>
      </w:pPr>
      <w:bookmarkStart w:id="500" w:name="_Toc989392"/>
      <w:r>
        <w:rPr>
          <w:rFonts w:ascii="宋体" w:hAnsi="宋体" w:cs="宋体"/>
          <w:b/>
          <w:bCs/>
        </w:rPr>
        <w:t>4</w:t>
      </w:r>
      <w:r>
        <w:rPr>
          <w:rFonts w:ascii="宋体" w:hAnsi="宋体" w:cs="宋体"/>
          <w:b/>
          <w:bCs/>
        </w:rPr>
        <w:t>、营业收入和营业成本</w:t>
      </w:r>
      <w:bookmarkEnd w:id="500"/>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A067C6">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A067C6">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主营业务</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594,814,765.58</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472,328,498.50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389,643,002.40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358,628,194.01</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其他业务</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16,138,216.96</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8,094,240.45</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2,954,743.09</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32,460.43</w:t>
            </w:r>
          </w:p>
        </w:tc>
      </w:tr>
      <w:tr w:rsidR="00A067C6">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610,952,982.54</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480,422,738.95</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392,597,745.49</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358,660,654.44</w:t>
            </w:r>
          </w:p>
        </w:tc>
      </w:tr>
    </w:tbl>
    <w:p w:rsidR="00A067C6" w:rsidRDefault="005C4966">
      <w:pPr>
        <w:spacing w:before="100" w:after="40" w:line="240" w:lineRule="exact"/>
        <w:rPr>
          <w:rFonts w:ascii="宋体" w:eastAsia="宋体" w:hAnsi="宋体" w:cs="宋体"/>
          <w:sz w:val="18"/>
          <w:szCs w:val="18"/>
        </w:rPr>
      </w:pPr>
      <w:r>
        <w:rPr>
          <w:rFonts w:ascii="宋体" w:eastAsia="宋体" w:hAnsi="宋体" w:cs="宋体"/>
          <w:sz w:val="18"/>
          <w:szCs w:val="18"/>
        </w:rPr>
        <w:t>收入相关信息：</w:t>
      </w:r>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A067C6">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合同分类</w:t>
            </w:r>
          </w:p>
        </w:tc>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分部</w:t>
            </w:r>
            <w:r>
              <w:rPr>
                <w:rFonts w:ascii="宋体" w:eastAsia="宋体" w:hAnsi="宋体" w:cs="宋体"/>
                <w:sz w:val="18"/>
                <w:szCs w:val="18"/>
              </w:rPr>
              <w:t>1</w:t>
            </w:r>
          </w:p>
        </w:tc>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分部</w:t>
            </w:r>
            <w:r>
              <w:rPr>
                <w:rFonts w:ascii="宋体" w:eastAsia="宋体" w:hAnsi="宋体" w:cs="宋体"/>
                <w:sz w:val="18"/>
                <w:szCs w:val="18"/>
              </w:rPr>
              <w:t>2</w:t>
            </w:r>
          </w:p>
        </w:tc>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A067C6">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商品类型</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纱线</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547,174,951.05</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547,174,951.05</w:t>
            </w:r>
          </w:p>
        </w:tc>
      </w:tr>
      <w:tr w:rsidR="00A067C6">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原、色纤</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47,639,814.53</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47,639,814.53</w:t>
            </w:r>
          </w:p>
        </w:tc>
      </w:tr>
      <w:tr w:rsidR="00A067C6">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其他</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16,138,216.96</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16,138,216.96</w:t>
            </w:r>
          </w:p>
        </w:tc>
      </w:tr>
      <w:tr w:rsidR="00A067C6">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按经营地区分类</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境外销售</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境内销售</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610,952,982.54</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610,952,982.54</w:t>
            </w:r>
          </w:p>
        </w:tc>
      </w:tr>
      <w:tr w:rsidR="00A067C6">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市场或客户类型</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合同类型</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按商品转让的时间分类</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在某一时点转让</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609,769,208.40</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609,769,208.40</w:t>
            </w:r>
          </w:p>
        </w:tc>
      </w:tr>
      <w:tr w:rsidR="00A067C6">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在某一时段内转让</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1,183,774.14</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1,183,774.14</w:t>
            </w:r>
          </w:p>
        </w:tc>
      </w:tr>
      <w:tr w:rsidR="00A067C6">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按合同期限分类</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按销售渠道分类</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r>
      <w:tr w:rsidR="00A067C6">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610,952,982.54</w:t>
            </w:r>
          </w:p>
        </w:tc>
        <w:tc>
          <w:tcPr>
            <w:tcW w:w="1928"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610,952,982.54</w:t>
            </w:r>
          </w:p>
        </w:tc>
      </w:tr>
    </w:tbl>
    <w:p w:rsidR="00A067C6" w:rsidRDefault="005C4966">
      <w:pPr>
        <w:spacing w:line="240" w:lineRule="exact"/>
        <w:rPr>
          <w:rFonts w:ascii="宋体" w:eastAsia="宋体" w:hAnsi="宋体" w:cs="宋体"/>
          <w:sz w:val="18"/>
          <w:szCs w:val="18"/>
        </w:rPr>
      </w:pPr>
      <w:r>
        <w:rPr>
          <w:rFonts w:ascii="宋体" w:eastAsia="宋体" w:hAnsi="宋体" w:cs="宋体"/>
          <w:sz w:val="18"/>
          <w:szCs w:val="18"/>
        </w:rPr>
        <w:t>与履约义务相关的信息：</w:t>
      </w:r>
      <w:r>
        <w:rPr>
          <w:rFonts w:hint="eastAsia"/>
          <w:sz w:val="18"/>
          <w:szCs w:val="18"/>
        </w:rPr>
        <w:t>无。</w:t>
      </w:r>
    </w:p>
    <w:p w:rsidR="00A067C6" w:rsidRDefault="005C4966">
      <w:pPr>
        <w:spacing w:line="240" w:lineRule="exact"/>
        <w:rPr>
          <w:rFonts w:ascii="宋体" w:eastAsia="宋体" w:hAnsi="宋体" w:cs="宋体"/>
          <w:sz w:val="18"/>
          <w:szCs w:val="18"/>
        </w:rPr>
      </w:pPr>
      <w:r>
        <w:rPr>
          <w:rFonts w:ascii="宋体" w:eastAsia="宋体" w:hAnsi="宋体" w:cs="宋体"/>
          <w:sz w:val="18"/>
          <w:szCs w:val="18"/>
        </w:rPr>
        <w:t>与分摊至剩余履约义务的交易价格相关的信息：</w:t>
      </w:r>
    </w:p>
    <w:p w:rsidR="00A067C6" w:rsidRDefault="005C4966">
      <w:pPr>
        <w:spacing w:line="240" w:lineRule="exact"/>
        <w:rPr>
          <w:rFonts w:ascii="宋体" w:eastAsia="宋体" w:hAnsi="宋体" w:cs="宋体"/>
          <w:sz w:val="18"/>
          <w:szCs w:val="18"/>
        </w:rPr>
      </w:pPr>
      <w:r>
        <w:rPr>
          <w:rFonts w:ascii="宋体" w:eastAsia="宋体" w:hAnsi="宋体" w:cs="宋体"/>
          <w:sz w:val="18"/>
          <w:szCs w:val="18"/>
        </w:rPr>
        <w:t>本报告期末已签订合同、但尚未履行或尚未履行完毕的履约义务所对应的收入金额为</w:t>
      </w:r>
      <w:r>
        <w:rPr>
          <w:rFonts w:ascii="宋体" w:eastAsia="宋体" w:hAnsi="宋体" w:cs="宋体"/>
          <w:sz w:val="18"/>
          <w:szCs w:val="18"/>
        </w:rPr>
        <w:t>0.00</w:t>
      </w:r>
      <w:r>
        <w:rPr>
          <w:rFonts w:ascii="宋体" w:eastAsia="宋体" w:hAnsi="宋体" w:cs="宋体"/>
          <w:sz w:val="18"/>
          <w:szCs w:val="18"/>
        </w:rPr>
        <w:t>元，其中，</w:t>
      </w:r>
      <w:r>
        <w:rPr>
          <w:rFonts w:ascii="宋体" w:eastAsia="宋体" w:hAnsi="宋体" w:cs="宋体"/>
          <w:sz w:val="18"/>
          <w:szCs w:val="18"/>
        </w:rPr>
        <w:t>0.00</w:t>
      </w:r>
      <w:r>
        <w:rPr>
          <w:rFonts w:ascii="宋体" w:eastAsia="宋体" w:hAnsi="宋体" w:cs="宋体"/>
          <w:sz w:val="18"/>
          <w:szCs w:val="18"/>
        </w:rPr>
        <w:t>元预计将于</w:t>
      </w:r>
      <w:r>
        <w:rPr>
          <w:rFonts w:ascii="宋体" w:eastAsia="宋体" w:hAnsi="宋体" w:cs="宋体"/>
          <w:sz w:val="18"/>
          <w:szCs w:val="18"/>
        </w:rPr>
        <w:t>0</w:t>
      </w:r>
      <w:r>
        <w:rPr>
          <w:rFonts w:ascii="宋体" w:eastAsia="宋体" w:hAnsi="宋体" w:cs="宋体"/>
          <w:sz w:val="18"/>
          <w:szCs w:val="18"/>
        </w:rPr>
        <w:t>年度确认收入，</w:t>
      </w:r>
      <w:r>
        <w:rPr>
          <w:rFonts w:ascii="宋体" w:eastAsia="宋体" w:hAnsi="宋体" w:cs="宋体"/>
          <w:sz w:val="18"/>
          <w:szCs w:val="18"/>
        </w:rPr>
        <w:t>0.00</w:t>
      </w:r>
      <w:r>
        <w:rPr>
          <w:rFonts w:ascii="宋体" w:eastAsia="宋体" w:hAnsi="宋体" w:cs="宋体"/>
          <w:sz w:val="18"/>
          <w:szCs w:val="18"/>
        </w:rPr>
        <w:t>元预计将于</w:t>
      </w:r>
      <w:r>
        <w:rPr>
          <w:rFonts w:ascii="宋体" w:eastAsia="宋体" w:hAnsi="宋体" w:cs="宋体"/>
          <w:sz w:val="18"/>
          <w:szCs w:val="18"/>
        </w:rPr>
        <w:t>0</w:t>
      </w:r>
      <w:r>
        <w:rPr>
          <w:rFonts w:ascii="宋体" w:eastAsia="宋体" w:hAnsi="宋体" w:cs="宋体"/>
          <w:sz w:val="18"/>
          <w:szCs w:val="18"/>
        </w:rPr>
        <w:t>年度确认收入，</w:t>
      </w:r>
      <w:r>
        <w:rPr>
          <w:rFonts w:ascii="宋体" w:eastAsia="宋体" w:hAnsi="宋体" w:cs="宋体"/>
          <w:sz w:val="18"/>
          <w:szCs w:val="18"/>
        </w:rPr>
        <w:t>0.00</w:t>
      </w:r>
      <w:r>
        <w:rPr>
          <w:rFonts w:ascii="宋体" w:eastAsia="宋体" w:hAnsi="宋体" w:cs="宋体"/>
          <w:sz w:val="18"/>
          <w:szCs w:val="18"/>
        </w:rPr>
        <w:t>元预计将于</w:t>
      </w:r>
      <w:r>
        <w:rPr>
          <w:rFonts w:ascii="宋体" w:eastAsia="宋体" w:hAnsi="宋体" w:cs="宋体"/>
          <w:sz w:val="18"/>
          <w:szCs w:val="18"/>
        </w:rPr>
        <w:t>0</w:t>
      </w:r>
      <w:r>
        <w:rPr>
          <w:rFonts w:ascii="宋体" w:eastAsia="宋体" w:hAnsi="宋体" w:cs="宋体"/>
          <w:sz w:val="18"/>
          <w:szCs w:val="18"/>
        </w:rPr>
        <w:t>年度确认收入。</w:t>
      </w:r>
    </w:p>
    <w:p w:rsidR="00A067C6" w:rsidRDefault="005C4966">
      <w:pPr>
        <w:spacing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A067C6" w:rsidRDefault="005C4966">
      <w:pPr>
        <w:pStyle w:val="3"/>
        <w:spacing w:line="280" w:lineRule="exact"/>
        <w:jc w:val="left"/>
        <w:rPr>
          <w:rFonts w:ascii="宋体" w:hAnsi="宋体" w:cs="宋体"/>
          <w:b/>
          <w:bCs/>
        </w:rPr>
      </w:pPr>
      <w:bookmarkStart w:id="501" w:name="_Toc989393"/>
      <w:r>
        <w:rPr>
          <w:rFonts w:ascii="宋体" w:hAnsi="宋体" w:cs="宋体"/>
          <w:b/>
          <w:bCs/>
        </w:rPr>
        <w:t>5</w:t>
      </w:r>
      <w:r>
        <w:rPr>
          <w:rFonts w:ascii="宋体" w:hAnsi="宋体" w:cs="宋体"/>
          <w:b/>
          <w:bCs/>
        </w:rPr>
        <w:t>、投资收益</w:t>
      </w:r>
      <w:bookmarkEnd w:id="501"/>
    </w:p>
    <w:p w:rsidR="00A067C6" w:rsidRDefault="005C4966">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353"/>
        <w:gridCol w:w="2143"/>
        <w:gridCol w:w="2143"/>
      </w:tblGrid>
      <w:tr w:rsidR="00A067C6">
        <w:trPr>
          <w:trHeight w:val="240"/>
        </w:trPr>
        <w:tc>
          <w:tcPr>
            <w:tcW w:w="535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14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2143"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A067C6">
        <w:trPr>
          <w:trHeight w:val="240"/>
        </w:trPr>
        <w:tc>
          <w:tcPr>
            <w:tcW w:w="535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交易性金融资产在持有期间的投资收益</w:t>
            </w:r>
          </w:p>
        </w:tc>
        <w:tc>
          <w:tcPr>
            <w:tcW w:w="214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-3,787,930.42</w:t>
            </w:r>
          </w:p>
        </w:tc>
        <w:tc>
          <w:tcPr>
            <w:tcW w:w="214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r>
      <w:tr w:rsidR="00A067C6">
        <w:trPr>
          <w:trHeight w:val="240"/>
        </w:trPr>
        <w:tc>
          <w:tcPr>
            <w:tcW w:w="535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其他权益工具投资在持有期间取得的股利收入</w:t>
            </w:r>
          </w:p>
        </w:tc>
        <w:tc>
          <w:tcPr>
            <w:tcW w:w="214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14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8,000,000.00</w:t>
            </w:r>
          </w:p>
        </w:tc>
      </w:tr>
      <w:tr w:rsidR="00A067C6">
        <w:trPr>
          <w:trHeight w:val="240"/>
        </w:trPr>
        <w:tc>
          <w:tcPr>
            <w:tcW w:w="535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子公司分红取得的投资收益</w:t>
            </w:r>
          </w:p>
        </w:tc>
        <w:tc>
          <w:tcPr>
            <w:tcW w:w="214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138,581,720.51</w:t>
            </w:r>
          </w:p>
        </w:tc>
        <w:tc>
          <w:tcPr>
            <w:tcW w:w="214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307,295,981.12</w:t>
            </w:r>
          </w:p>
        </w:tc>
      </w:tr>
      <w:tr w:rsidR="00A067C6">
        <w:trPr>
          <w:trHeight w:val="240"/>
        </w:trPr>
        <w:tc>
          <w:tcPr>
            <w:tcW w:w="535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line="240" w:lineRule="exact"/>
              <w:rPr>
                <w:rFonts w:ascii="宋体" w:eastAsia="宋体" w:hAnsi="宋体" w:cs="宋体"/>
                <w:sz w:val="18"/>
                <w:szCs w:val="18"/>
              </w:rPr>
            </w:pPr>
            <w:r>
              <w:rPr>
                <w:rFonts w:ascii="宋体" w:eastAsia="宋体" w:hAnsi="宋体" w:cs="宋体"/>
                <w:sz w:val="18"/>
                <w:szCs w:val="18"/>
              </w:rPr>
              <w:t>理财产品收益</w:t>
            </w:r>
          </w:p>
        </w:tc>
        <w:tc>
          <w:tcPr>
            <w:tcW w:w="2143"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jc w:val="right"/>
              <w:rPr>
                <w:rFonts w:ascii="宋体" w:eastAsia="宋体" w:hAnsi="宋体" w:cs="宋体"/>
                <w:sz w:val="18"/>
                <w:szCs w:val="18"/>
              </w:rPr>
            </w:pPr>
          </w:p>
        </w:tc>
        <w:tc>
          <w:tcPr>
            <w:tcW w:w="214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359,379.85</w:t>
            </w:r>
          </w:p>
        </w:tc>
      </w:tr>
      <w:tr w:rsidR="00A067C6">
        <w:trPr>
          <w:trHeight w:val="240"/>
        </w:trPr>
        <w:tc>
          <w:tcPr>
            <w:tcW w:w="535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14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134,793,790.09</w:t>
            </w:r>
          </w:p>
        </w:tc>
        <w:tc>
          <w:tcPr>
            <w:tcW w:w="2143"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315,655,360.97</w:t>
            </w:r>
          </w:p>
        </w:tc>
      </w:tr>
    </w:tbl>
    <w:p w:rsidR="00A067C6" w:rsidRDefault="005C4966">
      <w:pPr>
        <w:pStyle w:val="3"/>
        <w:spacing w:line="280" w:lineRule="exact"/>
        <w:jc w:val="left"/>
        <w:rPr>
          <w:rFonts w:ascii="宋体" w:hAnsi="宋体" w:cs="宋体"/>
          <w:b/>
          <w:bCs/>
        </w:rPr>
      </w:pPr>
      <w:bookmarkStart w:id="502" w:name="_Toc989394"/>
      <w:r>
        <w:rPr>
          <w:rFonts w:ascii="宋体" w:hAnsi="宋体" w:cs="宋体"/>
          <w:b/>
          <w:bCs/>
        </w:rPr>
        <w:t>6</w:t>
      </w:r>
      <w:r>
        <w:rPr>
          <w:rFonts w:ascii="宋体" w:hAnsi="宋体" w:cs="宋体"/>
          <w:b/>
          <w:bCs/>
        </w:rPr>
        <w:t>、其他</w:t>
      </w:r>
      <w:bookmarkEnd w:id="502"/>
    </w:p>
    <w:p w:rsidR="00A067C6" w:rsidRDefault="005C4966">
      <w:pPr>
        <w:pStyle w:val="a6"/>
        <w:rPr>
          <w:sz w:val="18"/>
          <w:szCs w:val="18"/>
        </w:rPr>
      </w:pPr>
      <w:r>
        <w:rPr>
          <w:rFonts w:hint="eastAsia"/>
          <w:sz w:val="18"/>
          <w:szCs w:val="18"/>
        </w:rPr>
        <w:t>无。</w:t>
      </w:r>
    </w:p>
    <w:p w:rsidR="00A067C6" w:rsidRDefault="005C4966">
      <w:pPr>
        <w:pStyle w:val="2"/>
        <w:spacing w:before="300" w:after="300" w:line="320" w:lineRule="exact"/>
        <w:rPr>
          <w:rFonts w:ascii="宋体" w:eastAsia="宋体" w:hAnsi="宋体" w:cs="宋体"/>
          <w:b/>
          <w:bCs/>
          <w:sz w:val="24"/>
          <w:szCs w:val="24"/>
        </w:rPr>
      </w:pPr>
      <w:bookmarkStart w:id="503" w:name="_Toc989395"/>
      <w:r>
        <w:rPr>
          <w:rFonts w:ascii="宋体" w:eastAsia="宋体" w:hAnsi="宋体" w:cs="宋体"/>
          <w:b/>
          <w:bCs/>
          <w:sz w:val="24"/>
          <w:szCs w:val="24"/>
        </w:rPr>
        <w:t>十八、补充资料</w:t>
      </w:r>
      <w:bookmarkEnd w:id="503"/>
    </w:p>
    <w:p w:rsidR="00A067C6" w:rsidRDefault="005C4966">
      <w:pPr>
        <w:pStyle w:val="3"/>
        <w:spacing w:line="280" w:lineRule="exact"/>
        <w:jc w:val="left"/>
        <w:rPr>
          <w:rFonts w:ascii="宋体" w:hAnsi="宋体" w:cs="宋体"/>
          <w:b/>
          <w:bCs/>
        </w:rPr>
      </w:pPr>
      <w:bookmarkStart w:id="504" w:name="_Toc989396"/>
      <w:r>
        <w:rPr>
          <w:rFonts w:ascii="宋体" w:hAnsi="宋体" w:cs="宋体"/>
          <w:b/>
          <w:bCs/>
        </w:rPr>
        <w:t>1</w:t>
      </w:r>
      <w:r>
        <w:rPr>
          <w:rFonts w:ascii="宋体" w:hAnsi="宋体" w:cs="宋体"/>
          <w:b/>
          <w:bCs/>
        </w:rPr>
        <w:t>、当期非经常性损益明细表</w:t>
      </w:r>
      <w:bookmarkEnd w:id="504"/>
    </w:p>
    <w:p w:rsidR="00A067C6" w:rsidRDefault="005C4966">
      <w:pPr>
        <w:spacing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t>不适用</w:t>
      </w:r>
    </w:p>
    <w:p w:rsidR="00A067C6" w:rsidRDefault="005C4966">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338"/>
        <w:gridCol w:w="1559"/>
        <w:gridCol w:w="742"/>
      </w:tblGrid>
      <w:tr w:rsidR="00A067C6">
        <w:trPr>
          <w:trHeight w:val="240"/>
        </w:trPr>
        <w:tc>
          <w:tcPr>
            <w:tcW w:w="733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742"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说明</w:t>
            </w:r>
          </w:p>
        </w:tc>
      </w:tr>
      <w:tr w:rsidR="00A067C6">
        <w:trPr>
          <w:trHeight w:val="240"/>
        </w:trPr>
        <w:tc>
          <w:tcPr>
            <w:tcW w:w="733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非流动资产处置损益（包括已计提资产减值准备的冲销部分）</w:t>
            </w: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163,412.51</w:t>
            </w:r>
          </w:p>
        </w:tc>
        <w:tc>
          <w:tcPr>
            <w:tcW w:w="74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733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计入当期损益的政府补助（与公司正常经营业务密切相关，符合国家政策规定、按照一定标准定额或定量持续享受的政府补助除外）</w:t>
            </w: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67,978,288.42</w:t>
            </w:r>
          </w:p>
        </w:tc>
        <w:tc>
          <w:tcPr>
            <w:tcW w:w="74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733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委托他人投资或管理资产的损益</w:t>
            </w: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3,887,184.09</w:t>
            </w:r>
          </w:p>
        </w:tc>
        <w:tc>
          <w:tcPr>
            <w:tcW w:w="74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733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-54,747,230.19</w:t>
            </w:r>
          </w:p>
        </w:tc>
        <w:tc>
          <w:tcPr>
            <w:tcW w:w="74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733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除上述各项之外的其他营业外收入和支出</w:t>
            </w: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3,415,740.80</w:t>
            </w:r>
          </w:p>
        </w:tc>
        <w:tc>
          <w:tcPr>
            <w:tcW w:w="74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733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减：所得税影响额</w:t>
            </w: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-419,684.08</w:t>
            </w:r>
          </w:p>
        </w:tc>
        <w:tc>
          <w:tcPr>
            <w:tcW w:w="74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733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少数股东权益影响额</w:t>
            </w: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4,380,700.47</w:t>
            </w:r>
          </w:p>
        </w:tc>
        <w:tc>
          <w:tcPr>
            <w:tcW w:w="742" w:type="dxa"/>
            <w:tcBorders>
              <w:top w:val="single" w:sz="2" w:space="0" w:color="auto"/>
              <w:left w:val="single" w:sz="2" w:space="0" w:color="auto"/>
              <w:bottom w:val="single" w:sz="2" w:space="0" w:color="auto"/>
              <w:right w:val="single" w:sz="2" w:space="0" w:color="auto"/>
            </w:tcBorders>
            <w:vAlign w:val="center"/>
          </w:tcPr>
          <w:p w:rsidR="00A067C6" w:rsidRDefault="00A067C6">
            <w:pPr>
              <w:spacing w:line="240" w:lineRule="exact"/>
              <w:rPr>
                <w:rFonts w:ascii="宋体" w:eastAsia="宋体" w:hAnsi="宋体" w:cs="宋体"/>
                <w:sz w:val="18"/>
                <w:szCs w:val="18"/>
              </w:rPr>
            </w:pPr>
          </w:p>
        </w:tc>
      </w:tr>
      <w:tr w:rsidR="00A067C6">
        <w:trPr>
          <w:trHeight w:val="240"/>
        </w:trPr>
        <w:tc>
          <w:tcPr>
            <w:tcW w:w="7338"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559"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16,736,379.24</w:t>
            </w:r>
          </w:p>
        </w:tc>
        <w:tc>
          <w:tcPr>
            <w:tcW w:w="742"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其他符合非经常性损益定义的损益项目的具体情况：</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spacing w:before="100" w:after="100" w:line="240" w:lineRule="exact"/>
        <w:rPr>
          <w:rFonts w:ascii="宋体" w:eastAsia="宋体" w:hAnsi="宋体" w:cs="宋体"/>
          <w:sz w:val="18"/>
          <w:szCs w:val="18"/>
        </w:rPr>
      </w:pPr>
      <w:r>
        <w:rPr>
          <w:rFonts w:ascii="宋体" w:eastAsia="宋体" w:hAnsi="宋体" w:cs="宋体"/>
          <w:sz w:val="18"/>
          <w:szCs w:val="18"/>
        </w:rPr>
        <w:t>公司不存在其他符合非经常性损益定义的损益项目的具体情况。</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将《公开发行证券的公司信息披露解释性公告第</w:t>
      </w:r>
      <w:r>
        <w:rPr>
          <w:rFonts w:ascii="宋体" w:eastAsia="宋体" w:hAnsi="宋体" w:cs="宋体"/>
          <w:sz w:val="18"/>
          <w:szCs w:val="18"/>
        </w:rPr>
        <w:t>1</w:t>
      </w:r>
      <w:r>
        <w:rPr>
          <w:rFonts w:ascii="宋体" w:eastAsia="宋体" w:hAnsi="宋体" w:cs="宋体"/>
          <w:sz w:val="18"/>
          <w:szCs w:val="18"/>
        </w:rPr>
        <w:t>号</w:t>
      </w:r>
      <w:r>
        <w:rPr>
          <w:rFonts w:ascii="宋体" w:eastAsia="宋体" w:hAnsi="宋体" w:cs="宋体"/>
          <w:sz w:val="18"/>
          <w:szCs w:val="18"/>
        </w:rPr>
        <w:t>——</w:t>
      </w:r>
      <w:r>
        <w:rPr>
          <w:rFonts w:ascii="宋体" w:eastAsia="宋体" w:hAnsi="宋体" w:cs="宋体"/>
          <w:sz w:val="18"/>
          <w:szCs w:val="18"/>
        </w:rPr>
        <w:t>非经常性损益》中列举的非经常性损益项目界定为经常性损益项目的情况说明</w:t>
      </w:r>
    </w:p>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pStyle w:val="3"/>
        <w:spacing w:line="280" w:lineRule="exact"/>
        <w:jc w:val="left"/>
        <w:rPr>
          <w:rFonts w:ascii="宋体" w:hAnsi="宋体" w:cs="宋体"/>
          <w:b/>
          <w:bCs/>
        </w:rPr>
      </w:pPr>
      <w:bookmarkStart w:id="505" w:name="_Toc989397"/>
      <w:r>
        <w:rPr>
          <w:rFonts w:ascii="宋体" w:hAnsi="宋体" w:cs="宋体"/>
          <w:b/>
          <w:bCs/>
        </w:rPr>
        <w:t>2</w:t>
      </w:r>
      <w:r>
        <w:rPr>
          <w:rFonts w:ascii="宋体" w:hAnsi="宋体" w:cs="宋体"/>
          <w:b/>
          <w:bCs/>
        </w:rPr>
        <w:t>、净资产收益率及每股收益</w:t>
      </w:r>
      <w:bookmarkEnd w:id="505"/>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A067C6">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报告期利润</w:t>
            </w:r>
          </w:p>
        </w:tc>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加权平均净资产收益率</w:t>
            </w:r>
          </w:p>
        </w:tc>
        <w:tc>
          <w:tcPr>
            <w:tcW w:w="4820"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每股收益</w:t>
            </w:r>
          </w:p>
        </w:tc>
      </w:tr>
      <w:tr w:rsidR="00A067C6">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A067C6"/>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基本每股收益（元</w:t>
            </w:r>
            <w:r>
              <w:rPr>
                <w:rFonts w:ascii="宋体" w:eastAsia="宋体" w:hAnsi="宋体" w:cs="宋体"/>
                <w:sz w:val="18"/>
                <w:szCs w:val="18"/>
              </w:rPr>
              <w:t>/</w:t>
            </w:r>
            <w:r>
              <w:rPr>
                <w:rFonts w:ascii="宋体" w:eastAsia="宋体" w:hAnsi="宋体" w:cs="宋体"/>
                <w:sz w:val="18"/>
                <w:szCs w:val="18"/>
              </w:rPr>
              <w:t>股）</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jc w:val="center"/>
              <w:rPr>
                <w:rFonts w:ascii="宋体" w:eastAsia="宋体" w:hAnsi="宋体" w:cs="宋体"/>
                <w:sz w:val="18"/>
                <w:szCs w:val="18"/>
              </w:rPr>
            </w:pPr>
            <w:r>
              <w:rPr>
                <w:rFonts w:ascii="宋体" w:eastAsia="宋体" w:hAnsi="宋体" w:cs="宋体"/>
                <w:sz w:val="18"/>
                <w:szCs w:val="18"/>
              </w:rPr>
              <w:t>稀释每股收益（元</w:t>
            </w:r>
            <w:r>
              <w:rPr>
                <w:rFonts w:ascii="宋体" w:eastAsia="宋体" w:hAnsi="宋体" w:cs="宋体"/>
                <w:sz w:val="18"/>
                <w:szCs w:val="18"/>
              </w:rPr>
              <w:t>/</w:t>
            </w:r>
            <w:r>
              <w:rPr>
                <w:rFonts w:ascii="宋体" w:eastAsia="宋体" w:hAnsi="宋体" w:cs="宋体"/>
                <w:sz w:val="18"/>
                <w:szCs w:val="18"/>
              </w:rPr>
              <w:t>股）</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归属于公司普通股股东的净利润</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1.29%</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0.05</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0.05</w:t>
            </w:r>
          </w:p>
        </w:tc>
      </w:tr>
      <w:tr w:rsidR="00A067C6">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067C6" w:rsidRDefault="005C4966">
            <w:pPr>
              <w:spacing w:before="40" w:after="40" w:line="240" w:lineRule="exact"/>
              <w:rPr>
                <w:rFonts w:ascii="宋体" w:eastAsia="宋体" w:hAnsi="宋体" w:cs="宋体"/>
                <w:sz w:val="18"/>
                <w:szCs w:val="18"/>
              </w:rPr>
            </w:pPr>
            <w:r>
              <w:rPr>
                <w:rFonts w:ascii="宋体" w:eastAsia="宋体" w:hAnsi="宋体" w:cs="宋体"/>
                <w:sz w:val="18"/>
                <w:szCs w:val="18"/>
              </w:rPr>
              <w:t>扣除非经常性损益后归属于公司普通股股东的净利润</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1.03%</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0.04</w:t>
            </w:r>
          </w:p>
        </w:tc>
        <w:tc>
          <w:tcPr>
            <w:tcW w:w="2410" w:type="dxa"/>
            <w:tcBorders>
              <w:top w:val="single" w:sz="2" w:space="0" w:color="auto"/>
              <w:left w:val="single" w:sz="2" w:space="0" w:color="auto"/>
              <w:bottom w:val="single" w:sz="2" w:space="0" w:color="auto"/>
              <w:right w:val="single" w:sz="2" w:space="0" w:color="auto"/>
            </w:tcBorders>
            <w:vAlign w:val="center"/>
          </w:tcPr>
          <w:p w:rsidR="00A067C6" w:rsidRDefault="005C4966">
            <w:pPr>
              <w:spacing w:line="240" w:lineRule="exact"/>
              <w:jc w:val="right"/>
              <w:rPr>
                <w:rFonts w:ascii="宋体" w:eastAsia="宋体" w:hAnsi="宋体" w:cs="宋体"/>
                <w:sz w:val="18"/>
                <w:szCs w:val="18"/>
              </w:rPr>
            </w:pPr>
            <w:r>
              <w:rPr>
                <w:rFonts w:ascii="宋体" w:eastAsia="宋体" w:hAnsi="宋体" w:cs="宋体"/>
                <w:sz w:val="18"/>
                <w:szCs w:val="18"/>
              </w:rPr>
              <w:t>0.04</w:t>
            </w:r>
          </w:p>
        </w:tc>
      </w:tr>
    </w:tbl>
    <w:p w:rsidR="00A067C6" w:rsidRDefault="005C4966">
      <w:pPr>
        <w:pStyle w:val="3"/>
        <w:spacing w:line="280" w:lineRule="exact"/>
        <w:jc w:val="left"/>
        <w:rPr>
          <w:rFonts w:ascii="宋体" w:hAnsi="宋体" w:cs="宋体"/>
          <w:b/>
          <w:bCs/>
        </w:rPr>
      </w:pPr>
      <w:bookmarkStart w:id="506" w:name="_Toc989398"/>
      <w:r>
        <w:rPr>
          <w:rFonts w:ascii="宋体" w:hAnsi="宋体" w:cs="宋体"/>
          <w:b/>
          <w:bCs/>
        </w:rPr>
        <w:t>3</w:t>
      </w:r>
      <w:r>
        <w:rPr>
          <w:rFonts w:ascii="宋体" w:hAnsi="宋体" w:cs="宋体"/>
          <w:b/>
          <w:bCs/>
        </w:rPr>
        <w:t>、境内外会计准则下会计数据差异</w:t>
      </w:r>
      <w:bookmarkEnd w:id="506"/>
    </w:p>
    <w:p w:rsidR="00A067C6" w:rsidRDefault="005C4966">
      <w:pPr>
        <w:keepNext/>
        <w:keepLines/>
        <w:spacing w:before="300" w:after="300" w:line="280" w:lineRule="exact"/>
        <w:outlineLvl w:val="3"/>
        <w:rPr>
          <w:rFonts w:ascii="宋体" w:eastAsia="宋体" w:hAnsi="宋体" w:cs="宋体"/>
          <w:b/>
          <w:bCs/>
          <w:szCs w:val="21"/>
        </w:rPr>
      </w:pPr>
      <w:bookmarkStart w:id="507" w:name="_Toc989399"/>
      <w:r>
        <w:rPr>
          <w:rFonts w:ascii="宋体" w:eastAsia="宋体" w:hAnsi="宋体" w:cs="宋体"/>
          <w:b/>
          <w:bCs/>
          <w:szCs w:val="21"/>
        </w:rPr>
        <w:t>（</w:t>
      </w:r>
      <w:r>
        <w:rPr>
          <w:rFonts w:ascii="宋体" w:eastAsia="宋体" w:hAnsi="宋体" w:cs="宋体"/>
          <w:b/>
          <w:bCs/>
          <w:szCs w:val="21"/>
        </w:rPr>
        <w:t>1</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同时按照国际会计准则与按中国会计准则披露的财务报告中净利润和净资产差异情况</w:t>
      </w:r>
      <w:bookmarkEnd w:id="507"/>
    </w:p>
    <w:p w:rsidR="00A067C6" w:rsidRDefault="005C4966">
      <w:pPr>
        <w:spacing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keepNext/>
        <w:keepLines/>
        <w:spacing w:before="300" w:after="300" w:line="280" w:lineRule="exact"/>
        <w:outlineLvl w:val="3"/>
        <w:rPr>
          <w:rFonts w:ascii="宋体" w:eastAsia="宋体" w:hAnsi="宋体" w:cs="宋体"/>
          <w:b/>
          <w:bCs/>
          <w:szCs w:val="21"/>
        </w:rPr>
      </w:pPr>
      <w:bookmarkStart w:id="508" w:name="_Toc989400"/>
      <w:r>
        <w:rPr>
          <w:rFonts w:ascii="宋体" w:eastAsia="宋体" w:hAnsi="宋体" w:cs="宋体"/>
          <w:b/>
          <w:bCs/>
          <w:szCs w:val="21"/>
        </w:rPr>
        <w:t>（</w:t>
      </w:r>
      <w:r>
        <w:rPr>
          <w:rFonts w:ascii="宋体" w:eastAsia="宋体" w:hAnsi="宋体" w:cs="宋体"/>
          <w:b/>
          <w:bCs/>
          <w:szCs w:val="21"/>
        </w:rPr>
        <w:t>2</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同时按照境外会计准则与按中国会计准则披露的财务报告中净利润和净资产差异情况</w:t>
      </w:r>
      <w:bookmarkEnd w:id="508"/>
    </w:p>
    <w:p w:rsidR="00A067C6" w:rsidRDefault="005C4966">
      <w:pPr>
        <w:spacing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A067C6" w:rsidRDefault="005C4966">
      <w:pPr>
        <w:keepNext/>
        <w:keepLines/>
        <w:spacing w:before="300" w:after="300" w:line="280" w:lineRule="exact"/>
        <w:outlineLvl w:val="3"/>
        <w:rPr>
          <w:rFonts w:ascii="宋体" w:eastAsia="宋体" w:hAnsi="宋体" w:cs="宋体"/>
          <w:b/>
          <w:bCs/>
          <w:szCs w:val="21"/>
        </w:rPr>
      </w:pPr>
      <w:bookmarkStart w:id="509" w:name="_Toc989401"/>
      <w:r>
        <w:rPr>
          <w:rFonts w:ascii="宋体" w:eastAsia="宋体" w:hAnsi="宋体" w:cs="宋体"/>
          <w:b/>
          <w:bCs/>
          <w:szCs w:val="21"/>
        </w:rPr>
        <w:t>（</w:t>
      </w:r>
      <w:r>
        <w:rPr>
          <w:rFonts w:ascii="宋体" w:eastAsia="宋体" w:hAnsi="宋体" w:cs="宋体"/>
          <w:b/>
          <w:bCs/>
          <w:szCs w:val="21"/>
        </w:rPr>
        <w:t>3</w:t>
      </w:r>
      <w:r>
        <w:rPr>
          <w:rFonts w:ascii="宋体" w:eastAsia="宋体" w:hAnsi="宋体" w:cs="宋体"/>
          <w:b/>
          <w:bCs/>
          <w:szCs w:val="21"/>
        </w:rPr>
        <w:t>）</w:t>
      </w:r>
      <w:r>
        <w:rPr>
          <w:rFonts w:ascii="宋体" w:eastAsia="宋体" w:hAnsi="宋体" w:cs="宋体"/>
          <w:b/>
          <w:bCs/>
          <w:szCs w:val="21"/>
        </w:rPr>
        <w:t xml:space="preserve"> </w:t>
      </w:r>
      <w:r>
        <w:rPr>
          <w:rFonts w:ascii="宋体" w:eastAsia="宋体" w:hAnsi="宋体" w:cs="宋体"/>
          <w:b/>
          <w:bCs/>
          <w:szCs w:val="21"/>
        </w:rPr>
        <w:t>境内外会计准则下会计数据差异原因说明，对已经境外审计机构审计的数据进行差异调节的，应注明该境外机构的名称</w:t>
      </w:r>
      <w:bookmarkEnd w:id="509"/>
    </w:p>
    <w:p w:rsidR="00A067C6" w:rsidRDefault="005C4966">
      <w:pPr>
        <w:pStyle w:val="a6"/>
        <w:rPr>
          <w:rFonts w:ascii="Times New Roman" w:hAnsi="Times New Roman" w:cs="Times New Roman"/>
        </w:rPr>
      </w:pPr>
      <w:r>
        <w:rPr>
          <w:rFonts w:cs="Times New Roman" w:hint="eastAsia"/>
          <w:sz w:val="18"/>
          <w:szCs w:val="18"/>
        </w:rPr>
        <w:t>无。</w:t>
      </w:r>
    </w:p>
    <w:p w:rsidR="00A067C6" w:rsidRDefault="005C4966">
      <w:pPr>
        <w:pStyle w:val="3"/>
        <w:spacing w:line="280" w:lineRule="exact"/>
        <w:jc w:val="left"/>
        <w:rPr>
          <w:rFonts w:ascii="宋体" w:hAnsi="宋体" w:cs="宋体"/>
          <w:b/>
          <w:bCs/>
        </w:rPr>
      </w:pPr>
      <w:bookmarkStart w:id="510" w:name="_Toc989402"/>
      <w:r>
        <w:rPr>
          <w:rFonts w:ascii="宋体" w:hAnsi="宋体" w:cs="宋体"/>
          <w:b/>
          <w:bCs/>
        </w:rPr>
        <w:t>4</w:t>
      </w:r>
      <w:r>
        <w:rPr>
          <w:rFonts w:ascii="宋体" w:hAnsi="宋体" w:cs="宋体"/>
          <w:b/>
          <w:bCs/>
        </w:rPr>
        <w:t>、其他</w:t>
      </w:r>
      <w:bookmarkEnd w:id="510"/>
    </w:p>
    <w:p w:rsidR="00A067C6" w:rsidRDefault="005C4966">
      <w:pPr>
        <w:pStyle w:val="a6"/>
        <w:rPr>
          <w:rFonts w:cs="Times New Roman"/>
          <w:sz w:val="18"/>
          <w:szCs w:val="18"/>
        </w:rPr>
      </w:pPr>
      <w:r>
        <w:rPr>
          <w:rFonts w:cs="Times New Roman" w:hint="eastAsia"/>
          <w:sz w:val="18"/>
          <w:szCs w:val="18"/>
        </w:rPr>
        <w:t>无。</w:t>
      </w:r>
    </w:p>
    <w:p w:rsidR="00A067C6" w:rsidRDefault="005C4966">
      <w:pPr>
        <w:pStyle w:val="a6"/>
        <w:jc w:val="right"/>
        <w:rPr>
          <w:rFonts w:cs="Times New Roman"/>
          <w:sz w:val="18"/>
          <w:szCs w:val="18"/>
        </w:rPr>
      </w:pPr>
      <w:r>
        <w:rPr>
          <w:rFonts w:cs="Times New Roman" w:hint="eastAsia"/>
          <w:sz w:val="18"/>
          <w:szCs w:val="18"/>
        </w:rPr>
        <w:t>华孚时尚股份有限公司</w:t>
      </w:r>
    </w:p>
    <w:p w:rsidR="00A067C6" w:rsidRDefault="005C4966">
      <w:pPr>
        <w:pStyle w:val="a6"/>
        <w:jc w:val="right"/>
        <w:rPr>
          <w:rFonts w:ascii="Times New Roman" w:hAnsi="Times New Roman" w:cs="Times New Roman"/>
        </w:rPr>
      </w:pPr>
      <w:r>
        <w:rPr>
          <w:rFonts w:cs="Times New Roman" w:hint="eastAsia"/>
          <w:sz w:val="18"/>
          <w:szCs w:val="18"/>
        </w:rPr>
        <w:t>2023</w:t>
      </w:r>
      <w:r>
        <w:rPr>
          <w:rFonts w:cs="Times New Roman" w:hint="eastAsia"/>
          <w:sz w:val="18"/>
          <w:szCs w:val="18"/>
        </w:rPr>
        <w:t>年</w:t>
      </w:r>
      <w:r>
        <w:rPr>
          <w:rFonts w:cs="Times New Roman" w:hint="eastAsia"/>
          <w:sz w:val="18"/>
          <w:szCs w:val="18"/>
        </w:rPr>
        <w:t>8</w:t>
      </w:r>
      <w:r>
        <w:rPr>
          <w:rFonts w:cs="Times New Roman" w:hint="eastAsia"/>
          <w:sz w:val="18"/>
          <w:szCs w:val="18"/>
        </w:rPr>
        <w:t>月</w:t>
      </w:r>
      <w:r>
        <w:rPr>
          <w:rFonts w:cs="Times New Roman" w:hint="eastAsia"/>
          <w:sz w:val="18"/>
          <w:szCs w:val="18"/>
        </w:rPr>
        <w:t>30</w:t>
      </w:r>
      <w:r>
        <w:rPr>
          <w:rFonts w:cs="Times New Roman" w:hint="eastAsia"/>
          <w:sz w:val="18"/>
          <w:szCs w:val="18"/>
        </w:rPr>
        <w:t>日</w:t>
      </w:r>
    </w:p>
    <w:sectPr w:rsidR="00A067C6">
      <w:headerReference w:type="default" r:id="rId13"/>
      <w:footerReference w:type="default" r:id="rId14"/>
      <w:pgSz w:w="11905" w:h="16840"/>
      <w:pgMar w:top="1440" w:right="1134" w:bottom="1440" w:left="1134" w:header="850"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C4966">
      <w:r>
        <w:separator/>
      </w:r>
    </w:p>
  </w:endnote>
  <w:endnote w:type="continuationSeparator" w:id="0">
    <w:p w:rsidR="00000000" w:rsidRDefault="005C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7C6" w:rsidRDefault="005C4966">
    <w:pPr>
      <w:pStyle w:val="fotter1"/>
    </w:pPr>
    <w:r>
      <w:fldChar w:fldCharType="begin"/>
    </w:r>
    <w:r>
      <w:instrText>PAGE   \* MERGEFORMAT</w:instrText>
    </w:r>
    <w:r>
      <w:fldChar w:fldCharType="separate"/>
    </w:r>
    <w:r>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C4966">
      <w:r>
        <w:separator/>
      </w:r>
    </w:p>
  </w:footnote>
  <w:footnote w:type="continuationSeparator" w:id="0">
    <w:p w:rsidR="00000000" w:rsidRDefault="005C4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7C6" w:rsidRDefault="005C4966">
    <w:pPr>
      <w:pStyle w:val="Header1"/>
      <w:pBdr>
        <w:bottom w:val="single" w:sz="6" w:space="1" w:color="auto"/>
      </w:pBdr>
    </w:pPr>
    <w:r>
      <w:t>华孚时尚股份有限公司</w:t>
    </w:r>
    <w:r>
      <w:t>2023</w:t>
    </w:r>
    <w:r>
      <w:t>年半年度报告全文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735F"/>
    <w:multiLevelType w:val="multilevel"/>
    <w:tmpl w:val="0264735F"/>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1">
    <w:nsid w:val="03267961"/>
    <w:multiLevelType w:val="multilevel"/>
    <w:tmpl w:val="03267961"/>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3696F52"/>
    <w:multiLevelType w:val="multilevel"/>
    <w:tmpl w:val="03696F52"/>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07C77E57"/>
    <w:multiLevelType w:val="multilevel"/>
    <w:tmpl w:val="07C77E57"/>
    <w:lvl w:ilvl="0">
      <w:start w:val="2"/>
      <w:numFmt w:val="decimal"/>
      <w:lvlText w:val="%1."/>
      <w:lvlJc w:val="left"/>
      <w:pPr>
        <w:tabs>
          <w:tab w:val="left" w:pos="720"/>
        </w:tabs>
        <w:ind w:left="720" w:hanging="360"/>
      </w:pPr>
    </w:lvl>
    <w:lvl w:ilvl="1">
      <w:start w:val="2"/>
      <w:numFmt w:val="decimal"/>
      <w:lvlText w:val="%2."/>
      <w:lvlJc w:val="left"/>
      <w:pPr>
        <w:tabs>
          <w:tab w:val="left" w:pos="1440"/>
        </w:tabs>
        <w:ind w:left="1440" w:hanging="360"/>
      </w:pPr>
    </w:lvl>
    <w:lvl w:ilvl="2">
      <w:start w:val="2"/>
      <w:numFmt w:val="decimal"/>
      <w:lvlText w:val="%3."/>
      <w:lvlJc w:val="left"/>
      <w:pPr>
        <w:tabs>
          <w:tab w:val="left" w:pos="2160"/>
        </w:tabs>
        <w:ind w:left="2160" w:hanging="360"/>
      </w:pPr>
    </w:lvl>
    <w:lvl w:ilvl="3">
      <w:start w:val="2"/>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0A2F582E"/>
    <w:multiLevelType w:val="multilevel"/>
    <w:tmpl w:val="0A2F582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nsid w:val="0CF26008"/>
    <w:multiLevelType w:val="multilevel"/>
    <w:tmpl w:val="0CF26008"/>
    <w:lvl w:ilvl="0">
      <w:start w:val="6"/>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0E8E1106"/>
    <w:multiLevelType w:val="multilevel"/>
    <w:tmpl w:val="0E8E1106"/>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0F9B7286"/>
    <w:multiLevelType w:val="multilevel"/>
    <w:tmpl w:val="0F9B7286"/>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110760CA"/>
    <w:multiLevelType w:val="multilevel"/>
    <w:tmpl w:val="110760C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1C3E1CCA"/>
    <w:multiLevelType w:val="multilevel"/>
    <w:tmpl w:val="1C3E1CC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1CEC311A"/>
    <w:multiLevelType w:val="multilevel"/>
    <w:tmpl w:val="1CEC311A"/>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1CFB00D7"/>
    <w:multiLevelType w:val="multilevel"/>
    <w:tmpl w:val="1CFB00D7"/>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20271DC9"/>
    <w:multiLevelType w:val="multilevel"/>
    <w:tmpl w:val="20271DC9"/>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2527091C"/>
    <w:multiLevelType w:val="multilevel"/>
    <w:tmpl w:val="2527091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nsid w:val="2585163D"/>
    <w:multiLevelType w:val="multilevel"/>
    <w:tmpl w:val="2585163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nsid w:val="265B1929"/>
    <w:multiLevelType w:val="multilevel"/>
    <w:tmpl w:val="265B1929"/>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nsid w:val="272A3B9E"/>
    <w:multiLevelType w:val="multilevel"/>
    <w:tmpl w:val="272A3B9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nsid w:val="2BBE61B4"/>
    <w:multiLevelType w:val="multilevel"/>
    <w:tmpl w:val="2BBE61B4"/>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nsid w:val="2C07483D"/>
    <w:multiLevelType w:val="multilevel"/>
    <w:tmpl w:val="2C07483D"/>
    <w:lvl w:ilvl="0">
      <w:start w:val="3"/>
      <w:numFmt w:val="decimal"/>
      <w:lvlText w:val="%1."/>
      <w:lvlJc w:val="left"/>
      <w:pPr>
        <w:tabs>
          <w:tab w:val="left" w:pos="720"/>
        </w:tabs>
        <w:ind w:left="720" w:hanging="360"/>
      </w:pPr>
    </w:lvl>
    <w:lvl w:ilvl="1">
      <w:start w:val="3"/>
      <w:numFmt w:val="decimal"/>
      <w:lvlText w:val="%2."/>
      <w:lvlJc w:val="left"/>
      <w:pPr>
        <w:tabs>
          <w:tab w:val="left" w:pos="1440"/>
        </w:tabs>
        <w:ind w:left="1440" w:hanging="360"/>
      </w:pPr>
    </w:lvl>
    <w:lvl w:ilvl="2">
      <w:start w:val="3"/>
      <w:numFmt w:val="decimal"/>
      <w:lvlText w:val="%3."/>
      <w:lvlJc w:val="left"/>
      <w:pPr>
        <w:tabs>
          <w:tab w:val="left" w:pos="2160"/>
        </w:tabs>
        <w:ind w:left="2160" w:hanging="360"/>
      </w:pPr>
    </w:lvl>
    <w:lvl w:ilvl="3">
      <w:start w:val="3"/>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nsid w:val="2D7236A0"/>
    <w:multiLevelType w:val="multilevel"/>
    <w:tmpl w:val="2D7236A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nsid w:val="38A5643D"/>
    <w:multiLevelType w:val="multilevel"/>
    <w:tmpl w:val="38A5643D"/>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nsid w:val="3BB53CE6"/>
    <w:multiLevelType w:val="multilevel"/>
    <w:tmpl w:val="3BB53CE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nsid w:val="3C50049F"/>
    <w:multiLevelType w:val="multilevel"/>
    <w:tmpl w:val="3C50049F"/>
    <w:lvl w:ilvl="0">
      <w:start w:val="4"/>
      <w:numFmt w:val="decimal"/>
      <w:lvlText w:val="%1."/>
      <w:lvlJc w:val="left"/>
      <w:pPr>
        <w:tabs>
          <w:tab w:val="left" w:pos="720"/>
        </w:tabs>
        <w:ind w:left="720" w:hanging="360"/>
      </w:pPr>
    </w:lvl>
    <w:lvl w:ilvl="1">
      <w:start w:val="4"/>
      <w:numFmt w:val="decimal"/>
      <w:lvlText w:val="%2."/>
      <w:lvlJc w:val="left"/>
      <w:pPr>
        <w:tabs>
          <w:tab w:val="left" w:pos="1440"/>
        </w:tabs>
        <w:ind w:left="1440" w:hanging="360"/>
      </w:pPr>
    </w:lvl>
    <w:lvl w:ilvl="2">
      <w:start w:val="4"/>
      <w:numFmt w:val="decimal"/>
      <w:lvlText w:val="%3."/>
      <w:lvlJc w:val="left"/>
      <w:pPr>
        <w:tabs>
          <w:tab w:val="left" w:pos="2160"/>
        </w:tabs>
        <w:ind w:left="2160" w:hanging="360"/>
      </w:pPr>
    </w:lvl>
    <w:lvl w:ilvl="3">
      <w:start w:val="4"/>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nsid w:val="3DD00D2F"/>
    <w:multiLevelType w:val="multilevel"/>
    <w:tmpl w:val="3DD00D2F"/>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nsid w:val="402A4B42"/>
    <w:multiLevelType w:val="multilevel"/>
    <w:tmpl w:val="402A4B4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nsid w:val="41552BB9"/>
    <w:multiLevelType w:val="multilevel"/>
    <w:tmpl w:val="41552BB9"/>
    <w:lvl w:ilvl="0">
      <w:start w:val="2"/>
      <w:numFmt w:val="decimal"/>
      <w:lvlText w:val="%1."/>
      <w:lvlJc w:val="left"/>
      <w:pPr>
        <w:tabs>
          <w:tab w:val="left" w:pos="720"/>
        </w:tabs>
        <w:ind w:left="720" w:hanging="360"/>
      </w:pPr>
    </w:lvl>
    <w:lvl w:ilvl="1">
      <w:start w:val="2"/>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
    <w:nsid w:val="47AE20AA"/>
    <w:multiLevelType w:val="multilevel"/>
    <w:tmpl w:val="47AE20A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7">
    <w:nsid w:val="4878779F"/>
    <w:multiLevelType w:val="multilevel"/>
    <w:tmpl w:val="4878779F"/>
    <w:lvl w:ilvl="0">
      <w:start w:val="5"/>
      <w:numFmt w:val="decimal"/>
      <w:lvlText w:val="%1."/>
      <w:lvlJc w:val="left"/>
      <w:pPr>
        <w:tabs>
          <w:tab w:val="left" w:pos="720"/>
        </w:tabs>
        <w:ind w:left="720" w:hanging="360"/>
      </w:pPr>
    </w:lvl>
    <w:lvl w:ilvl="1">
      <w:start w:val="5"/>
      <w:numFmt w:val="decimal"/>
      <w:lvlText w:val="%2."/>
      <w:lvlJc w:val="left"/>
      <w:pPr>
        <w:tabs>
          <w:tab w:val="left" w:pos="1440"/>
        </w:tabs>
        <w:ind w:left="1440" w:hanging="360"/>
      </w:pPr>
    </w:lvl>
    <w:lvl w:ilvl="2">
      <w:start w:val="5"/>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8">
    <w:nsid w:val="4A34774D"/>
    <w:multiLevelType w:val="multilevel"/>
    <w:tmpl w:val="4A34774D"/>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9">
    <w:nsid w:val="4B66440F"/>
    <w:multiLevelType w:val="multilevel"/>
    <w:tmpl w:val="4B66440F"/>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0">
    <w:nsid w:val="4DBC5C6E"/>
    <w:multiLevelType w:val="multilevel"/>
    <w:tmpl w:val="4DBC5C6E"/>
    <w:lvl w:ilvl="0">
      <w:start w:val="2"/>
      <w:numFmt w:val="decimal"/>
      <w:lvlText w:val="%1."/>
      <w:lvlJc w:val="left"/>
      <w:pPr>
        <w:tabs>
          <w:tab w:val="left" w:pos="720"/>
        </w:tabs>
        <w:ind w:left="720" w:hanging="360"/>
      </w:pPr>
    </w:lvl>
    <w:lvl w:ilvl="1">
      <w:start w:val="2"/>
      <w:numFmt w:val="decimal"/>
      <w:lvlText w:val="%2."/>
      <w:lvlJc w:val="left"/>
      <w:pPr>
        <w:tabs>
          <w:tab w:val="left" w:pos="1440"/>
        </w:tabs>
        <w:ind w:left="1440" w:hanging="360"/>
      </w:pPr>
    </w:lvl>
    <w:lvl w:ilvl="2">
      <w:start w:val="2"/>
      <w:numFmt w:val="decimal"/>
      <w:lvlText w:val="%3."/>
      <w:lvlJc w:val="left"/>
      <w:pPr>
        <w:tabs>
          <w:tab w:val="left" w:pos="2160"/>
        </w:tabs>
        <w:ind w:left="2160" w:hanging="360"/>
      </w:pPr>
    </w:lvl>
    <w:lvl w:ilvl="3">
      <w:start w:val="2"/>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nsid w:val="4DFA283E"/>
    <w:multiLevelType w:val="multilevel"/>
    <w:tmpl w:val="4DFA283E"/>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2">
    <w:nsid w:val="50FE6EE5"/>
    <w:multiLevelType w:val="multilevel"/>
    <w:tmpl w:val="50FE6EE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3">
    <w:nsid w:val="592D6792"/>
    <w:multiLevelType w:val="multilevel"/>
    <w:tmpl w:val="592D679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4">
    <w:nsid w:val="596675FF"/>
    <w:multiLevelType w:val="multilevel"/>
    <w:tmpl w:val="596675F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5">
    <w:nsid w:val="5B8545C0"/>
    <w:multiLevelType w:val="multilevel"/>
    <w:tmpl w:val="5B8545C0"/>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6">
    <w:nsid w:val="5BC449C4"/>
    <w:multiLevelType w:val="multilevel"/>
    <w:tmpl w:val="5BC449C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7">
    <w:nsid w:val="5DF306A2"/>
    <w:multiLevelType w:val="multilevel"/>
    <w:tmpl w:val="5DF306A2"/>
    <w:lvl w:ilvl="0">
      <w:start w:val="5"/>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8">
    <w:nsid w:val="5ECE5A75"/>
    <w:multiLevelType w:val="multilevel"/>
    <w:tmpl w:val="5ECE5A75"/>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9">
    <w:nsid w:val="5FBE4C59"/>
    <w:multiLevelType w:val="multilevel"/>
    <w:tmpl w:val="5FBE4C5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0">
    <w:nsid w:val="621A56B6"/>
    <w:multiLevelType w:val="multilevel"/>
    <w:tmpl w:val="621A56B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1">
    <w:nsid w:val="662B3A32"/>
    <w:multiLevelType w:val="multilevel"/>
    <w:tmpl w:val="662B3A3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nsid w:val="67E93035"/>
    <w:multiLevelType w:val="multilevel"/>
    <w:tmpl w:val="67E9303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nsid w:val="694B27D9"/>
    <w:multiLevelType w:val="multilevel"/>
    <w:tmpl w:val="694B27D9"/>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4">
    <w:nsid w:val="6B02719E"/>
    <w:multiLevelType w:val="multilevel"/>
    <w:tmpl w:val="6B02719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5">
    <w:nsid w:val="6E3D7115"/>
    <w:multiLevelType w:val="multilevel"/>
    <w:tmpl w:val="6E3D7115"/>
    <w:lvl w:ilvl="0">
      <w:start w:val="2"/>
      <w:numFmt w:val="decimal"/>
      <w:lvlText w:val="%1."/>
      <w:lvlJc w:val="left"/>
      <w:pPr>
        <w:tabs>
          <w:tab w:val="left" w:pos="720"/>
        </w:tabs>
        <w:ind w:left="720" w:hanging="360"/>
      </w:pPr>
    </w:lvl>
    <w:lvl w:ilvl="1">
      <w:start w:val="2"/>
      <w:numFmt w:val="decimal"/>
      <w:lvlText w:val="%2."/>
      <w:lvlJc w:val="left"/>
      <w:pPr>
        <w:tabs>
          <w:tab w:val="left" w:pos="1440"/>
        </w:tabs>
        <w:ind w:left="1440" w:hanging="360"/>
      </w:pPr>
    </w:lvl>
    <w:lvl w:ilvl="2">
      <w:start w:val="2"/>
      <w:numFmt w:val="decimal"/>
      <w:lvlText w:val="%3."/>
      <w:lvlJc w:val="left"/>
      <w:pPr>
        <w:tabs>
          <w:tab w:val="left" w:pos="2160"/>
        </w:tabs>
        <w:ind w:left="2160" w:hanging="360"/>
      </w:pPr>
    </w:lvl>
    <w:lvl w:ilvl="3">
      <w:start w:val="2"/>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6">
    <w:nsid w:val="6FE04525"/>
    <w:multiLevelType w:val="multilevel"/>
    <w:tmpl w:val="6FE0452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7">
    <w:nsid w:val="708020F1"/>
    <w:multiLevelType w:val="multilevel"/>
    <w:tmpl w:val="708020F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8">
    <w:nsid w:val="728A6BE1"/>
    <w:multiLevelType w:val="multilevel"/>
    <w:tmpl w:val="728A6BE1"/>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9">
    <w:nsid w:val="768A69A6"/>
    <w:multiLevelType w:val="multilevel"/>
    <w:tmpl w:val="768A69A6"/>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0">
    <w:nsid w:val="78871D0B"/>
    <w:multiLevelType w:val="multilevel"/>
    <w:tmpl w:val="78871D0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1">
    <w:nsid w:val="797835A7"/>
    <w:multiLevelType w:val="multilevel"/>
    <w:tmpl w:val="797835A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2">
    <w:nsid w:val="7CAD48CE"/>
    <w:multiLevelType w:val="multilevel"/>
    <w:tmpl w:val="7CAD48C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3">
    <w:nsid w:val="7E857A2D"/>
    <w:multiLevelType w:val="multilevel"/>
    <w:tmpl w:val="7E857A2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51"/>
  </w:num>
  <w:num w:numId="2">
    <w:abstractNumId w:val="46"/>
  </w:num>
  <w:num w:numId="3">
    <w:abstractNumId w:val="27"/>
  </w:num>
  <w:num w:numId="4">
    <w:abstractNumId w:val="53"/>
  </w:num>
  <w:num w:numId="5">
    <w:abstractNumId w:val="44"/>
  </w:num>
  <w:num w:numId="6">
    <w:abstractNumId w:val="30"/>
  </w:num>
  <w:num w:numId="7">
    <w:abstractNumId w:val="18"/>
  </w:num>
  <w:num w:numId="8">
    <w:abstractNumId w:val="22"/>
  </w:num>
  <w:num w:numId="9">
    <w:abstractNumId w:val="21"/>
  </w:num>
  <w:num w:numId="10">
    <w:abstractNumId w:val="17"/>
  </w:num>
  <w:num w:numId="11">
    <w:abstractNumId w:val="14"/>
  </w:num>
  <w:num w:numId="12">
    <w:abstractNumId w:val="0"/>
  </w:num>
  <w:num w:numId="13">
    <w:abstractNumId w:val="52"/>
  </w:num>
  <w:num w:numId="14">
    <w:abstractNumId w:val="12"/>
  </w:num>
  <w:num w:numId="15">
    <w:abstractNumId w:val="26"/>
  </w:num>
  <w:num w:numId="16">
    <w:abstractNumId w:val="10"/>
  </w:num>
  <w:num w:numId="17">
    <w:abstractNumId w:val="49"/>
  </w:num>
  <w:num w:numId="18">
    <w:abstractNumId w:val="23"/>
  </w:num>
  <w:num w:numId="19">
    <w:abstractNumId w:val="24"/>
  </w:num>
  <w:num w:numId="20">
    <w:abstractNumId w:val="34"/>
  </w:num>
  <w:num w:numId="21">
    <w:abstractNumId w:val="45"/>
  </w:num>
  <w:num w:numId="22">
    <w:abstractNumId w:val="19"/>
  </w:num>
  <w:num w:numId="23">
    <w:abstractNumId w:val="42"/>
  </w:num>
  <w:num w:numId="24">
    <w:abstractNumId w:val="15"/>
  </w:num>
  <w:num w:numId="25">
    <w:abstractNumId w:val="3"/>
  </w:num>
  <w:num w:numId="26">
    <w:abstractNumId w:val="32"/>
  </w:num>
  <w:num w:numId="27">
    <w:abstractNumId w:val="20"/>
  </w:num>
  <w:num w:numId="28">
    <w:abstractNumId w:val="50"/>
  </w:num>
  <w:num w:numId="29">
    <w:abstractNumId w:val="33"/>
  </w:num>
  <w:num w:numId="30">
    <w:abstractNumId w:val="25"/>
  </w:num>
  <w:num w:numId="31">
    <w:abstractNumId w:val="16"/>
  </w:num>
  <w:num w:numId="32">
    <w:abstractNumId w:val="1"/>
  </w:num>
  <w:num w:numId="33">
    <w:abstractNumId w:val="35"/>
  </w:num>
  <w:num w:numId="34">
    <w:abstractNumId w:val="28"/>
  </w:num>
  <w:num w:numId="35">
    <w:abstractNumId w:val="13"/>
  </w:num>
  <w:num w:numId="36">
    <w:abstractNumId w:val="31"/>
  </w:num>
  <w:num w:numId="37">
    <w:abstractNumId w:val="7"/>
  </w:num>
  <w:num w:numId="38">
    <w:abstractNumId w:val="9"/>
  </w:num>
  <w:num w:numId="39">
    <w:abstractNumId w:val="8"/>
  </w:num>
  <w:num w:numId="40">
    <w:abstractNumId w:val="38"/>
  </w:num>
  <w:num w:numId="41">
    <w:abstractNumId w:val="2"/>
  </w:num>
  <w:num w:numId="42">
    <w:abstractNumId w:val="47"/>
  </w:num>
  <w:num w:numId="43">
    <w:abstractNumId w:val="43"/>
  </w:num>
  <w:num w:numId="44">
    <w:abstractNumId w:val="6"/>
  </w:num>
  <w:num w:numId="45">
    <w:abstractNumId w:val="39"/>
  </w:num>
  <w:num w:numId="46">
    <w:abstractNumId w:val="36"/>
  </w:num>
  <w:num w:numId="47">
    <w:abstractNumId w:val="40"/>
  </w:num>
  <w:num w:numId="48">
    <w:abstractNumId w:val="48"/>
  </w:num>
  <w:num w:numId="49">
    <w:abstractNumId w:val="29"/>
  </w:num>
  <w:num w:numId="50">
    <w:abstractNumId w:val="11"/>
  </w:num>
  <w:num w:numId="51">
    <w:abstractNumId w:val="41"/>
  </w:num>
  <w:num w:numId="52">
    <w:abstractNumId w:val="4"/>
  </w:num>
  <w:num w:numId="53">
    <w:abstractNumId w:val="37"/>
  </w:num>
  <w:num w:numId="54">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docVars>
    <w:docVar w:name="commondata" w:val="eyJoZGlkIjoiNzVlODY1MzA0YjNiZDMyMmRlYTlhMDJhYzZhZDQ5ODgifQ=="/>
  </w:docVars>
  <w:rsids>
    <w:rsidRoot w:val="00E62F69"/>
    <w:rsid w:val="00124AEF"/>
    <w:rsid w:val="001854BC"/>
    <w:rsid w:val="001A3F40"/>
    <w:rsid w:val="001B5053"/>
    <w:rsid w:val="001C2C7D"/>
    <w:rsid w:val="001C64DF"/>
    <w:rsid w:val="002039AC"/>
    <w:rsid w:val="002B0AEE"/>
    <w:rsid w:val="002B463E"/>
    <w:rsid w:val="002C1B91"/>
    <w:rsid w:val="00304B40"/>
    <w:rsid w:val="00346D0D"/>
    <w:rsid w:val="00382605"/>
    <w:rsid w:val="004C1599"/>
    <w:rsid w:val="005C4966"/>
    <w:rsid w:val="00605C6C"/>
    <w:rsid w:val="00726C93"/>
    <w:rsid w:val="00762F0F"/>
    <w:rsid w:val="00846B8B"/>
    <w:rsid w:val="00945BC8"/>
    <w:rsid w:val="009867B5"/>
    <w:rsid w:val="009C1951"/>
    <w:rsid w:val="00A067C6"/>
    <w:rsid w:val="00A105F1"/>
    <w:rsid w:val="00B25F21"/>
    <w:rsid w:val="00B54A20"/>
    <w:rsid w:val="00B54D79"/>
    <w:rsid w:val="00B72F50"/>
    <w:rsid w:val="00D51BB1"/>
    <w:rsid w:val="00DD4091"/>
    <w:rsid w:val="00E62F69"/>
    <w:rsid w:val="00EB1CF8"/>
    <w:rsid w:val="00EE2E4F"/>
    <w:rsid w:val="00EE66B1"/>
    <w:rsid w:val="00FD211C"/>
    <w:rsid w:val="2AEC5AA9"/>
    <w:rsid w:val="4ACF1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1"/>
      <w:szCs w:val="22"/>
    </w:r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style>
  <w:style w:type="paragraph" w:styleId="20">
    <w:name w:val="toc 2"/>
    <w:basedOn w:val="a"/>
    <w:next w:val="a"/>
    <w:uiPriority w:val="39"/>
    <w:unhideWhenUsed/>
    <w:qFormat/>
    <w:pPr>
      <w:ind w:leftChars="200" w:left="420"/>
    </w:pPr>
  </w:style>
  <w:style w:type="paragraph" w:styleId="a6">
    <w:name w:val="Normal (Web)"/>
    <w:basedOn w:val="a"/>
    <w:uiPriority w:val="99"/>
    <w:unhideWhenUsed/>
    <w:qFormat/>
    <w:pPr>
      <w:widowControl/>
      <w:spacing w:before="100" w:beforeAutospacing="1" w:after="100" w:afterAutospacing="1"/>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000FF"/>
      <w:u w:val="single"/>
    </w:rPr>
  </w:style>
  <w:style w:type="paragraph" w:customStyle="1" w:styleId="Header1">
    <w:name w:val="Header 1"/>
    <w:qFormat/>
    <w:pPr>
      <w:jc w:val="right"/>
    </w:pPr>
    <w:rPr>
      <w:rFonts w:ascii="宋体" w:eastAsia="宋体"/>
      <w:kern w:val="2"/>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qFormat/>
    <w:pPr>
      <w:jc w:val="right"/>
    </w:pPr>
    <w:rPr>
      <w:rFonts w:ascii="宋体" w:eastAsia="宋体"/>
      <w:kern w:val="2"/>
      <w:sz w:val="18"/>
      <w:szCs w:val="18"/>
    </w:rPr>
  </w:style>
  <w:style w:type="paragraph" w:customStyle="1" w:styleId="15">
    <w:name w:val="15"/>
    <w:basedOn w:val="a"/>
    <w:pPr>
      <w:widowControl/>
      <w:spacing w:before="100" w:beforeAutospacing="1" w:after="100" w:afterAutospacing="1"/>
    </w:pPr>
    <w:rPr>
      <w:rFonts w:ascii="宋体" w:eastAsia="宋体" w:hAnsi="宋体" w:cs="宋体"/>
      <w:kern w:val="0"/>
      <w:sz w:val="24"/>
      <w:szCs w:val="24"/>
    </w:rPr>
  </w:style>
  <w:style w:type="paragraph" w:customStyle="1" w:styleId="-3">
    <w:name w:val="-3"/>
    <w:basedOn w:val="a"/>
    <w:qFormat/>
    <w:pPr>
      <w:widowControl/>
      <w:spacing w:before="100" w:beforeAutospacing="1" w:after="100" w:afterAutospacing="1"/>
    </w:pPr>
    <w:rPr>
      <w:rFonts w:ascii="宋体" w:eastAsia="宋体" w:hAnsi="宋体" w:cs="宋体"/>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1"/>
      <w:szCs w:val="22"/>
    </w:r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style>
  <w:style w:type="paragraph" w:styleId="20">
    <w:name w:val="toc 2"/>
    <w:basedOn w:val="a"/>
    <w:next w:val="a"/>
    <w:uiPriority w:val="39"/>
    <w:unhideWhenUsed/>
    <w:qFormat/>
    <w:pPr>
      <w:ind w:leftChars="200" w:left="420"/>
    </w:pPr>
  </w:style>
  <w:style w:type="paragraph" w:styleId="a6">
    <w:name w:val="Normal (Web)"/>
    <w:basedOn w:val="a"/>
    <w:uiPriority w:val="99"/>
    <w:unhideWhenUsed/>
    <w:qFormat/>
    <w:pPr>
      <w:widowControl/>
      <w:spacing w:before="100" w:beforeAutospacing="1" w:after="100" w:afterAutospacing="1"/>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000FF"/>
      <w:u w:val="single"/>
    </w:rPr>
  </w:style>
  <w:style w:type="paragraph" w:customStyle="1" w:styleId="Header1">
    <w:name w:val="Header 1"/>
    <w:qFormat/>
    <w:pPr>
      <w:jc w:val="right"/>
    </w:pPr>
    <w:rPr>
      <w:rFonts w:ascii="宋体" w:eastAsia="宋体"/>
      <w:kern w:val="2"/>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qFormat/>
    <w:pPr>
      <w:jc w:val="right"/>
    </w:pPr>
    <w:rPr>
      <w:rFonts w:ascii="宋体" w:eastAsia="宋体"/>
      <w:kern w:val="2"/>
      <w:sz w:val="18"/>
      <w:szCs w:val="18"/>
    </w:rPr>
  </w:style>
  <w:style w:type="paragraph" w:customStyle="1" w:styleId="15">
    <w:name w:val="15"/>
    <w:basedOn w:val="a"/>
    <w:pPr>
      <w:widowControl/>
      <w:spacing w:before="100" w:beforeAutospacing="1" w:after="100" w:afterAutospacing="1"/>
    </w:pPr>
    <w:rPr>
      <w:rFonts w:ascii="宋体" w:eastAsia="宋体" w:hAnsi="宋体" w:cs="宋体"/>
      <w:kern w:val="0"/>
      <w:sz w:val="24"/>
      <w:szCs w:val="24"/>
    </w:rPr>
  </w:style>
  <w:style w:type="paragraph" w:customStyle="1" w:styleId="-3">
    <w:name w:val="-3"/>
    <w:basedOn w:val="a"/>
    <w:qFormat/>
    <w:pPr>
      <w:widowControl/>
      <w:spacing w:before="100" w:beforeAutospacing="1" w:after="100" w:afterAutospacing="1"/>
    </w:pPr>
    <w:rPr>
      <w:rFonts w:ascii="宋体" w:eastAsia="宋体" w:hAnsi="宋体" w:cs="宋体"/>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sunx\Documents\WeChat%20Files\wxid_iktunhqy3i8o22\FileStorage\File\2023-08\www.cninfo.com.c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sunx\Documents\WeChat%20Files\wxid_iktunhqy3i8o22\FileStorage\File\2023-08\www.cninfo.com.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sunx\Documents\WeChat%20Files\wxid_iktunhqy3i8o22\FileStorage\File\2023-08\www.cninfo.com.cn" TargetMode="External"/><Relationship Id="rId4" Type="http://schemas.openxmlformats.org/officeDocument/2006/relationships/settings" Target="settings.xml"/><Relationship Id="rId9" Type="http://schemas.openxmlformats.org/officeDocument/2006/relationships/hyperlink" Target="file:///C:\Users\sunx\Documents\WeChat%20Files\wxid_iktunhqy3i8o22\FileStorage\File\2023-08\www.cninfo.com.cn"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162</Pages>
  <Words>23414</Words>
  <Characters>133463</Characters>
  <Application>Microsoft Office Word</Application>
  <DocSecurity>0</DocSecurity>
  <Lines>1112</Lines>
  <Paragraphs>313</Paragraphs>
  <ScaleCrop>false</ScaleCrop>
  <Company/>
  <LinksUpToDate>false</LinksUpToDate>
  <CharactersWithSpaces>156564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16</cp:revision>
  <dcterms:created xsi:type="dcterms:W3CDTF">2023-08-29T02:06:00Z</dcterms:created>
  <dcterms:modified xsi:type="dcterms:W3CDTF">2023-08-29T08:56:00Z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88566DF1D2494A1B97670A80D4A3741E_12</vt:lpwstr>
  </property>
</Properties>
</file>