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5D" w:rsidRDefault="00E0175D">
      <w:pPr>
        <w:spacing w:before="2400" w:line="773" w:lineRule="exact"/>
        <w:jc w:val="center"/>
        <w:rPr>
          <w:rFonts w:ascii="宋体" w:hAnsi="宋体" w:cs="宋体"/>
          <w:b/>
          <w:bCs/>
          <w:sz w:val="36"/>
          <w:szCs w:val="36"/>
        </w:rPr>
      </w:pPr>
      <w:r>
        <w:rPr>
          <w:rFonts w:ascii="宋体" w:hAnsi="宋体" w:cs="宋体" w:hint="eastAsia"/>
          <w:b/>
          <w:bCs/>
          <w:noProof/>
          <w:sz w:val="36"/>
          <w:szCs w:val="36"/>
        </w:rPr>
        <w:drawing>
          <wp:inline distT="0" distB="0" distL="0" distR="0" wp14:anchorId="5610B8D1" wp14:editId="5A8F118D">
            <wp:extent cx="1405890" cy="387985"/>
            <wp:effectExtent l="0" t="0" r="3810" b="0"/>
            <wp:docPr id="2" name="图片 2" descr="C:\Users\sunx\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x\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387985"/>
                    </a:xfrm>
                    <a:prstGeom prst="rect">
                      <a:avLst/>
                    </a:prstGeom>
                    <a:noFill/>
                    <a:ln>
                      <a:noFill/>
                    </a:ln>
                  </pic:spPr>
                </pic:pic>
              </a:graphicData>
            </a:graphic>
          </wp:inline>
        </w:drawing>
      </w:r>
    </w:p>
    <w:p w:rsidR="00C526AC" w:rsidRDefault="00E0175D" w:rsidP="00E0175D">
      <w:pPr>
        <w:spacing w:line="700" w:lineRule="exact"/>
        <w:jc w:val="center"/>
        <w:rPr>
          <w:rFonts w:ascii="宋体" w:hAnsi="宋体" w:cs="宋体"/>
          <w:b/>
          <w:bCs/>
          <w:sz w:val="36"/>
          <w:szCs w:val="36"/>
        </w:rPr>
      </w:pPr>
      <w:r>
        <w:rPr>
          <w:rFonts w:ascii="宋体" w:hAnsi="宋体" w:cs="宋体"/>
          <w:b/>
          <w:bCs/>
          <w:sz w:val="36"/>
          <w:szCs w:val="36"/>
        </w:rPr>
        <w:t>华孚时尚股份有限公司</w:t>
      </w:r>
    </w:p>
    <w:p w:rsidR="00C526AC" w:rsidRDefault="00E0175D" w:rsidP="00E0175D">
      <w:pPr>
        <w:spacing w:line="700" w:lineRule="exact"/>
        <w:jc w:val="center"/>
        <w:rPr>
          <w:rFonts w:ascii="宋体" w:hAnsi="宋体" w:cs="宋体"/>
          <w:b/>
          <w:bCs/>
          <w:sz w:val="32"/>
          <w:szCs w:val="32"/>
        </w:rPr>
      </w:pPr>
      <w:r>
        <w:rPr>
          <w:rFonts w:ascii="宋体" w:hAnsi="宋体" w:cs="宋体"/>
          <w:b/>
          <w:bCs/>
          <w:sz w:val="32"/>
          <w:szCs w:val="32"/>
        </w:rPr>
        <w:t>2022</w:t>
      </w:r>
      <w:r w:rsidR="001C5D95">
        <w:rPr>
          <w:rFonts w:ascii="宋体" w:hAnsi="宋体" w:cs="宋体"/>
          <w:b/>
          <w:bCs/>
          <w:sz w:val="32"/>
          <w:szCs w:val="32"/>
        </w:rPr>
        <w:t>年半年度</w:t>
      </w:r>
      <w:r w:rsidR="001C5D95">
        <w:rPr>
          <w:rFonts w:ascii="宋体" w:hAnsi="宋体" w:cs="宋体" w:hint="eastAsia"/>
          <w:b/>
          <w:bCs/>
          <w:sz w:val="32"/>
          <w:szCs w:val="32"/>
        </w:rPr>
        <w:t>财务报告</w:t>
      </w:r>
    </w:p>
    <w:p w:rsidR="00C526AC" w:rsidRDefault="00C526AC">
      <w:pPr>
        <w:spacing w:before="1000" w:line="240" w:lineRule="exact"/>
        <w:jc w:val="center"/>
        <w:rPr>
          <w:rFonts w:ascii="宋体" w:hAnsi="宋体" w:cs="宋体"/>
          <w:b/>
          <w:bCs/>
          <w:szCs w:val="21"/>
        </w:rPr>
      </w:pPr>
    </w:p>
    <w:p w:rsidR="00C526AC" w:rsidRDefault="00C526AC">
      <w:pPr>
        <w:spacing w:before="1000" w:after="1000" w:line="0" w:lineRule="atLeast"/>
        <w:jc w:val="center"/>
      </w:pPr>
    </w:p>
    <w:p w:rsidR="00C526AC" w:rsidRDefault="00E0175D" w:rsidP="00E0175D">
      <w:pPr>
        <w:jc w:val="center"/>
      </w:pPr>
      <w:r>
        <w:rPr>
          <w:rFonts w:ascii="宋体" w:hAnsi="宋体" w:cs="宋体" w:hint="eastAsia"/>
          <w:b/>
          <w:bCs/>
          <w:sz w:val="32"/>
          <w:szCs w:val="32"/>
        </w:rPr>
        <w:t>2022年08月</w:t>
      </w:r>
      <w:r>
        <w:br w:type="page"/>
      </w:r>
    </w:p>
    <w:p w:rsidR="00C526AC" w:rsidRDefault="00E0175D">
      <w:pPr>
        <w:keepNext/>
        <w:keepLines/>
        <w:spacing w:before="340" w:after="330" w:line="773" w:lineRule="exact"/>
        <w:jc w:val="center"/>
        <w:outlineLvl w:val="0"/>
        <w:rPr>
          <w:rFonts w:ascii="宋体" w:hAnsi="宋体" w:cs="宋体"/>
          <w:b/>
          <w:bCs/>
          <w:sz w:val="32"/>
          <w:szCs w:val="32"/>
        </w:rPr>
      </w:pPr>
      <w:bookmarkStart w:id="0" w:name="_Toc988991"/>
      <w:r>
        <w:rPr>
          <w:rFonts w:ascii="宋体" w:hAnsi="宋体" w:cs="宋体"/>
          <w:b/>
          <w:bCs/>
          <w:sz w:val="32"/>
          <w:szCs w:val="32"/>
        </w:rPr>
        <w:lastRenderedPageBreak/>
        <w:t>财务报告</w:t>
      </w:r>
      <w:bookmarkEnd w:id="0"/>
    </w:p>
    <w:p w:rsidR="00C526AC" w:rsidRDefault="00E0175D">
      <w:pPr>
        <w:keepNext/>
        <w:keepLines/>
        <w:spacing w:before="300" w:after="300" w:line="320" w:lineRule="exact"/>
        <w:jc w:val="left"/>
        <w:outlineLvl w:val="1"/>
        <w:rPr>
          <w:rFonts w:ascii="宋体" w:hAnsi="宋体" w:cs="宋体"/>
          <w:b/>
          <w:bCs/>
          <w:sz w:val="24"/>
          <w:szCs w:val="24"/>
        </w:rPr>
      </w:pPr>
      <w:bookmarkStart w:id="1" w:name="_Toc988992"/>
      <w:r>
        <w:rPr>
          <w:rFonts w:ascii="宋体" w:hAnsi="宋体" w:cs="宋体"/>
          <w:b/>
          <w:bCs/>
          <w:sz w:val="24"/>
          <w:szCs w:val="24"/>
        </w:rPr>
        <w:t>一、审计报告</w:t>
      </w:r>
      <w:bookmarkEnd w:id="1"/>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半年度报告是否经过审计</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□是 </w:t>
      </w:r>
      <w:r>
        <w:rPr>
          <w:rFonts w:ascii="宋体" w:hAnsi="宋体" w:cs="宋体"/>
          <w:sz w:val="18"/>
          <w:szCs w:val="18"/>
        </w:rPr>
        <w:sym w:font="Wingdings 2" w:char="F052"/>
      </w:r>
      <w:r>
        <w:rPr>
          <w:rFonts w:ascii="宋体" w:hAnsi="宋体" w:cs="宋体"/>
          <w:sz w:val="18"/>
          <w:szCs w:val="18"/>
        </w:rPr>
        <w:t>否</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公司半年度财务报告未经审计。</w:t>
      </w:r>
    </w:p>
    <w:p w:rsidR="00C526AC" w:rsidRDefault="00E0175D">
      <w:pPr>
        <w:keepNext/>
        <w:keepLines/>
        <w:spacing w:before="300" w:after="300" w:line="320" w:lineRule="exact"/>
        <w:jc w:val="left"/>
        <w:outlineLvl w:val="1"/>
        <w:rPr>
          <w:rFonts w:ascii="宋体" w:hAnsi="宋体" w:cs="宋体"/>
          <w:b/>
          <w:bCs/>
          <w:sz w:val="24"/>
          <w:szCs w:val="24"/>
        </w:rPr>
      </w:pPr>
      <w:bookmarkStart w:id="2" w:name="_Toc988993"/>
      <w:r>
        <w:rPr>
          <w:rFonts w:ascii="宋体" w:hAnsi="宋体" w:cs="宋体"/>
          <w:b/>
          <w:bCs/>
          <w:sz w:val="24"/>
          <w:szCs w:val="24"/>
        </w:rPr>
        <w:t>二、财务报表</w:t>
      </w:r>
      <w:bookmarkEnd w:id="2"/>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财务附注中报表的单位为：元</w:t>
      </w:r>
    </w:p>
    <w:p w:rsidR="00C526AC" w:rsidRDefault="00E0175D">
      <w:pPr>
        <w:keepNext/>
        <w:keepLines/>
        <w:spacing w:before="300" w:after="300" w:line="280" w:lineRule="exact"/>
        <w:jc w:val="left"/>
        <w:outlineLvl w:val="2"/>
        <w:rPr>
          <w:rFonts w:ascii="宋体" w:hAnsi="宋体" w:cs="宋体"/>
          <w:b/>
          <w:bCs/>
          <w:szCs w:val="21"/>
        </w:rPr>
      </w:pPr>
      <w:bookmarkStart w:id="3" w:name="_Toc988994"/>
      <w:r>
        <w:rPr>
          <w:rFonts w:ascii="宋体" w:hAnsi="宋体" w:cs="宋体"/>
          <w:b/>
          <w:bCs/>
          <w:szCs w:val="21"/>
        </w:rPr>
        <w:t>1、合并资产负债表</w:t>
      </w:r>
      <w:bookmarkEnd w:id="3"/>
    </w:p>
    <w:p w:rsidR="00C526AC" w:rsidRDefault="00E0175D">
      <w:pPr>
        <w:spacing w:line="240" w:lineRule="exact"/>
        <w:jc w:val="left"/>
        <w:rPr>
          <w:rFonts w:ascii="宋体" w:hAnsi="宋体" w:cs="宋体"/>
          <w:sz w:val="18"/>
          <w:szCs w:val="18"/>
        </w:rPr>
      </w:pPr>
      <w:r>
        <w:rPr>
          <w:rFonts w:ascii="宋体" w:hAnsi="宋体" w:cs="宋体"/>
          <w:sz w:val="18"/>
          <w:szCs w:val="18"/>
        </w:rPr>
        <w:t>编制单位：华孚时尚股份有限公司</w:t>
      </w:r>
    </w:p>
    <w:p w:rsidR="00C526AC" w:rsidRDefault="00E0175D">
      <w:pPr>
        <w:spacing w:line="240" w:lineRule="exact"/>
        <w:jc w:val="center"/>
        <w:rPr>
          <w:rFonts w:ascii="宋体" w:hAnsi="宋体" w:cs="宋体"/>
          <w:sz w:val="18"/>
          <w:szCs w:val="18"/>
        </w:rPr>
      </w:pPr>
      <w:r>
        <w:rPr>
          <w:rFonts w:ascii="宋体" w:hAnsi="宋体" w:cs="宋体"/>
          <w:sz w:val="18"/>
          <w:szCs w:val="18"/>
        </w:rPr>
        <w:t>2022年06月30日</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2022年1月1日</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3,245,484,290.93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3,372,047,451.72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538,194,302.48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616,725,654.58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74,691,631.50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76,426,665.25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1,221,570,499.54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921,916,655.19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632,918,283.93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606,832,949.18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258,371,840.39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403,377,393.22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6,224,674,502.95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6,560,654,772.15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1,426,696.10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1,426,696.10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171,436,253.69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283,862,836.17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12,368,768,301.51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12,843,271,073.56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4,019,487.32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3,877,625.34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326,782,160.05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303,919,973.14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78,321,776.31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77,564,736.48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94,376,734.21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96,853,670.97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5,095,239,597.01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4,995,104,339.76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320,101,475.19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428,513,202.25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27,530,498.95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30,467,189.65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935,024,600.83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939,007,447.73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157,486,295.49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157,486,295.49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41,396,685.73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42,930,164.11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124,248,499.31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139,061,967.53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47,248,085.75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80,128,182.87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7,251,775,896.15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7,294,914,795.32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19,620,544,197.66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20,138,185,868.88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8,011,217,479.36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8,426,746,489.54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154,294,471.00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206,404,734.39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1,180,478,983.67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828,339,134.62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8,255,146.43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6,505,048.15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885,205,663.73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1,143,739,643.08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53,892,126.99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89,111,887.02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78,030,987.48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178,434,429.26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267,909,777.77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264,569,603.41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188,140,704.69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256,240,257.89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186,265,477.52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180,946,990.38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11,013,690,818.64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11,581,038,217.74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666,197,818.00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882,631,818.00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23,900,427.29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23,381,798.95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2,950,020.00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3,100,838.22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83,212,881.16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86,189,995.45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27,686,136.20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29,106,931.25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808,314,421.10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1,028,778,520.32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11,822,005,239.74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12,609,816,738.06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500" w:firstLine="900"/>
              <w:jc w:val="left"/>
              <w:rPr>
                <w:rFonts w:ascii="宋体" w:hAnsi="宋体" w:cs="宋体"/>
                <w:sz w:val="18"/>
                <w:szCs w:val="18"/>
              </w:rPr>
            </w:pPr>
            <w:r>
              <w:rPr>
                <w:rFonts w:ascii="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2,767,700,485.27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2,771,248,631.27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-28,715,963.84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-52,730,766.82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255,624,670.66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255,624,670.66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2,626,869,913.76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2,334,373,314.01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7,275,186,100.93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7,009,197,204.12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523,352,856.99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519,171,926.70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7,798,538,957.92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7,528,369,130.82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19,620,544,197.66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20,138,185,868.88</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 xml:space="preserve">法定代表人：孙伟挺    </w:t>
      </w:r>
      <w:r w:rsidR="00C94857">
        <w:rPr>
          <w:rFonts w:ascii="宋体" w:hAnsi="宋体" w:cs="宋体" w:hint="eastAsia"/>
          <w:sz w:val="18"/>
          <w:szCs w:val="18"/>
        </w:rPr>
        <w:t xml:space="preserve">                </w:t>
      </w:r>
      <w:r>
        <w:rPr>
          <w:rFonts w:ascii="宋体" w:hAnsi="宋体" w:cs="宋体"/>
          <w:sz w:val="18"/>
          <w:szCs w:val="18"/>
        </w:rPr>
        <w:t xml:space="preserve">主管会计工作负责人：陈玲芬      </w:t>
      </w:r>
      <w:r w:rsidR="00C94857">
        <w:rPr>
          <w:rFonts w:ascii="宋体" w:hAnsi="宋体" w:cs="宋体" w:hint="eastAsia"/>
          <w:sz w:val="18"/>
          <w:szCs w:val="18"/>
        </w:rPr>
        <w:t xml:space="preserve">             </w:t>
      </w:r>
      <w:r>
        <w:rPr>
          <w:rFonts w:ascii="宋体" w:hAnsi="宋体" w:cs="宋体"/>
          <w:sz w:val="18"/>
          <w:szCs w:val="18"/>
        </w:rPr>
        <w:t>会计机构负责人：王国友</w:t>
      </w:r>
    </w:p>
    <w:p w:rsidR="00C526AC" w:rsidRDefault="00E0175D">
      <w:pPr>
        <w:keepNext/>
        <w:keepLines/>
        <w:spacing w:before="300" w:after="300" w:line="320" w:lineRule="exact"/>
        <w:jc w:val="left"/>
        <w:outlineLvl w:val="2"/>
        <w:rPr>
          <w:rFonts w:ascii="宋体" w:hAnsi="宋体" w:cs="宋体"/>
          <w:b/>
          <w:bCs/>
          <w:sz w:val="24"/>
          <w:szCs w:val="24"/>
        </w:rPr>
      </w:pPr>
      <w:bookmarkStart w:id="4" w:name="_Toc988995"/>
      <w:r>
        <w:rPr>
          <w:rFonts w:ascii="宋体" w:hAnsi="宋体" w:cs="宋体"/>
          <w:b/>
          <w:bCs/>
          <w:sz w:val="24"/>
          <w:szCs w:val="24"/>
        </w:rPr>
        <w:t>2、母公司资产负债表</w:t>
      </w:r>
      <w:bookmarkEnd w:id="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2022年1月1日</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480,801,587.61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823,760,725.81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100,010,000.00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1,385,964.94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2,567,500.00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14,250.00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7,976,500.89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76,059,909.68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8,972,111.34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47E0A">
            <w:pPr>
              <w:spacing w:line="240" w:lineRule="exact"/>
              <w:jc w:val="right"/>
              <w:rPr>
                <w:rFonts w:ascii="宋体" w:hAnsi="宋体" w:cs="宋体"/>
                <w:sz w:val="18"/>
                <w:szCs w:val="18"/>
              </w:rPr>
            </w:pPr>
            <w:r w:rsidRPr="00C47E0A">
              <w:rPr>
                <w:rFonts w:ascii="宋体" w:hAnsi="宋体" w:cs="宋体"/>
                <w:sz w:val="18"/>
                <w:szCs w:val="18"/>
              </w:rPr>
              <w:t>254,674,800.42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777,033,934.18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7,295,981.12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305,396,820.25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195,901,945.32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18,047,622.79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27,998,853.90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47E0A">
            <w:pPr>
              <w:spacing w:line="240" w:lineRule="exact"/>
              <w:jc w:val="right"/>
              <w:rPr>
                <w:rFonts w:ascii="宋体" w:hAnsi="宋体" w:cs="宋体"/>
                <w:sz w:val="18"/>
                <w:szCs w:val="18"/>
              </w:rPr>
            </w:pPr>
            <w:r w:rsidRPr="00C47E0A">
              <w:rPr>
                <w:rFonts w:ascii="宋体" w:hAnsi="宋体" w:cs="宋体"/>
                <w:sz w:val="18"/>
                <w:szCs w:val="18"/>
              </w:rPr>
              <w:t>1,236,390,955.69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1,844,221,571.44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47E0A">
            <w:pPr>
              <w:spacing w:line="240" w:lineRule="exact"/>
              <w:jc w:val="right"/>
              <w:rPr>
                <w:rFonts w:ascii="宋体" w:hAnsi="宋体" w:cs="宋体"/>
                <w:sz w:val="18"/>
                <w:szCs w:val="18"/>
              </w:rPr>
            </w:pPr>
            <w:r w:rsidRPr="00C47E0A">
              <w:rPr>
                <w:rFonts w:ascii="宋体" w:hAnsi="宋体" w:cs="宋体"/>
                <w:sz w:val="18"/>
                <w:szCs w:val="18"/>
              </w:rPr>
              <w:t>4,414,907,400.06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3,970,417,400.06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55,159,830.41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54,402,790.58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620,495,641.74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347,503,710.51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26,127,841.55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228,371,687.77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174,884,847.04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176,991,992.07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4,549,183.85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2,905,819.15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2,967,237.56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7,966,111.71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43,138,386.49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47E0A">
            <w:pPr>
              <w:spacing w:line="240" w:lineRule="exact"/>
              <w:jc w:val="right"/>
              <w:rPr>
                <w:rFonts w:ascii="宋体" w:hAnsi="宋体" w:cs="宋体"/>
                <w:sz w:val="18"/>
                <w:szCs w:val="18"/>
              </w:rPr>
            </w:pPr>
            <w:r w:rsidRPr="00C47E0A">
              <w:rPr>
                <w:rFonts w:ascii="宋体" w:hAnsi="宋体" w:cs="宋体"/>
                <w:sz w:val="18"/>
                <w:szCs w:val="18"/>
              </w:rPr>
              <w:t>5,306,996,675.51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4,823,793,205.04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47E0A">
            <w:pPr>
              <w:spacing w:line="240" w:lineRule="exact"/>
              <w:jc w:val="right"/>
              <w:rPr>
                <w:rFonts w:ascii="宋体" w:hAnsi="宋体" w:cs="宋体"/>
                <w:sz w:val="18"/>
                <w:szCs w:val="18"/>
              </w:rPr>
            </w:pPr>
            <w:r w:rsidRPr="00C47E0A">
              <w:rPr>
                <w:rFonts w:ascii="宋体" w:hAnsi="宋体" w:cs="宋体"/>
                <w:sz w:val="18"/>
                <w:szCs w:val="18"/>
              </w:rPr>
              <w:t>6,543,387,631.20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6,668,014,776.48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90,000,000.00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331,237,608.27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183,699,846.71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478,060,960.27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1,046,343,440.07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6,772,264.76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7,842,011.75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2,225,546.27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9,621,185.88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208,803,384.73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174,472,558.06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286,373.91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1,117,099,764.30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1,512,265,416.38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3,533,340.27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2,581,818.00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8,166,708.00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8,414,184.00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2,531,955.09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2,418,399.11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14,232,003.36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13,414,401.11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1,131,331,767.66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1,525,679,817.49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500" w:firstLine="900"/>
              <w:jc w:val="left"/>
              <w:rPr>
                <w:rFonts w:ascii="宋体" w:hAnsi="宋体" w:cs="宋体"/>
                <w:sz w:val="18"/>
                <w:szCs w:val="18"/>
              </w:rPr>
            </w:pPr>
            <w:r>
              <w:rPr>
                <w:rFonts w:ascii="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3,106,930,758.15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3,106,930,758.15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14,347,745.32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13,704,261.47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224,029,232.13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224,029,232.13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413,041,132.86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96,989,352.24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5,412,055,863.54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5,142,334,958.99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6,543,387,631.20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6,668,014,776.48</w:t>
            </w:r>
          </w:p>
        </w:tc>
      </w:tr>
    </w:tbl>
    <w:p w:rsidR="00C526AC" w:rsidRDefault="00E0175D">
      <w:pPr>
        <w:keepNext/>
        <w:keepLines/>
        <w:spacing w:before="300" w:after="300" w:line="280" w:lineRule="exact"/>
        <w:jc w:val="left"/>
        <w:outlineLvl w:val="2"/>
        <w:rPr>
          <w:rFonts w:ascii="宋体" w:hAnsi="宋体" w:cs="宋体"/>
          <w:b/>
          <w:bCs/>
          <w:szCs w:val="21"/>
        </w:rPr>
      </w:pPr>
      <w:bookmarkStart w:id="5" w:name="_Toc988996"/>
      <w:r>
        <w:rPr>
          <w:rFonts w:ascii="宋体" w:hAnsi="宋体" w:cs="宋体"/>
          <w:b/>
          <w:bCs/>
          <w:szCs w:val="21"/>
        </w:rPr>
        <w:t>3、合并利润表</w:t>
      </w:r>
      <w:bookmarkEnd w:id="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2021年半年度</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8,535,970,102.43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8,554,860,073.97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8,535,970,102.43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8,554,860,073.97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8,238,224,497.18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8,339,948,807.53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7,763,742,768.20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7,881,614,859.22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30,348,134.66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30,396,267.43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67,971,661.01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57,281,746.11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181,368,278.88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180,729,521.11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59,396,311.64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57,438,094.25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135,397,342.79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132,488,319.41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148,584,419.08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141,441,403.98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800" w:firstLine="1440"/>
              <w:jc w:val="left"/>
              <w:rPr>
                <w:rFonts w:ascii="宋体" w:hAnsi="宋体" w:cs="宋体"/>
                <w:sz w:val="18"/>
                <w:szCs w:val="18"/>
              </w:rPr>
            </w:pPr>
            <w:r>
              <w:rPr>
                <w:rFonts w:ascii="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15,842,714.37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8,408,641.36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24,267,340.56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19,595,837.87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18,675,476.46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17,110,732.34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800" w:firstLine="1440"/>
              <w:jc w:val="left"/>
              <w:rPr>
                <w:rFonts w:ascii="宋体" w:hAnsi="宋体" w:cs="宋体"/>
                <w:sz w:val="18"/>
                <w:szCs w:val="18"/>
              </w:rPr>
            </w:pPr>
            <w:r>
              <w:rPr>
                <w:rFonts w:ascii="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-45,109,812.62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29,344,656.28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4,839,951.85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-17,626,531.75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-5,262,481.92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17,837,552.28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6,491,085.07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50,089,498.14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301,647,164.65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331,263,011.60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17,581,962.34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1,044,262.84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1,398,559.80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5,629,912.96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317,830,567.19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326,677,361.48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16,575,402.53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12,782,245.73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301,255,164.66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313,895,115.75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1.归属于母公司所有者的净利润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292,496,599.75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301,642,936.42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8,758,564.91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12,252,179.33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24,014,802.98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-58,782,615.95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24,014,802.98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-58,782,615.95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-165,576.07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-165,576.07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23,371,319.13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-58,617,039.88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23,371,319.13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-58,617,039.88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325,269,967.64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255,112,499.80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316,511,402.73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242,860,320.47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8,758,564.91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12,252,179.33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0.17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0.20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0.17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0.20</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本期发生同一控制下企业合并的，被合并方在合并前实现的净利润为：0.00元，上期被合并方实现的净利润为：0.00元。</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法定代表人：孙伟挺    主管会计工作负责人：陈玲芬    会计机构负责人：王国友</w:t>
      </w:r>
    </w:p>
    <w:p w:rsidR="00C526AC" w:rsidRDefault="00E0175D">
      <w:pPr>
        <w:keepNext/>
        <w:keepLines/>
        <w:spacing w:before="300" w:after="300" w:line="280" w:lineRule="exact"/>
        <w:jc w:val="left"/>
        <w:outlineLvl w:val="2"/>
        <w:rPr>
          <w:rFonts w:ascii="宋体" w:hAnsi="宋体" w:cs="宋体"/>
          <w:b/>
          <w:bCs/>
          <w:szCs w:val="21"/>
        </w:rPr>
      </w:pPr>
      <w:bookmarkStart w:id="6" w:name="_Toc988997"/>
      <w:r>
        <w:rPr>
          <w:rFonts w:ascii="宋体" w:hAnsi="宋体" w:cs="宋体"/>
          <w:b/>
          <w:bCs/>
          <w:szCs w:val="21"/>
        </w:rPr>
        <w:t>4、母公司利润表</w:t>
      </w:r>
      <w:bookmarkEnd w:id="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2021年半年度</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392,597,745.49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291,361,856.66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358,660,654.44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283,323,480.14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4,511,247.06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3,115,677.94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45,498.24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42,786.93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14,035,148.87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14,002,213.55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17,924,984.29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12,465,377.64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3,937,695.53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-349,356.43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548,166.65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916,368.97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700" w:firstLine="1260"/>
              <w:jc w:val="left"/>
              <w:rPr>
                <w:rFonts w:ascii="宋体" w:hAnsi="宋体" w:cs="宋体"/>
                <w:sz w:val="18"/>
                <w:szCs w:val="18"/>
              </w:rPr>
            </w:pPr>
            <w:r>
              <w:rPr>
                <w:rFonts w:ascii="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858,631.49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-617,728.54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6,112,025.46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2,136,461.46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315,655,360.97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95,105,126.45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700" w:firstLine="1260"/>
              <w:jc w:val="left"/>
              <w:rPr>
                <w:rFonts w:ascii="宋体" w:hAnsi="宋体" w:cs="宋体"/>
                <w:sz w:val="18"/>
                <w:szCs w:val="18"/>
              </w:rPr>
            </w:pPr>
            <w:r>
              <w:rPr>
                <w:rFonts w:ascii="宋体" w:hAnsi="宋体" w:cs="宋体"/>
                <w:sz w:val="18"/>
                <w:szCs w:val="18"/>
              </w:rPr>
              <w:t>以摊余成本计量的金融资产终止确认收益（损失以“-”号填列）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409,456.03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-1,400,951.38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-9,255.07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39,973,800.31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315,650,104.45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114,576,113.73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463,094.58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7,860.24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-0.21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316,113,199.03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114,583,974.18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61,418.41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-210,142.70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四、净利润（净亏损以“－”号填列）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316,051,780.62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114,794,116.88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316,051,780.62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114,794,116.88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-165,576.07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-165,576.07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-165,576.07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200" w:firstLine="360"/>
              <w:jc w:val="left"/>
              <w:rPr>
                <w:rFonts w:ascii="宋体" w:hAnsi="宋体" w:cs="宋体"/>
                <w:sz w:val="18"/>
                <w:szCs w:val="18"/>
              </w:rPr>
            </w:pPr>
            <w:r>
              <w:rPr>
                <w:rFonts w:ascii="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300" w:firstLine="540"/>
              <w:jc w:val="left"/>
              <w:rPr>
                <w:rFonts w:ascii="宋体" w:hAnsi="宋体" w:cs="宋体"/>
                <w:sz w:val="18"/>
                <w:szCs w:val="18"/>
              </w:rPr>
            </w:pPr>
            <w:r>
              <w:rPr>
                <w:rFonts w:ascii="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316,695,264.47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114,628,540.81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bl>
    <w:p w:rsidR="00C526AC" w:rsidRDefault="00E0175D">
      <w:pPr>
        <w:keepNext/>
        <w:keepLines/>
        <w:spacing w:before="300" w:after="300" w:line="280" w:lineRule="exact"/>
        <w:jc w:val="left"/>
        <w:outlineLvl w:val="2"/>
        <w:rPr>
          <w:rFonts w:ascii="宋体" w:hAnsi="宋体" w:cs="宋体"/>
          <w:b/>
          <w:bCs/>
          <w:szCs w:val="21"/>
        </w:rPr>
      </w:pPr>
      <w:bookmarkStart w:id="7" w:name="_Toc988998"/>
      <w:r>
        <w:rPr>
          <w:rFonts w:ascii="宋体" w:hAnsi="宋体" w:cs="宋体"/>
          <w:b/>
          <w:bCs/>
          <w:szCs w:val="21"/>
        </w:rPr>
        <w:t>5、合并现金流量表</w:t>
      </w:r>
      <w:bookmarkEnd w:id="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2021年半年度</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8,130,535,553.09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9,429,553,038.30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94,598,417.08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36,229,684.92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518,878,126.28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264,209,468.74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8,744,012,096.45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9,729,992,191.96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6,504,248,880.15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7,012,678,679.81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558,186,897.21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447,469,146.26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231,080,731.63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127,735,254.68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685,058,536.95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357,077,077.62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7,978,575,045.94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7,944,960,158.37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765,437,050.51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1,785,032,033.59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11,734,817.29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54,584,302.30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24,311,171.03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13,575,404.00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11,898,349.30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50,234,972.42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719,544,277.65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181,989,093.69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799,438,801.24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268,433,586.44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86,513,997.92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78,215,066.75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140,000,000.00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88,550,811.76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321,276,969.66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406,744,344.18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547,790,967.58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573,510,222.69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251,647,833.66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-305,076,636.25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5,763,560,787.61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5,844,421,399.00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195,207,287.32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44,098,855.86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5,958,768,074.93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5,888,520,254.86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6,535,160,396.56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7,765,794,211.82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398,842,710.90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107,168,825.58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807,939,294.39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210,740,175.80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7,741,942,401.85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8,083,703,213.20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-1,783,174,326.92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-2,195,182,958.34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16,350,299.26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-28,483,675.70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-749,739,143.49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-743,711,236.70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2,395,731,098.44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2,064,961,873.19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1,645,991,954.95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1,321,250,636.49</w:t>
            </w:r>
          </w:p>
        </w:tc>
      </w:tr>
    </w:tbl>
    <w:p w:rsidR="00C526AC" w:rsidRDefault="00E0175D">
      <w:pPr>
        <w:keepNext/>
        <w:keepLines/>
        <w:spacing w:before="300" w:after="300" w:line="280" w:lineRule="exact"/>
        <w:jc w:val="left"/>
        <w:outlineLvl w:val="2"/>
        <w:rPr>
          <w:rFonts w:ascii="宋体" w:hAnsi="宋体" w:cs="宋体"/>
          <w:b/>
          <w:bCs/>
          <w:szCs w:val="21"/>
        </w:rPr>
      </w:pPr>
      <w:bookmarkStart w:id="8" w:name="_Toc988999"/>
      <w:r>
        <w:rPr>
          <w:rFonts w:ascii="宋体" w:hAnsi="宋体" w:cs="宋体"/>
          <w:b/>
          <w:bCs/>
          <w:szCs w:val="21"/>
        </w:rPr>
        <w:t>6、母公司现金流量表</w:t>
      </w:r>
      <w:bookmarkEnd w:id="8"/>
    </w:p>
    <w:p w:rsidR="00C526AC" w:rsidRDefault="00E0175D">
      <w:pPr>
        <w:spacing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2022年半年度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2021年半年度</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1,567,351,307.63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2,698,642,803.17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25,295,126.10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2,459,578.68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140,627,591.34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112,320,111.61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1,733,274,025.07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2,813,422,493.46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2,094,625,992.58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2,749,656,006.30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57,066,460.06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56,869,589.77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25,187,787.13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5,277,433.08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104,649,433.40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82,068,694.64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2,281,529,673.17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2,893,871,723.79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-548,255,648.10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-80,449,230.33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408,359,379.85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8,027,022.47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1,080,700.00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108,000.00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53,920,000.00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409,440,079.85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62,055,022.47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57,183,925.34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23,244,593.71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45,210,000.00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157,183,925.34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68,454,593.71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252,256,154.51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-6,399,571.24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46,967,343.93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46,967,343.93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-46,967,343.93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14,715.31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11,175.44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-342,952,122.21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-86,837,626.13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ind w:firstLineChars="100" w:firstLine="180"/>
              <w:jc w:val="left"/>
              <w:rPr>
                <w:rFonts w:ascii="宋体" w:hAnsi="宋体" w:cs="宋体"/>
                <w:sz w:val="18"/>
                <w:szCs w:val="18"/>
              </w:rPr>
            </w:pPr>
            <w:r>
              <w:rPr>
                <w:rFonts w:ascii="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792,735,638.54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90,527,272.00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449,783,516.33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3,689,645.87</w:t>
            </w:r>
          </w:p>
        </w:tc>
      </w:tr>
    </w:tbl>
    <w:p w:rsidR="00164D18" w:rsidRDefault="00164D18">
      <w:pPr>
        <w:keepNext/>
        <w:keepLines/>
        <w:spacing w:before="300" w:after="300" w:line="280" w:lineRule="exact"/>
        <w:jc w:val="left"/>
        <w:outlineLvl w:val="2"/>
        <w:rPr>
          <w:rFonts w:ascii="宋体" w:hAnsi="宋体" w:cs="宋体"/>
          <w:b/>
          <w:bCs/>
          <w:szCs w:val="21"/>
        </w:rPr>
        <w:sectPr w:rsidR="00164D18">
          <w:headerReference w:type="default" r:id="rId9"/>
          <w:footerReference w:type="default" r:id="rId10"/>
          <w:pgSz w:w="11905" w:h="16840"/>
          <w:pgMar w:top="1440" w:right="1134" w:bottom="1440" w:left="1134" w:header="850" w:footer="992" w:gutter="0"/>
          <w:cols w:space="720"/>
          <w:docGrid w:type="linesAndChars" w:linePitch="312"/>
        </w:sectPr>
      </w:pPr>
      <w:bookmarkStart w:id="9" w:name="_Toc989000"/>
    </w:p>
    <w:p w:rsidR="00C526AC" w:rsidRDefault="00E0175D">
      <w:pPr>
        <w:keepNext/>
        <w:keepLines/>
        <w:spacing w:before="300" w:after="300" w:line="280" w:lineRule="exact"/>
        <w:jc w:val="left"/>
        <w:outlineLvl w:val="2"/>
        <w:rPr>
          <w:rFonts w:ascii="宋体" w:hAnsi="宋体" w:cs="宋体"/>
          <w:b/>
          <w:bCs/>
          <w:szCs w:val="21"/>
        </w:rPr>
      </w:pPr>
      <w:r>
        <w:rPr>
          <w:rFonts w:ascii="宋体" w:hAnsi="宋体" w:cs="宋体"/>
          <w:b/>
          <w:bCs/>
          <w:szCs w:val="21"/>
        </w:rPr>
        <w:t>7、合并所有者权益变动表</w:t>
      </w:r>
      <w:bookmarkEnd w:id="9"/>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本期金额</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14856"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47"/>
        <w:gridCol w:w="866"/>
        <w:gridCol w:w="866"/>
        <w:gridCol w:w="866"/>
        <w:gridCol w:w="866"/>
        <w:gridCol w:w="867"/>
        <w:gridCol w:w="867"/>
        <w:gridCol w:w="867"/>
        <w:gridCol w:w="867"/>
        <w:gridCol w:w="867"/>
        <w:gridCol w:w="867"/>
        <w:gridCol w:w="867"/>
        <w:gridCol w:w="867"/>
        <w:gridCol w:w="874"/>
        <w:gridCol w:w="867"/>
        <w:gridCol w:w="868"/>
      </w:tblGrid>
      <w:tr w:rsidR="00C526AC" w:rsidTr="00164D18">
        <w:trPr>
          <w:trHeight w:val="168"/>
          <w:jc w:val="center"/>
        </w:trPr>
        <w:tc>
          <w:tcPr>
            <w:tcW w:w="184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300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2022年半年度</w:t>
            </w:r>
          </w:p>
        </w:tc>
      </w:tr>
      <w:tr w:rsidR="00C526AC" w:rsidTr="00164D18">
        <w:trPr>
          <w:trHeight w:val="168"/>
          <w:jc w:val="center"/>
        </w:trPr>
        <w:tc>
          <w:tcPr>
            <w:tcW w:w="184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127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归属于母公司所有者权益</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0" w:lineRule="atLeast"/>
              <w:jc w:val="center"/>
              <w:rPr>
                <w:rFonts w:ascii="宋体" w:hAnsi="宋体" w:cs="宋体"/>
                <w:sz w:val="18"/>
                <w:szCs w:val="18"/>
              </w:rPr>
            </w:pPr>
            <w:r>
              <w:rPr>
                <w:rFonts w:ascii="宋体" w:hAnsi="宋体" w:cs="宋体"/>
                <w:sz w:val="18"/>
                <w:szCs w:val="18"/>
              </w:rPr>
              <w:t>少数股东权益</w:t>
            </w:r>
          </w:p>
        </w:tc>
        <w:tc>
          <w:tcPr>
            <w:tcW w:w="86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所有者权益合计</w:t>
            </w:r>
          </w:p>
        </w:tc>
      </w:tr>
      <w:tr w:rsidR="00164D18" w:rsidTr="00164D18">
        <w:trPr>
          <w:trHeight w:val="168"/>
          <w:jc w:val="center"/>
        </w:trPr>
        <w:tc>
          <w:tcPr>
            <w:tcW w:w="184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股本</w:t>
            </w:r>
          </w:p>
        </w:tc>
        <w:tc>
          <w:tcPr>
            <w:tcW w:w="259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其他权益工具</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资本公积</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减：库存股</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其他综合收益</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专项储备</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盈余公积</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一般风险准备</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未分配利润</w:t>
            </w:r>
          </w:p>
        </w:tc>
        <w:tc>
          <w:tcPr>
            <w:tcW w:w="86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8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小计</w:t>
            </w:r>
          </w:p>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164D18" w:rsidTr="00164D18">
        <w:trPr>
          <w:trHeight w:val="168"/>
          <w:jc w:val="center"/>
        </w:trPr>
        <w:tc>
          <w:tcPr>
            <w:tcW w:w="184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优先股</w:t>
            </w:r>
          </w:p>
        </w:tc>
        <w:tc>
          <w:tcPr>
            <w:tcW w:w="86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永续债</w:t>
            </w:r>
          </w:p>
        </w:tc>
        <w:tc>
          <w:tcPr>
            <w:tcW w:w="86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一、上年期末余额</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2,771,248,631.27</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-52,730,766.82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255,624,670.66</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2,334,373,314.01</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7,009,197,204.12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519,171,926.70</w:t>
            </w: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7,528,369,130.82</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加：会计政策变更</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bookmarkStart w:id="10" w:name="_GoBack"/>
            <w:bookmarkEnd w:id="10"/>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前期差错更正</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同一控制下企业合并</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其他</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二、本年期初余额</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2,771,248,631.27</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-52,730,766.82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255,624,670.66</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2,334,373,314.01</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7,009,197,204.12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519,171,926.70</w:t>
            </w: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7,528,369,130.82</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三、本期增减变动金额（减少以“－”号填列）</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-3,548,146.00</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24,014,802.98</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292,496,599.75</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265,988,896.81</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4,180,930.29</w:t>
            </w: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270,169,827.10</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（一）综合收益总额</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24,014,802.98</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292,496,599.75</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316,511,402.73</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8,758,564.91</w:t>
            </w: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325,269,967.64</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（二）所有者投入和减少资本</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-3,548,146.00</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-50,522,505.92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-50,522,505.92</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1．所有者投入的普通股</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2．其他权益工具持有者投入资本</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3．股份支付计入所有者权益的金额</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4．其他</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-3,548,146.00</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-50,522,505.92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-50,522,505.92</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（三）利润分配</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-4,577,634.62</w:t>
            </w: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-4,577,634.62</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1．提取盈余公积</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2．提取一般风险准备</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3．对所有者（或股东）的分配</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-4,577,634.62</w:t>
            </w: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-4,577,634.62</w:t>
            </w: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4．其他</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（四）所有者权益内部结转</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1．资本公积转增资本（或股本）</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2．盈余公积转增资本（或股本）</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3．盈余公积弥补亏损</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4．设定受益计划变动额结转留存收益</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5．其他综合收益结转留存收益</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6．其他</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（五）专项储备</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1．本期提取</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2．本期使用</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（六）其他</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68"/>
          <w:jc w:val="center"/>
        </w:trPr>
        <w:tc>
          <w:tcPr>
            <w:tcW w:w="184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四、本期期末余额</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2,767,700,485.27</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-28,715,963.84</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255,624,670.66</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2,626,869,913.76</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7,275,186,100.93</w:t>
            </w:r>
          </w:p>
        </w:tc>
        <w:tc>
          <w:tcPr>
            <w:tcW w:w="86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523,352,856.99</w:t>
            </w:r>
          </w:p>
        </w:tc>
        <w:tc>
          <w:tcPr>
            <w:tcW w:w="86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7,798,538,957.92</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上年金额</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14726"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29"/>
        <w:gridCol w:w="859"/>
        <w:gridCol w:w="859"/>
        <w:gridCol w:w="859"/>
        <w:gridCol w:w="859"/>
        <w:gridCol w:w="860"/>
        <w:gridCol w:w="860"/>
        <w:gridCol w:w="860"/>
        <w:gridCol w:w="860"/>
        <w:gridCol w:w="860"/>
        <w:gridCol w:w="860"/>
        <w:gridCol w:w="860"/>
        <w:gridCol w:w="860"/>
        <w:gridCol w:w="861"/>
        <w:gridCol w:w="860"/>
        <w:gridCol w:w="860"/>
      </w:tblGrid>
      <w:tr w:rsidR="00C526AC" w:rsidTr="00164D18">
        <w:trPr>
          <w:trHeight w:val="52"/>
          <w:jc w:val="center"/>
        </w:trPr>
        <w:tc>
          <w:tcPr>
            <w:tcW w:w="182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2891"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2021年半年度</w:t>
            </w:r>
          </w:p>
        </w:tc>
      </w:tr>
      <w:tr w:rsidR="00C526AC" w:rsidTr="00164D18">
        <w:trPr>
          <w:trHeight w:val="52"/>
          <w:jc w:val="center"/>
        </w:trPr>
        <w:tc>
          <w:tcPr>
            <w:tcW w:w="182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117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归属于母公司所有者权益</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少数股东权益</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所有者权益合计</w:t>
            </w:r>
          </w:p>
        </w:tc>
      </w:tr>
      <w:tr w:rsidR="00164D18" w:rsidTr="00164D18">
        <w:trPr>
          <w:trHeight w:val="52"/>
          <w:jc w:val="center"/>
        </w:trPr>
        <w:tc>
          <w:tcPr>
            <w:tcW w:w="182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股本</w:t>
            </w:r>
          </w:p>
        </w:tc>
        <w:tc>
          <w:tcPr>
            <w:tcW w:w="257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其他权益工具</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资本公积</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减：库存股</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其他综合收益</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专项储备</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盈余公积</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一般风险准备</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未分配利润</w:t>
            </w:r>
          </w:p>
        </w:tc>
        <w:tc>
          <w:tcPr>
            <w:tcW w:w="8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86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小计</w:t>
            </w:r>
          </w:p>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164D18" w:rsidTr="00164D18">
        <w:trPr>
          <w:trHeight w:val="52"/>
          <w:jc w:val="center"/>
        </w:trPr>
        <w:tc>
          <w:tcPr>
            <w:tcW w:w="182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5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优先股</w:t>
            </w:r>
          </w:p>
        </w:tc>
        <w:tc>
          <w:tcPr>
            <w:tcW w:w="85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永续债</w:t>
            </w:r>
          </w:p>
        </w:tc>
        <w:tc>
          <w:tcPr>
            <w:tcW w:w="85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861"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一、上年期末余额</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1,519,375,555.00</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2,408,433,715.29</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600,011,142.54</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-31,956,615.72</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232,533,604.42</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2,093,844,730.70</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5,622,219,847.15</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367,504,548.25</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5,989,724,395.40</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加：会计政策变更</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前期差错更正</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同一控制下企业合并</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其他</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二、本年期初余额</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1,519,375,555.00</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2,408,433,715.29</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600,011,142.54</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-31,956,615.72</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232,533,604.42</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2,093,844,730.70</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5,622,219,847.15</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367,504,548.25</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5,989,724,395.40</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三、本期增减变动金额（减少以“－”号填列）</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-58,782,615.95</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301,871,383.66</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243,088,767.71</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-19,630,904.25</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223,457,863.46</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（一）综合收益总额</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-58,782,615.95</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301,642,936.42</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242,860,320.47</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12,252,179.33</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255,112,499.80</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（二）所有者投入和减少资本</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-28,453,083.58</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-28,453,083.58</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1．所有者投入的普通股</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2．其他权益工具持有者投入资本</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3．股份支付计入所有者权益的金额</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4．其他</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-28,453,083.57</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-28,453,083.57</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（三）利润分配</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-3,430,000.00</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-3,430,000.00</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1．提取盈余公积</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-3,430,000.00</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-3,430,000.00</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2．提取一般风险准备</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3．对所有者（或股东）的分配</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4．其他</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（四）所有者权益内部结转</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1．资本公积转增资本（或股本）</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2．盈余公积转增资本（或股本）</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3．盈余公积弥补亏损</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4．设定受益计划变动额结转留存收益</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5．其他综合收益结转留存收益</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6．其他</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（五）专项储备</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1．本期提取</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2．本期使用</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（六）其他</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228,447.24</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228,447.24</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228,447.24</w:t>
            </w:r>
          </w:p>
        </w:tc>
      </w:tr>
      <w:tr w:rsidR="00164D18" w:rsidTr="00164D18">
        <w:trPr>
          <w:trHeight w:val="52"/>
          <w:jc w:val="center"/>
        </w:trPr>
        <w:tc>
          <w:tcPr>
            <w:tcW w:w="18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四、本期期末余额</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1,519,375,555.00</w:t>
            </w: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5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2,408,433,715.29</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600,011,142.54</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-90,739,231.67</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232,533,604.42</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2,395,716,114.36</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6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5,865,308,614.86</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347,873,644.00</w:t>
            </w:r>
          </w:p>
        </w:tc>
        <w:tc>
          <w:tcPr>
            <w:tcW w:w="86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6,213,182,258.86</w:t>
            </w:r>
          </w:p>
        </w:tc>
      </w:tr>
    </w:tbl>
    <w:p w:rsidR="00C526AC" w:rsidRDefault="00E0175D">
      <w:pPr>
        <w:keepNext/>
        <w:keepLines/>
        <w:spacing w:before="300" w:after="300" w:line="280" w:lineRule="exact"/>
        <w:jc w:val="left"/>
        <w:outlineLvl w:val="2"/>
        <w:rPr>
          <w:rFonts w:ascii="宋体" w:hAnsi="宋体" w:cs="宋体"/>
          <w:b/>
          <w:bCs/>
          <w:szCs w:val="21"/>
        </w:rPr>
      </w:pPr>
      <w:bookmarkStart w:id="11" w:name="_Toc989001"/>
      <w:r>
        <w:rPr>
          <w:rFonts w:ascii="宋体" w:hAnsi="宋体" w:cs="宋体"/>
          <w:b/>
          <w:bCs/>
          <w:szCs w:val="21"/>
        </w:rPr>
        <w:t>8、母公司所有者权益变动表</w:t>
      </w:r>
      <w:bookmarkEnd w:id="11"/>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本期金额</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1476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38"/>
        <w:gridCol w:w="1077"/>
        <w:gridCol w:w="1077"/>
        <w:gridCol w:w="1077"/>
        <w:gridCol w:w="1079"/>
        <w:gridCol w:w="1077"/>
        <w:gridCol w:w="1077"/>
        <w:gridCol w:w="1077"/>
        <w:gridCol w:w="1077"/>
        <w:gridCol w:w="1077"/>
        <w:gridCol w:w="1077"/>
        <w:gridCol w:w="1077"/>
        <w:gridCol w:w="1082"/>
      </w:tblGrid>
      <w:tr w:rsidR="00C526AC" w:rsidTr="00164D18">
        <w:trPr>
          <w:trHeight w:val="138"/>
          <w:jc w:val="center"/>
        </w:trPr>
        <w:tc>
          <w:tcPr>
            <w:tcW w:w="183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2931"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2022年半年度</w:t>
            </w:r>
          </w:p>
        </w:tc>
      </w:tr>
      <w:tr w:rsidR="00C526AC" w:rsidTr="00164D18">
        <w:trPr>
          <w:trHeight w:val="138"/>
          <w:jc w:val="center"/>
        </w:trPr>
        <w:tc>
          <w:tcPr>
            <w:tcW w:w="183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股本</w:t>
            </w:r>
          </w:p>
        </w:tc>
        <w:tc>
          <w:tcPr>
            <w:tcW w:w="323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其他权益工具</w:t>
            </w:r>
          </w:p>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资本公积</w:t>
            </w:r>
          </w:p>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减：库存股</w:t>
            </w:r>
          </w:p>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其他综合收益</w:t>
            </w:r>
          </w:p>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专项储备</w:t>
            </w:r>
          </w:p>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盈余公积</w:t>
            </w:r>
          </w:p>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未分配利润</w:t>
            </w:r>
          </w:p>
        </w:tc>
        <w:tc>
          <w:tcPr>
            <w:tcW w:w="10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08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所有者权益合计</w:t>
            </w:r>
          </w:p>
        </w:tc>
      </w:tr>
      <w:tr w:rsidR="00164D18" w:rsidTr="00164D18">
        <w:trPr>
          <w:trHeight w:val="138"/>
          <w:jc w:val="center"/>
        </w:trPr>
        <w:tc>
          <w:tcPr>
            <w:tcW w:w="183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优先股</w:t>
            </w:r>
          </w:p>
        </w:tc>
        <w:tc>
          <w:tcPr>
            <w:tcW w:w="10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永续债</w:t>
            </w:r>
          </w:p>
        </w:tc>
        <w:tc>
          <w:tcPr>
            <w:tcW w:w="107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0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10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7"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108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一、上年期末余额</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3,106,930,758.15</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13,704,261.47</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224,029,232.13</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96,989,352.24</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5,142,334,958.99</w:t>
            </w: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加：会计政策变更</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前期差错更正</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其他</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二、本年期初余额</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3,106,930,758.15</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13,704,261.47</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224,029,232.13</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96,989,352.24</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5,142,334,958.99</w:t>
            </w: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三、本期增减变动金额（减少以“－”号填列）</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316,051,780.62</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269,720,904.55</w:t>
            </w: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（一）综合收益总额</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316,051,780.62</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316,695,264.47</w:t>
            </w: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（二）所有者投入和减少资本</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1．所有者投入的普通股</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2．其他权益工具持有者投入资本</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3．股份支付计入所有者权益的金额</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4．其他</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（三）利润分配</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1．提取盈余公积</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2．对所有者（或股东）的分配</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3．其他</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（四）所有者权益内部结转</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1．资本公积转增资本（或股本）</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2．盈余公积转增资本（或股本）</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3．盈余公积弥补亏损</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4．设定受益计划变动额结转留存收益</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5．其他综合收益结转留存收益</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6．其他</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（五）专项储备</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1．本期提取</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2．本期使用</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（六）其他</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38"/>
          <w:jc w:val="center"/>
        </w:trPr>
        <w:tc>
          <w:tcPr>
            <w:tcW w:w="183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四、本期期末余额</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3,106,930,758.15</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14,347,745.32</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224,029,232.13</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413,041,132.86</w:t>
            </w:r>
          </w:p>
        </w:tc>
        <w:tc>
          <w:tcPr>
            <w:tcW w:w="10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5,412,055,863.54</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上年金额</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1475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36"/>
        <w:gridCol w:w="1075"/>
        <w:gridCol w:w="1075"/>
        <w:gridCol w:w="1075"/>
        <w:gridCol w:w="1079"/>
        <w:gridCol w:w="1075"/>
        <w:gridCol w:w="1075"/>
        <w:gridCol w:w="1075"/>
        <w:gridCol w:w="1075"/>
        <w:gridCol w:w="1075"/>
        <w:gridCol w:w="1075"/>
        <w:gridCol w:w="1075"/>
        <w:gridCol w:w="1085"/>
      </w:tblGrid>
      <w:tr w:rsidR="00C526AC" w:rsidTr="00164D18">
        <w:trPr>
          <w:trHeight w:val="144"/>
          <w:jc w:val="center"/>
        </w:trPr>
        <w:tc>
          <w:tcPr>
            <w:tcW w:w="183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2914"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2021年半年度</w:t>
            </w:r>
          </w:p>
        </w:tc>
      </w:tr>
      <w:tr w:rsidR="00C526AC" w:rsidTr="00164D18">
        <w:trPr>
          <w:trHeight w:val="144"/>
          <w:jc w:val="center"/>
        </w:trPr>
        <w:tc>
          <w:tcPr>
            <w:tcW w:w="183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股本</w:t>
            </w:r>
          </w:p>
        </w:tc>
        <w:tc>
          <w:tcPr>
            <w:tcW w:w="3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其他权益工具</w:t>
            </w:r>
          </w:p>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资本公积</w:t>
            </w:r>
          </w:p>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减：库存股</w:t>
            </w:r>
          </w:p>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其他综合收益</w:t>
            </w:r>
          </w:p>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专项储备</w:t>
            </w:r>
          </w:p>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盈余公积</w:t>
            </w:r>
          </w:p>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未分配利润</w:t>
            </w:r>
          </w:p>
        </w:tc>
        <w:tc>
          <w:tcPr>
            <w:tcW w:w="10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08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所有者权益合计</w:t>
            </w:r>
          </w:p>
        </w:tc>
      </w:tr>
      <w:tr w:rsidR="00164D18" w:rsidTr="00164D18">
        <w:trPr>
          <w:trHeight w:val="144"/>
          <w:jc w:val="center"/>
        </w:trPr>
        <w:tc>
          <w:tcPr>
            <w:tcW w:w="183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优先股</w:t>
            </w:r>
          </w:p>
        </w:tc>
        <w:tc>
          <w:tcPr>
            <w:tcW w:w="107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永续债</w:t>
            </w:r>
          </w:p>
        </w:tc>
        <w:tc>
          <w:tcPr>
            <w:tcW w:w="107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0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10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5" w:type="dxa"/>
            <w:vMerge/>
            <w:tcBorders>
              <w:top w:val="single" w:sz="2" w:space="0" w:color="auto"/>
              <w:left w:val="single" w:sz="2" w:space="0" w:color="auto"/>
              <w:bottom w:val="single" w:sz="2" w:space="0" w:color="auto"/>
              <w:right w:val="single" w:sz="2" w:space="0" w:color="auto"/>
            </w:tcBorders>
            <w:vAlign w:val="center"/>
          </w:tcPr>
          <w:p w:rsidR="00C526AC" w:rsidRDefault="00C526AC"/>
        </w:tc>
        <w:tc>
          <w:tcPr>
            <w:tcW w:w="108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一、上年期末余额</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1,519,375,555.00</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2,761,872,315.95</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600,011,142.54</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13,787,248.87</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200,938,165.89</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195,292,400.03</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4,091,254,543.20</w:t>
            </w: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加：会计政策变更</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前期差错更正</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其他</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二、本年期初余额</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1,519,375,555.00</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2,761,872,315.95</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600,011,142.54</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13,787,248.87</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200,938,165.89</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195,292,400.03</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4,091,254,543.20</w:t>
            </w: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三、本期增减变动金额（减少以“－”号填列）</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-165,576.07</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114,794,116.88</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114,628,540.81</w:t>
            </w: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（一）综合收益总额</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-165,576.07</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114,794,116.88</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114,628,540.81</w:t>
            </w: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（二）所有者投入和减少资本</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1．所有者投入的普通股</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2．其他权益工具持有者投入资本</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3．股份支付计入所有者权益的金额</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4．其他</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（三）利润分配</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1．提取盈余公积</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2．对所有者（或股东）的分配</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3．其他</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（四）所有者权益内部结转</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1．资本公积转增资本（或股本）</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2．盈余公积转增资本（或股本）</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3．盈余公积弥补亏损</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4．设定受益计划变动额结转留存收益</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5．其他综合收益结转留存收益</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6．其他</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（五）专项储备</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1．本期提取</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2．本期使用</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（六）其他</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164D18">
        <w:trPr>
          <w:trHeight w:val="144"/>
          <w:jc w:val="center"/>
        </w:trPr>
        <w:tc>
          <w:tcPr>
            <w:tcW w:w="183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四、本期期末余额</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1,519,375,555.00</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2,761,872,315.95</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600,011,142.54</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13,621,672.80</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200,938,165.89</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310,086,516.91</w:t>
            </w:r>
          </w:p>
        </w:tc>
        <w:tc>
          <w:tcPr>
            <w:tcW w:w="107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4,205,883,084.01</w:t>
            </w:r>
          </w:p>
        </w:tc>
      </w:tr>
    </w:tbl>
    <w:p w:rsidR="00164D18" w:rsidRDefault="00164D18">
      <w:pPr>
        <w:keepNext/>
        <w:keepLines/>
        <w:spacing w:before="300" w:after="300" w:line="320" w:lineRule="exact"/>
        <w:jc w:val="left"/>
        <w:outlineLvl w:val="1"/>
        <w:rPr>
          <w:rFonts w:ascii="宋体" w:hAnsi="宋体" w:cs="宋体"/>
          <w:b/>
          <w:bCs/>
          <w:sz w:val="24"/>
          <w:szCs w:val="24"/>
        </w:rPr>
        <w:sectPr w:rsidR="00164D18" w:rsidSect="00164D18">
          <w:pgSz w:w="16840" w:h="11905" w:orient="landscape"/>
          <w:pgMar w:top="1134" w:right="1440" w:bottom="1134" w:left="1440" w:header="850" w:footer="992" w:gutter="0"/>
          <w:cols w:space="720"/>
          <w:docGrid w:type="linesAndChars" w:linePitch="312"/>
        </w:sectPr>
      </w:pPr>
      <w:bookmarkStart w:id="12" w:name="_Toc989002"/>
    </w:p>
    <w:p w:rsidR="00C526AC" w:rsidRDefault="00E0175D">
      <w:pPr>
        <w:keepNext/>
        <w:keepLines/>
        <w:spacing w:before="300" w:after="300" w:line="320" w:lineRule="exact"/>
        <w:jc w:val="left"/>
        <w:outlineLvl w:val="1"/>
        <w:rPr>
          <w:rFonts w:ascii="宋体" w:hAnsi="宋体" w:cs="宋体"/>
          <w:b/>
          <w:bCs/>
          <w:sz w:val="24"/>
          <w:szCs w:val="24"/>
        </w:rPr>
      </w:pPr>
      <w:r>
        <w:rPr>
          <w:rFonts w:ascii="宋体" w:hAnsi="宋体" w:cs="宋体"/>
          <w:b/>
          <w:bCs/>
          <w:sz w:val="24"/>
          <w:szCs w:val="24"/>
        </w:rPr>
        <w:t>三、公司基本情况</w:t>
      </w:r>
      <w:bookmarkEnd w:id="12"/>
    </w:p>
    <w:p w:rsidR="00C526AC" w:rsidRDefault="00E0175D">
      <w:pPr>
        <w:widowControl/>
        <w:numPr>
          <w:ilvl w:val="0"/>
          <w:numId w:val="2"/>
        </w:numPr>
        <w:spacing w:beforeAutospacing="1" w:afterAutospacing="1"/>
      </w:pPr>
      <w:r>
        <w:rPr>
          <w:rStyle w:val="a4"/>
          <w:rFonts w:ascii="宋体" w:hAnsi="宋体" w:cs="宋体" w:hint="eastAsia"/>
          <w:szCs w:val="21"/>
        </w:rPr>
        <w:t>公司注册地、组织形式和总部地址</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华孚时尚股份有限公司（以下简称“公司”或“本公司”）前身系于2000年10月经安徽省体改委【皖体改函[2000]79号】、安徽省人民政府【皖府股字[2000]第37号】文批准，由安徽飞亚纺织集团有限公司(以下简称“飞亚集团”)作为主发起人，联合上海东华大学科技园发展有限公司、淮北印染集团公司、上海市纺织科学研究院、安徽省国有资产运营有限公司、淮北市国有资产运营有限公司等五家企业共同发起，采用募集方式设立的股份有限公司。并于2000 年10 月31 日在安徽省工商行政管理局登记注册，注册资本为6,000.00 万元。根据本公司2003 年第一次临时股东大会决议，并经中国证券监督管理委员会证监发行字[2005]9号文核准，本公司于2005 年4 月向社会公众公开发行股票4,000万股，2005年4 月27日在深圳证券交易所挂牌上市。</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2008年1月22日淮北市人民政府国有资产监督管理委员会与华孚控股有限公司(以下简称“华孚控股”)签定《产权交易合同》，华孚控股拟收购淮北市人民政府国有资产监督管理委员会持有的飞亚集团100%的股权，飞亚集团持有本公司40.55%的股权。</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上述转让经2008年4月6日国务院国有资产监督管理委员会国资产权［2008］357号《关于安徽飞亚纺织发展股份有限公司间接转让涉及的国有股东性质变更有关问题的批复》以及2008年6月27日中国证券监督管理委员会证监许可［2008］849号《关于核准华孚控股有限公司公告安徽飞亚纺织发展股份有限公司收购报告书的批复》批准。2008年12月10日完成工商变更登记手续，飞亚集团变更为华孚控股全资子公司。</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2008年1月30日，飞亚集团分别与受让方廖煜、赵伟光和陈敏签署了股权转让协议。飞亚集团以协议转让方式分别向廖煜、赵伟光和陈敏转让499万股本公司股权，合计转让1,497万股权，占本公司总股本的14.97%。飞亚集团减持后持有本公司2,557.91万股，占总股本的25.58%，该转让于2008年12月3日完成股权过户手续。</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本公司2008年5月15日与华孚控股、深圳市华人投资有限公司及朱翠云、宋江、顾振华、潘金平、齐昌玮、张小荷、项小岳、王斌签署了《非公开发行股份与资产购买协议书》，并经2008年第三届董事会第三次会议决议、2008年第二次临时股东大会决议通过，本公司以通过非公开发行13,511.10万股普通股为对价，认购华孚控股、深圳市华人投资有限公司及朱翠云、宋江、顾振华、潘金平、齐昌玮、张小荷、项小岳、王斌八位自然人合计持有的深圳市华孚进出口有限公司100%股权；认购华孚控股持有的江西华孚色纺有限公司40%股权、持有的浙江缙云华孚纺织有限公司29.70%股权以及持有的浙江金棉纺织有限公司37.50%股权(以下简称“标的资产”)。</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2008年12月29日，根据中国证券监督管理委员会上市公司并购重组审核委员会审核结果，本公司发行股份购买资产暨关联交易获得有条件通过。</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2008年12月31日，本公司召开2008年第四次临时股东大会，决议通过《关于变更公司注册名称的议案》，本公司注册名称拟由“安徽飞亚纺织发展股份有限公司”变更为“安徽华孚色纺股份有限公司”，并于2009年1月5日完成工商变更登记手续。</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2009年3月19日，本公司召开2008年度股东大会，决议通过《关于变更公司注册名称的议案》，本公司注册名称拟由“安徽华孚色纺股份有限公司”变更为“华孚色纺股份有限公司”。</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本公司2017年8月23日召开第六届董事会第八次会议、2017年9月12日召开2017年第二次临时股东大会审议通过了《关于拟变更公司名称、证券简称及修订〈公司章程〉的议案》，公司名称由华孚色纺股份有限公司变更为华孚时尚股份有限公司，现持有统一社会信用代码为9134060072553187XK的营业执照。</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经过历年的派送红股、配售新股、转增股本及增发新股，截止2022年6月30日，本公司累计发行股本总数170,068.1355万股，注册资本为170,068.1355万元，注册地址：淮北经济开发区新区石山路6号，总部地址：广东省深圳市福田区市花路5号长富金茂大厦59楼，母公司为华孚控股有限公司，最终实际控制人为孙伟挺、陈玲芬。</w:t>
      </w:r>
    </w:p>
    <w:p w:rsidR="00C526AC" w:rsidRDefault="00E0175D">
      <w:pPr>
        <w:pStyle w:val="a3"/>
        <w:widowControl/>
        <w:spacing w:before="120" w:beforeAutospacing="0" w:afterAutospacing="0"/>
        <w:ind w:left="360"/>
        <w:jc w:val="both"/>
        <w:rPr>
          <w:sz w:val="18"/>
          <w:szCs w:val="18"/>
        </w:rPr>
      </w:pPr>
      <w:r>
        <w:rPr>
          <w:rStyle w:val="a4"/>
          <w:sz w:val="21"/>
          <w:szCs w:val="21"/>
        </w:rPr>
        <w:t>2.</w:t>
      </w:r>
      <w:r>
        <w:rPr>
          <w:rStyle w:val="a4"/>
          <w:rFonts w:ascii="宋体" w:hAnsi="宋体" w:cs="宋体" w:hint="eastAsia"/>
          <w:sz w:val="21"/>
          <w:szCs w:val="21"/>
        </w:rPr>
        <w:t>公司业务性质和主要经营活动</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国家限定公司经营和国家禁止进出口的商品及技术除外)。</w:t>
      </w:r>
    </w:p>
    <w:p w:rsidR="00C526AC" w:rsidRDefault="00E0175D">
      <w:pPr>
        <w:pStyle w:val="a3"/>
        <w:widowControl/>
        <w:spacing w:beforeAutospacing="0" w:afterAutospacing="0"/>
        <w:ind w:left="360" w:firstLine="420"/>
        <w:jc w:val="both"/>
        <w:rPr>
          <w:sz w:val="18"/>
          <w:szCs w:val="18"/>
        </w:rPr>
      </w:pPr>
      <w:r>
        <w:rPr>
          <w:rFonts w:ascii="宋体" w:hAnsi="宋体" w:cs="宋体" w:hint="eastAsia"/>
          <w:sz w:val="18"/>
          <w:szCs w:val="18"/>
        </w:rPr>
        <w:t>本公司属纺织行业，主要经营活动纱线的研发、生产、销售；棉花的采购、加工、销售；袜制品设计、生产、销售等。</w:t>
      </w:r>
    </w:p>
    <w:p w:rsidR="00C526AC" w:rsidRDefault="00E0175D">
      <w:pPr>
        <w:pStyle w:val="a3"/>
        <w:widowControl/>
        <w:spacing w:before="120" w:beforeAutospacing="0" w:afterAutospacing="0"/>
        <w:ind w:left="360"/>
        <w:jc w:val="both"/>
        <w:rPr>
          <w:sz w:val="18"/>
          <w:szCs w:val="18"/>
        </w:rPr>
      </w:pPr>
      <w:r>
        <w:rPr>
          <w:rStyle w:val="a4"/>
          <w:sz w:val="21"/>
          <w:szCs w:val="21"/>
        </w:rPr>
        <w:t>3.</w:t>
      </w:r>
      <w:r>
        <w:rPr>
          <w:rStyle w:val="a4"/>
          <w:rFonts w:ascii="宋体" w:hAnsi="宋体" w:cs="宋体" w:hint="eastAsia"/>
          <w:sz w:val="21"/>
          <w:szCs w:val="21"/>
        </w:rPr>
        <w:t>财务报表的批准报出</w:t>
      </w:r>
    </w:p>
    <w:p w:rsidR="00C526AC" w:rsidRDefault="00E0175D">
      <w:pPr>
        <w:pStyle w:val="a3"/>
        <w:widowControl/>
        <w:spacing w:beforeAutospacing="0" w:afterAutospacing="0"/>
        <w:ind w:firstLine="360"/>
        <w:rPr>
          <w:sz w:val="18"/>
          <w:szCs w:val="18"/>
        </w:rPr>
      </w:pPr>
      <w:r>
        <w:rPr>
          <w:rFonts w:ascii="宋体" w:hAnsi="宋体" w:cs="宋体" w:hint="eastAsia"/>
          <w:sz w:val="18"/>
          <w:szCs w:val="18"/>
        </w:rPr>
        <w:t>本财务报表业经公司董事会于2022年</w:t>
      </w:r>
      <w:r w:rsidR="00991072">
        <w:rPr>
          <w:rFonts w:ascii="宋体" w:hAnsi="宋体" w:cs="宋体" w:hint="eastAsia"/>
          <w:sz w:val="18"/>
          <w:szCs w:val="18"/>
        </w:rPr>
        <w:t>8</w:t>
      </w:r>
      <w:r>
        <w:rPr>
          <w:rFonts w:ascii="宋体" w:hAnsi="宋体" w:cs="宋体" w:hint="eastAsia"/>
          <w:sz w:val="18"/>
          <w:szCs w:val="18"/>
        </w:rPr>
        <w:t>月</w:t>
      </w:r>
      <w:r w:rsidR="00991072">
        <w:rPr>
          <w:rFonts w:ascii="宋体" w:hAnsi="宋体" w:cs="宋体" w:hint="eastAsia"/>
          <w:sz w:val="18"/>
          <w:szCs w:val="18"/>
        </w:rPr>
        <w:t>24</w:t>
      </w:r>
      <w:r>
        <w:rPr>
          <w:rFonts w:ascii="宋体" w:hAnsi="宋体" w:cs="宋体" w:hint="eastAsia"/>
          <w:sz w:val="18"/>
          <w:szCs w:val="18"/>
        </w:rPr>
        <w:t>日批准报出。</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本期纳入合并财务报表范围的子公司共94户，主要包括：</w:t>
      </w:r>
    </w:p>
    <w:tbl>
      <w:tblPr>
        <w:tblW w:w="9649" w:type="dxa"/>
        <w:tblCellMar>
          <w:left w:w="0" w:type="dxa"/>
          <w:right w:w="0" w:type="dxa"/>
        </w:tblCellMar>
        <w:tblLook w:val="04A0" w:firstRow="1" w:lastRow="0" w:firstColumn="1" w:lastColumn="0" w:noHBand="0" w:noVBand="1"/>
      </w:tblPr>
      <w:tblGrid>
        <w:gridCol w:w="4546"/>
        <w:gridCol w:w="1418"/>
        <w:gridCol w:w="709"/>
        <w:gridCol w:w="1417"/>
        <w:gridCol w:w="1559"/>
      </w:tblGrid>
      <w:tr w:rsidR="00C526AC" w:rsidTr="00C94857">
        <w:trPr>
          <w:trHeight w:val="480"/>
        </w:trPr>
        <w:tc>
          <w:tcPr>
            <w:tcW w:w="4546" w:type="dxa"/>
            <w:tcBorders>
              <w:top w:val="single" w:sz="8" w:space="0" w:color="auto"/>
              <w:left w:val="single" w:sz="8" w:space="0" w:color="auto"/>
              <w:bottom w:val="single" w:sz="8" w:space="0" w:color="auto"/>
              <w:right w:val="single" w:sz="8" w:space="0" w:color="auto"/>
            </w:tcBorders>
            <w:shd w:val="clear" w:color="auto" w:fill="auto"/>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子公司名称</w:t>
            </w:r>
          </w:p>
        </w:tc>
        <w:tc>
          <w:tcPr>
            <w:tcW w:w="1418" w:type="dxa"/>
            <w:tcBorders>
              <w:top w:val="single" w:sz="8" w:space="0" w:color="auto"/>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子公司类型</w:t>
            </w:r>
          </w:p>
        </w:tc>
        <w:tc>
          <w:tcPr>
            <w:tcW w:w="709" w:type="dxa"/>
            <w:tcBorders>
              <w:top w:val="single" w:sz="8" w:space="0" w:color="auto"/>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级次</w:t>
            </w:r>
          </w:p>
        </w:tc>
        <w:tc>
          <w:tcPr>
            <w:tcW w:w="1417" w:type="dxa"/>
            <w:tcBorders>
              <w:top w:val="single" w:sz="8" w:space="0" w:color="auto"/>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持股比例（</w:t>
            </w:r>
            <w:r>
              <w:rPr>
                <w:sz w:val="18"/>
                <w:szCs w:val="18"/>
                <w:lang w:bidi="ar"/>
              </w:rPr>
              <w:t>%</w:t>
            </w:r>
            <w:r>
              <w:rPr>
                <w:rFonts w:ascii="宋体" w:hAnsi="宋体" w:cs="宋体" w:hint="eastAsia"/>
                <w:sz w:val="18"/>
                <w:szCs w:val="18"/>
                <w:lang w:bidi="ar"/>
              </w:rPr>
              <w:t>）</w:t>
            </w:r>
          </w:p>
        </w:tc>
        <w:tc>
          <w:tcPr>
            <w:tcW w:w="1559" w:type="dxa"/>
            <w:tcBorders>
              <w:top w:val="single" w:sz="8" w:space="0" w:color="auto"/>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表决权比例（</w:t>
            </w:r>
            <w:r>
              <w:rPr>
                <w:sz w:val="18"/>
                <w:szCs w:val="18"/>
                <w:lang w:bidi="ar"/>
              </w:rPr>
              <w:t>%</w:t>
            </w:r>
            <w:r>
              <w:rPr>
                <w:rFonts w:ascii="宋体" w:hAnsi="宋体" w:cs="宋体" w:hint="eastAsia"/>
                <w:sz w:val="18"/>
                <w:szCs w:val="18"/>
                <w:lang w:bidi="ar"/>
              </w:rPr>
              <w:t>）</w:t>
            </w:r>
          </w:p>
        </w:tc>
      </w:tr>
      <w:tr w:rsidR="00C526AC" w:rsidTr="00C94857">
        <w:trPr>
          <w:trHeight w:val="68"/>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深圳市华孚进出口有限公司（以下简称</w:t>
            </w:r>
            <w:r>
              <w:rPr>
                <w:sz w:val="18"/>
                <w:szCs w:val="18"/>
                <w:lang w:bidi="ar"/>
              </w:rPr>
              <w:t>“</w:t>
            </w:r>
            <w:r>
              <w:rPr>
                <w:rFonts w:ascii="宋体" w:hAnsi="宋体" w:cs="宋体" w:hint="eastAsia"/>
                <w:sz w:val="18"/>
                <w:szCs w:val="18"/>
                <w:lang w:bidi="ar"/>
              </w:rPr>
              <w:t>深圳进出口</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一级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香港华孚有限公司（以下简称</w:t>
            </w:r>
            <w:r>
              <w:rPr>
                <w:sz w:val="18"/>
                <w:szCs w:val="18"/>
                <w:lang w:bidi="ar"/>
              </w:rPr>
              <w:t>“</w:t>
            </w:r>
            <w:r>
              <w:rPr>
                <w:rFonts w:ascii="宋体" w:hAnsi="宋体" w:cs="宋体" w:hint="eastAsia"/>
                <w:sz w:val="18"/>
                <w:szCs w:val="18"/>
                <w:lang w:bidi="ar"/>
              </w:rPr>
              <w:t>香港华孚有限</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163"/>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浙江华孚色纺有限公司（以下简称</w:t>
            </w:r>
            <w:r>
              <w:rPr>
                <w:sz w:val="18"/>
                <w:szCs w:val="18"/>
                <w:lang w:bidi="ar"/>
              </w:rPr>
              <w:t>“</w:t>
            </w:r>
            <w:r>
              <w:rPr>
                <w:rFonts w:ascii="宋体" w:hAnsi="宋体" w:cs="宋体" w:hint="eastAsia"/>
                <w:sz w:val="18"/>
                <w:szCs w:val="18"/>
                <w:lang w:bidi="ar"/>
              </w:rPr>
              <w:t>浙江色纺</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宁波华孚东浩实业有限公司（以下简称</w:t>
            </w:r>
            <w:r>
              <w:rPr>
                <w:sz w:val="18"/>
                <w:szCs w:val="18"/>
                <w:lang w:bidi="ar"/>
              </w:rPr>
              <w:t>“</w:t>
            </w:r>
            <w:r>
              <w:rPr>
                <w:rFonts w:ascii="宋体" w:hAnsi="宋体" w:cs="宋体" w:hint="eastAsia"/>
                <w:sz w:val="18"/>
                <w:szCs w:val="18"/>
                <w:lang w:bidi="ar"/>
              </w:rPr>
              <w:t>宁波东浩</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宁海华孚纺织有限公司（以下简称</w:t>
            </w:r>
            <w:r>
              <w:rPr>
                <w:sz w:val="18"/>
                <w:szCs w:val="18"/>
                <w:lang w:bidi="ar"/>
              </w:rPr>
              <w:t>“</w:t>
            </w:r>
            <w:r>
              <w:rPr>
                <w:rFonts w:ascii="宋体" w:hAnsi="宋体" w:cs="宋体" w:hint="eastAsia"/>
                <w:sz w:val="18"/>
                <w:szCs w:val="18"/>
                <w:lang w:bidi="ar"/>
              </w:rPr>
              <w:t>宁海华孚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绍兴市上虞华孚物流有限公司（以下简称</w:t>
            </w:r>
            <w:r>
              <w:rPr>
                <w:sz w:val="18"/>
                <w:szCs w:val="18"/>
                <w:lang w:bidi="ar"/>
              </w:rPr>
              <w:t>“</w:t>
            </w:r>
            <w:r>
              <w:rPr>
                <w:rFonts w:ascii="宋体" w:hAnsi="宋体" w:cs="宋体" w:hint="eastAsia"/>
                <w:sz w:val="18"/>
                <w:szCs w:val="18"/>
                <w:lang w:bidi="ar"/>
              </w:rPr>
              <w:t>上虞物流</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余姚华孚纺织有限公司（以下简称</w:t>
            </w:r>
            <w:r>
              <w:rPr>
                <w:sz w:val="18"/>
                <w:szCs w:val="18"/>
                <w:lang w:bidi="ar"/>
              </w:rPr>
              <w:t>“</w:t>
            </w:r>
            <w:r>
              <w:rPr>
                <w:rFonts w:ascii="宋体" w:hAnsi="宋体" w:cs="宋体" w:hint="eastAsia"/>
                <w:sz w:val="18"/>
                <w:szCs w:val="18"/>
                <w:lang w:bidi="ar"/>
              </w:rPr>
              <w:t>余姚华孚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平湖市华孚金瓶纺织有限公司（以下简称</w:t>
            </w:r>
            <w:r>
              <w:rPr>
                <w:sz w:val="18"/>
                <w:szCs w:val="18"/>
                <w:lang w:bidi="ar"/>
              </w:rPr>
              <w:t>“</w:t>
            </w:r>
            <w:r>
              <w:rPr>
                <w:rFonts w:ascii="宋体" w:hAnsi="宋体" w:cs="宋体" w:hint="eastAsia"/>
                <w:sz w:val="18"/>
                <w:szCs w:val="18"/>
                <w:lang w:bidi="ar"/>
              </w:rPr>
              <w:t>平湖华孚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浙江色纺</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66%</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66%</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九江中浩纺织有限公司（以下简称</w:t>
            </w:r>
            <w:r>
              <w:rPr>
                <w:sz w:val="18"/>
                <w:szCs w:val="18"/>
                <w:lang w:bidi="ar"/>
              </w:rPr>
              <w:t>“</w:t>
            </w:r>
            <w:r>
              <w:rPr>
                <w:rFonts w:ascii="宋体" w:hAnsi="宋体" w:cs="宋体" w:hint="eastAsia"/>
                <w:sz w:val="18"/>
                <w:szCs w:val="18"/>
                <w:lang w:bidi="ar"/>
              </w:rPr>
              <w:t>九江中浩</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阿克苏华孚色纺有限公司（以下简称</w:t>
            </w:r>
            <w:r>
              <w:rPr>
                <w:sz w:val="18"/>
                <w:szCs w:val="18"/>
                <w:lang w:bidi="ar"/>
              </w:rPr>
              <w:t>“</w:t>
            </w:r>
            <w:r>
              <w:rPr>
                <w:rFonts w:ascii="宋体" w:hAnsi="宋体" w:cs="宋体" w:hint="eastAsia"/>
                <w:sz w:val="18"/>
                <w:szCs w:val="18"/>
                <w:lang w:bidi="ar"/>
              </w:rPr>
              <w:t>阿克苏华孚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浙江缙云华孚纺织有限公司（以下简称</w:t>
            </w:r>
            <w:r>
              <w:rPr>
                <w:sz w:val="18"/>
                <w:szCs w:val="18"/>
                <w:lang w:bidi="ar"/>
              </w:rPr>
              <w:t>“</w:t>
            </w:r>
            <w:r>
              <w:rPr>
                <w:rFonts w:ascii="宋体" w:hAnsi="宋体" w:cs="宋体" w:hint="eastAsia"/>
                <w:sz w:val="18"/>
                <w:szCs w:val="18"/>
                <w:lang w:bidi="ar"/>
              </w:rPr>
              <w:t>缙云华孚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浙江金华华孚纺织有限公司（以下简称</w:t>
            </w:r>
            <w:r>
              <w:rPr>
                <w:sz w:val="18"/>
                <w:szCs w:val="18"/>
                <w:lang w:bidi="ar"/>
              </w:rPr>
              <w:t>“</w:t>
            </w:r>
            <w:r>
              <w:rPr>
                <w:rFonts w:ascii="宋体" w:hAnsi="宋体" w:cs="宋体" w:hint="eastAsia"/>
                <w:sz w:val="18"/>
                <w:szCs w:val="18"/>
                <w:lang w:bidi="ar"/>
              </w:rPr>
              <w:t>金华华孚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香港华孚贸易有限公司（以下简称</w:t>
            </w:r>
            <w:r>
              <w:rPr>
                <w:sz w:val="18"/>
                <w:szCs w:val="18"/>
                <w:lang w:bidi="ar"/>
              </w:rPr>
              <w:t>“</w:t>
            </w:r>
            <w:r>
              <w:rPr>
                <w:rFonts w:ascii="宋体" w:hAnsi="宋体" w:cs="宋体" w:hint="eastAsia"/>
                <w:sz w:val="18"/>
                <w:szCs w:val="18"/>
                <w:lang w:bidi="ar"/>
              </w:rPr>
              <w:t>香港华孚贸易</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华孚澳门离岸商业服务有限公司（以下简称</w:t>
            </w:r>
            <w:r>
              <w:rPr>
                <w:sz w:val="18"/>
                <w:szCs w:val="18"/>
                <w:lang w:bidi="ar"/>
              </w:rPr>
              <w:t>“</w:t>
            </w:r>
            <w:r>
              <w:rPr>
                <w:rFonts w:ascii="宋体" w:hAnsi="宋体" w:cs="宋体" w:hint="eastAsia"/>
                <w:sz w:val="18"/>
                <w:szCs w:val="18"/>
                <w:lang w:bidi="ar"/>
              </w:rPr>
              <w:t>澳门华孚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浙江聚丰贸易有限公司（以下简称</w:t>
            </w:r>
            <w:r>
              <w:rPr>
                <w:sz w:val="18"/>
                <w:szCs w:val="18"/>
                <w:lang w:bidi="ar"/>
              </w:rPr>
              <w:t>“</w:t>
            </w:r>
            <w:r>
              <w:rPr>
                <w:rFonts w:ascii="宋体" w:hAnsi="宋体" w:cs="宋体" w:hint="eastAsia"/>
                <w:sz w:val="18"/>
                <w:szCs w:val="18"/>
                <w:lang w:bidi="ar"/>
              </w:rPr>
              <w:t>浙江聚丰</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新疆六孚纺织工业园有限公司（以下简称</w:t>
            </w:r>
            <w:r>
              <w:rPr>
                <w:sz w:val="18"/>
                <w:szCs w:val="18"/>
                <w:lang w:bidi="ar"/>
              </w:rPr>
              <w:t>“</w:t>
            </w:r>
            <w:r>
              <w:rPr>
                <w:rFonts w:ascii="宋体" w:hAnsi="宋体" w:cs="宋体" w:hint="eastAsia"/>
                <w:sz w:val="18"/>
                <w:szCs w:val="18"/>
                <w:lang w:bidi="ar"/>
              </w:rPr>
              <w:t>新疆六孚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奎屯锦孚纺织有限公司（以下简称</w:t>
            </w:r>
            <w:r>
              <w:rPr>
                <w:sz w:val="18"/>
                <w:szCs w:val="18"/>
                <w:lang w:bidi="ar"/>
              </w:rPr>
              <w:t>“</w:t>
            </w:r>
            <w:r>
              <w:rPr>
                <w:rFonts w:ascii="宋体" w:hAnsi="宋体" w:cs="宋体" w:hint="eastAsia"/>
                <w:sz w:val="18"/>
                <w:szCs w:val="18"/>
                <w:lang w:bidi="ar"/>
              </w:rPr>
              <w:t>奎屯纺织</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一级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67%</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67%</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新疆华孚纺织有限公司（以下简称</w:t>
            </w:r>
            <w:r>
              <w:rPr>
                <w:sz w:val="18"/>
                <w:szCs w:val="18"/>
                <w:lang w:bidi="ar"/>
              </w:rPr>
              <w:t>“</w:t>
            </w:r>
            <w:r>
              <w:rPr>
                <w:rFonts w:ascii="宋体" w:hAnsi="宋体" w:cs="宋体" w:hint="eastAsia"/>
                <w:sz w:val="18"/>
                <w:szCs w:val="18"/>
                <w:lang w:bidi="ar"/>
              </w:rPr>
              <w:t>新疆华孚纺织</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阿瓦提华孚纺织有限公司（以下简称</w:t>
            </w:r>
            <w:r>
              <w:rPr>
                <w:sz w:val="18"/>
                <w:szCs w:val="18"/>
                <w:lang w:bidi="ar"/>
              </w:rPr>
              <w:t>“</w:t>
            </w:r>
            <w:r>
              <w:rPr>
                <w:rFonts w:ascii="宋体" w:hAnsi="宋体" w:cs="宋体" w:hint="eastAsia"/>
                <w:sz w:val="18"/>
                <w:szCs w:val="18"/>
                <w:lang w:bidi="ar"/>
              </w:rPr>
              <w:t>阿瓦提华孚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新疆天宏新八棉产业有限公司（以下简称</w:t>
            </w:r>
            <w:r>
              <w:rPr>
                <w:sz w:val="18"/>
                <w:szCs w:val="18"/>
                <w:lang w:bidi="ar"/>
              </w:rPr>
              <w:t>“</w:t>
            </w:r>
            <w:r>
              <w:rPr>
                <w:rFonts w:ascii="宋体" w:hAnsi="宋体" w:cs="宋体" w:hint="eastAsia"/>
                <w:sz w:val="18"/>
                <w:szCs w:val="18"/>
                <w:lang w:bidi="ar"/>
              </w:rPr>
              <w:t>新疆天宏新八棉</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2"/>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石河子标配纤维有限公司（以下简称</w:t>
            </w:r>
            <w:r>
              <w:rPr>
                <w:sz w:val="18"/>
                <w:szCs w:val="18"/>
                <w:lang w:bidi="ar"/>
              </w:rPr>
              <w:t>“</w:t>
            </w:r>
            <w:r>
              <w:rPr>
                <w:rFonts w:ascii="宋体" w:hAnsi="宋体" w:cs="宋体" w:hint="eastAsia"/>
                <w:sz w:val="18"/>
                <w:szCs w:val="18"/>
                <w:lang w:bidi="ar"/>
              </w:rPr>
              <w:t>石河子标配</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淮北市华孚纺织有限公司（以下简称</w:t>
            </w:r>
            <w:r>
              <w:rPr>
                <w:sz w:val="18"/>
                <w:szCs w:val="18"/>
                <w:lang w:bidi="ar"/>
              </w:rPr>
              <w:t>“</w:t>
            </w:r>
            <w:r>
              <w:rPr>
                <w:rFonts w:ascii="宋体" w:hAnsi="宋体" w:cs="宋体" w:hint="eastAsia"/>
                <w:sz w:val="18"/>
                <w:szCs w:val="18"/>
                <w:lang w:bidi="ar"/>
              </w:rPr>
              <w:t>淮北华孚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一级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浙江昇孚贸易有限公司（以下简称</w:t>
            </w:r>
            <w:r>
              <w:rPr>
                <w:sz w:val="18"/>
                <w:szCs w:val="18"/>
                <w:lang w:bidi="ar"/>
              </w:rPr>
              <w:t>“</w:t>
            </w:r>
            <w:r>
              <w:rPr>
                <w:rFonts w:ascii="宋体" w:hAnsi="宋体" w:cs="宋体" w:hint="eastAsia"/>
                <w:sz w:val="18"/>
                <w:szCs w:val="18"/>
                <w:lang w:bidi="ar"/>
              </w:rPr>
              <w:t>浙江昇孚</w:t>
            </w:r>
            <w:r>
              <w:rPr>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顺道（越南）实业独资有限公司</w:t>
            </w:r>
            <w:r>
              <w:rPr>
                <w:sz w:val="18"/>
                <w:szCs w:val="18"/>
                <w:lang w:bidi="ar"/>
              </w:rPr>
              <w:t>(</w:t>
            </w:r>
            <w:r>
              <w:rPr>
                <w:rFonts w:ascii="宋体" w:hAnsi="宋体" w:cs="宋体" w:hint="eastAsia"/>
                <w:sz w:val="18"/>
                <w:szCs w:val="18"/>
                <w:lang w:bidi="ar"/>
              </w:rPr>
              <w:t>以下简称</w:t>
            </w:r>
            <w:r>
              <w:rPr>
                <w:sz w:val="18"/>
                <w:szCs w:val="18"/>
                <w:lang w:bidi="ar"/>
              </w:rPr>
              <w:t>“</w:t>
            </w:r>
            <w:r>
              <w:rPr>
                <w:rFonts w:ascii="宋体" w:hAnsi="宋体" w:cs="宋体" w:hint="eastAsia"/>
                <w:sz w:val="18"/>
                <w:szCs w:val="18"/>
                <w:lang w:bidi="ar"/>
              </w:rPr>
              <w:t>顺道实业</w:t>
            </w:r>
            <w:r>
              <w:rPr>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深圳华孚网链投资有限公司（以下简称</w:t>
            </w:r>
            <w:r>
              <w:rPr>
                <w:sz w:val="18"/>
                <w:szCs w:val="18"/>
                <w:lang w:bidi="ar"/>
              </w:rPr>
              <w:t>“</w:t>
            </w:r>
            <w:r>
              <w:rPr>
                <w:rFonts w:ascii="宋体" w:hAnsi="宋体" w:cs="宋体" w:hint="eastAsia"/>
                <w:sz w:val="18"/>
                <w:szCs w:val="18"/>
                <w:lang w:bidi="ar"/>
              </w:rPr>
              <w:t>华孚网链</w:t>
            </w:r>
            <w:r>
              <w:rPr>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一级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新疆华孚色纺集团有限公司（以下简称</w:t>
            </w:r>
            <w:r>
              <w:rPr>
                <w:sz w:val="18"/>
                <w:szCs w:val="18"/>
                <w:lang w:bidi="ar"/>
              </w:rPr>
              <w:t>“</w:t>
            </w:r>
            <w:r>
              <w:rPr>
                <w:rFonts w:ascii="宋体" w:hAnsi="宋体" w:cs="宋体" w:hint="eastAsia"/>
                <w:sz w:val="18"/>
                <w:szCs w:val="18"/>
                <w:lang w:bidi="ar"/>
              </w:rPr>
              <w:t>新疆华孚集团</w:t>
            </w:r>
            <w:r>
              <w:rPr>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97"/>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新疆天孚棉花供应链股份有限公司（以下简称</w:t>
            </w:r>
            <w:r>
              <w:rPr>
                <w:sz w:val="18"/>
                <w:szCs w:val="18"/>
                <w:lang w:bidi="ar"/>
              </w:rPr>
              <w:t>“</w:t>
            </w:r>
            <w:r>
              <w:rPr>
                <w:rFonts w:ascii="宋体" w:hAnsi="宋体" w:cs="宋体" w:hint="eastAsia"/>
                <w:sz w:val="18"/>
                <w:szCs w:val="18"/>
                <w:lang w:bidi="ar"/>
              </w:rPr>
              <w:t>新疆天孚</w:t>
            </w:r>
            <w:r>
              <w:rPr>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深圳网链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阿克苏标信纤维有限公司（以下简称</w:t>
            </w:r>
            <w:r>
              <w:rPr>
                <w:sz w:val="18"/>
                <w:szCs w:val="18"/>
                <w:lang w:bidi="ar"/>
              </w:rPr>
              <w:t>“</w:t>
            </w:r>
            <w:r>
              <w:rPr>
                <w:rFonts w:ascii="宋体" w:hAnsi="宋体" w:cs="宋体" w:hint="eastAsia"/>
                <w:sz w:val="18"/>
                <w:szCs w:val="18"/>
                <w:lang w:bidi="ar"/>
              </w:rPr>
              <w:t>阿克苏标信</w:t>
            </w:r>
            <w:r>
              <w:rPr>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浙江服人网络科技有限公司（以下简称</w:t>
            </w:r>
            <w:r>
              <w:rPr>
                <w:sz w:val="18"/>
                <w:szCs w:val="18"/>
                <w:lang w:bidi="ar"/>
              </w:rPr>
              <w:t>“</w:t>
            </w:r>
            <w:r>
              <w:rPr>
                <w:rFonts w:ascii="宋体" w:hAnsi="宋体" w:cs="宋体" w:hint="eastAsia"/>
                <w:sz w:val="18"/>
                <w:szCs w:val="18"/>
                <w:lang w:bidi="ar"/>
              </w:rPr>
              <w:t>浙江服人网链</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浙江社标纤维有限公司（以下简称</w:t>
            </w:r>
            <w:r>
              <w:rPr>
                <w:sz w:val="18"/>
                <w:szCs w:val="18"/>
                <w:lang w:bidi="ar"/>
              </w:rPr>
              <w:t>“</w:t>
            </w:r>
            <w:r>
              <w:rPr>
                <w:rFonts w:ascii="宋体" w:hAnsi="宋体" w:cs="宋体" w:hint="eastAsia"/>
                <w:sz w:val="18"/>
                <w:szCs w:val="18"/>
                <w:lang w:bidi="ar"/>
              </w:rPr>
              <w:t>浙江社标纤维</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浙江维新贸易有限公司（以下简称</w:t>
            </w:r>
            <w:r>
              <w:rPr>
                <w:sz w:val="18"/>
                <w:szCs w:val="18"/>
                <w:lang w:bidi="ar"/>
              </w:rPr>
              <w:t>“</w:t>
            </w:r>
            <w:r>
              <w:rPr>
                <w:rFonts w:ascii="宋体" w:hAnsi="宋体" w:cs="宋体" w:hint="eastAsia"/>
                <w:sz w:val="18"/>
                <w:szCs w:val="18"/>
                <w:lang w:bidi="ar"/>
              </w:rPr>
              <w:t>浙江维新</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浙江易孚贸易有限公司（以下简称</w:t>
            </w:r>
            <w:r>
              <w:rPr>
                <w:sz w:val="18"/>
                <w:szCs w:val="18"/>
                <w:lang w:bidi="ar"/>
              </w:rPr>
              <w:t>“</w:t>
            </w:r>
            <w:r>
              <w:rPr>
                <w:rFonts w:ascii="宋体" w:hAnsi="宋体" w:cs="宋体" w:hint="eastAsia"/>
                <w:sz w:val="18"/>
                <w:szCs w:val="18"/>
                <w:lang w:bidi="ar"/>
              </w:rPr>
              <w:t>浙江易孚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浙江鲲驰</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r>
      <w:tr w:rsidR="00C526AC" w:rsidTr="00C94857">
        <w:trPr>
          <w:trHeight w:val="239"/>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浙江菁英电商管理服务有限公司（以下简称</w:t>
            </w:r>
            <w:r>
              <w:rPr>
                <w:sz w:val="18"/>
                <w:szCs w:val="18"/>
                <w:lang w:bidi="ar"/>
              </w:rPr>
              <w:t>“</w:t>
            </w:r>
            <w:r>
              <w:rPr>
                <w:rFonts w:ascii="宋体" w:hAnsi="宋体" w:cs="宋体" w:hint="eastAsia"/>
                <w:sz w:val="18"/>
                <w:szCs w:val="18"/>
                <w:lang w:bidi="ar"/>
              </w:rPr>
              <w:t>菁英电商</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深圳网链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上海华孚色纺贸易有限公司（以下简称</w:t>
            </w:r>
            <w:r>
              <w:rPr>
                <w:sz w:val="18"/>
                <w:szCs w:val="18"/>
                <w:lang w:bidi="ar"/>
              </w:rPr>
              <w:t>“</w:t>
            </w:r>
            <w:r>
              <w:rPr>
                <w:rFonts w:ascii="宋体" w:hAnsi="宋体" w:cs="宋体" w:hint="eastAsia"/>
                <w:sz w:val="18"/>
                <w:szCs w:val="18"/>
                <w:lang w:bidi="ar"/>
              </w:rPr>
              <w:t>上海华孚色纺</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207"/>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新疆棉花产业集团伽师棉业有限公司（以下简称</w:t>
            </w:r>
            <w:r>
              <w:rPr>
                <w:sz w:val="18"/>
                <w:szCs w:val="18"/>
                <w:lang w:bidi="ar"/>
              </w:rPr>
              <w:t>“</w:t>
            </w:r>
            <w:r>
              <w:rPr>
                <w:rFonts w:ascii="宋体" w:hAnsi="宋体" w:cs="宋体" w:hint="eastAsia"/>
                <w:sz w:val="18"/>
                <w:szCs w:val="18"/>
                <w:lang w:bidi="ar"/>
              </w:rPr>
              <w:t>伽师棉业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天孚供应链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143"/>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新疆棉花产业集团岳普湖棉业有限公司（以下简称</w:t>
            </w:r>
            <w:r>
              <w:rPr>
                <w:sz w:val="18"/>
                <w:szCs w:val="18"/>
                <w:lang w:bidi="ar"/>
              </w:rPr>
              <w:t>“</w:t>
            </w:r>
            <w:r>
              <w:rPr>
                <w:rFonts w:ascii="宋体" w:hAnsi="宋体" w:cs="宋体" w:hint="eastAsia"/>
                <w:sz w:val="18"/>
                <w:szCs w:val="18"/>
                <w:lang w:bidi="ar"/>
              </w:rPr>
              <w:t>岳普湖棉业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天孚供应链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C94857">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新疆棉花产业集团泽普棉业有限公司（以下简称</w:t>
            </w:r>
            <w:r>
              <w:rPr>
                <w:sz w:val="18"/>
                <w:szCs w:val="18"/>
                <w:lang w:bidi="ar"/>
              </w:rPr>
              <w:t>“</w:t>
            </w:r>
            <w:r>
              <w:rPr>
                <w:rFonts w:ascii="宋体" w:hAnsi="宋体" w:cs="宋体" w:hint="eastAsia"/>
                <w:sz w:val="18"/>
                <w:szCs w:val="18"/>
                <w:lang w:bidi="ar"/>
              </w:rPr>
              <w:t>泽普棉业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天孚供应链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272A85">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新疆棉花产业（集团）叶城棉业有限责任公司（以下简称</w:t>
            </w:r>
            <w:r>
              <w:rPr>
                <w:sz w:val="18"/>
                <w:szCs w:val="18"/>
                <w:lang w:bidi="ar"/>
              </w:rPr>
              <w:t>“</w:t>
            </w:r>
            <w:r>
              <w:rPr>
                <w:rFonts w:ascii="宋体" w:hAnsi="宋体" w:cs="宋体" w:hint="eastAsia"/>
                <w:sz w:val="18"/>
                <w:szCs w:val="18"/>
                <w:lang w:bidi="ar"/>
              </w:rPr>
              <w:t>叶城棉业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天孚供应链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272A85">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阿瓦提银花棉业有限责任公司（以下简称</w:t>
            </w:r>
            <w:r>
              <w:rPr>
                <w:sz w:val="18"/>
                <w:szCs w:val="18"/>
                <w:lang w:bidi="ar"/>
              </w:rPr>
              <w:t>“</w:t>
            </w:r>
            <w:r>
              <w:rPr>
                <w:rFonts w:ascii="宋体" w:hAnsi="宋体" w:cs="宋体" w:hint="eastAsia"/>
                <w:sz w:val="18"/>
                <w:szCs w:val="18"/>
                <w:lang w:bidi="ar"/>
              </w:rPr>
              <w:t>阿瓦提银花</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272A85">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库车银花棉业有限责任公司（以下简称</w:t>
            </w:r>
            <w:r>
              <w:rPr>
                <w:sz w:val="18"/>
                <w:szCs w:val="18"/>
                <w:lang w:bidi="ar"/>
              </w:rPr>
              <w:t>“</w:t>
            </w:r>
            <w:r>
              <w:rPr>
                <w:rFonts w:ascii="宋体" w:hAnsi="宋体" w:cs="宋体" w:hint="eastAsia"/>
                <w:sz w:val="18"/>
                <w:szCs w:val="18"/>
                <w:lang w:bidi="ar"/>
              </w:rPr>
              <w:t>库车银花</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沙雅银花棉业有限责任公司（以下简称</w:t>
            </w:r>
            <w:r>
              <w:rPr>
                <w:sz w:val="18"/>
                <w:szCs w:val="18"/>
                <w:lang w:bidi="ar"/>
              </w:rPr>
              <w:t>“</w:t>
            </w:r>
            <w:r>
              <w:rPr>
                <w:rFonts w:ascii="宋体" w:hAnsi="宋体" w:cs="宋体" w:hint="eastAsia"/>
                <w:sz w:val="18"/>
                <w:szCs w:val="18"/>
                <w:lang w:bidi="ar"/>
              </w:rPr>
              <w:t>沙雅银花</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新和银花棉业有限责任公司（以下简称</w:t>
            </w:r>
            <w:r>
              <w:rPr>
                <w:sz w:val="18"/>
                <w:szCs w:val="18"/>
                <w:lang w:bidi="ar"/>
              </w:rPr>
              <w:t>“</w:t>
            </w:r>
            <w:r>
              <w:rPr>
                <w:rFonts w:ascii="宋体" w:hAnsi="宋体" w:cs="宋体" w:hint="eastAsia"/>
                <w:sz w:val="18"/>
                <w:szCs w:val="18"/>
                <w:lang w:bidi="ar"/>
              </w:rPr>
              <w:t>新和银花</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库车县纵横棉业有限责任公司（以下简称</w:t>
            </w:r>
            <w:r>
              <w:rPr>
                <w:sz w:val="18"/>
                <w:szCs w:val="18"/>
                <w:lang w:bidi="ar"/>
              </w:rPr>
              <w:t>“</w:t>
            </w:r>
            <w:r>
              <w:rPr>
                <w:rFonts w:ascii="宋体" w:hAnsi="宋体" w:cs="宋体" w:hint="eastAsia"/>
                <w:sz w:val="18"/>
                <w:szCs w:val="18"/>
                <w:lang w:bidi="ar"/>
              </w:rPr>
              <w:t>库车纵横</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库车县恒丰棉业有限责任公司（以下简称</w:t>
            </w:r>
            <w:r>
              <w:rPr>
                <w:sz w:val="18"/>
                <w:szCs w:val="18"/>
                <w:lang w:bidi="ar"/>
              </w:rPr>
              <w:t>“</w:t>
            </w:r>
            <w:r>
              <w:rPr>
                <w:rFonts w:ascii="宋体" w:hAnsi="宋体" w:cs="宋体" w:hint="eastAsia"/>
                <w:sz w:val="18"/>
                <w:szCs w:val="18"/>
                <w:lang w:bidi="ar"/>
              </w:rPr>
              <w:t>库车恒丰</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呼图壁县宏盛棉业有限公司（以下简称</w:t>
            </w:r>
            <w:r>
              <w:rPr>
                <w:sz w:val="18"/>
                <w:szCs w:val="18"/>
                <w:lang w:bidi="ar"/>
              </w:rPr>
              <w:t>“</w:t>
            </w:r>
            <w:r>
              <w:rPr>
                <w:rFonts w:ascii="宋体" w:hAnsi="宋体" w:cs="宋体" w:hint="eastAsia"/>
                <w:sz w:val="18"/>
                <w:szCs w:val="18"/>
                <w:lang w:bidi="ar"/>
              </w:rPr>
              <w:t>呼图壁宏盛</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新疆华孚恒丰棉业有限公司（以下简称</w:t>
            </w:r>
            <w:r>
              <w:rPr>
                <w:sz w:val="18"/>
                <w:szCs w:val="18"/>
                <w:lang w:bidi="ar"/>
              </w:rPr>
              <w:t>“</w:t>
            </w:r>
            <w:r>
              <w:rPr>
                <w:rFonts w:ascii="宋体" w:hAnsi="宋体" w:cs="宋体" w:hint="eastAsia"/>
                <w:sz w:val="18"/>
                <w:szCs w:val="18"/>
                <w:lang w:bidi="ar"/>
              </w:rPr>
              <w:t>华孚恒丰</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36"/>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浙江菁英创业服务有限公司（以下简称</w:t>
            </w:r>
            <w:r>
              <w:rPr>
                <w:sz w:val="18"/>
                <w:szCs w:val="18"/>
                <w:lang w:bidi="ar"/>
              </w:rPr>
              <w:t>“</w:t>
            </w:r>
            <w:r>
              <w:rPr>
                <w:rFonts w:ascii="宋体" w:hAnsi="宋体" w:cs="宋体" w:hint="eastAsia"/>
                <w:sz w:val="18"/>
                <w:szCs w:val="18"/>
                <w:lang w:bidi="ar"/>
              </w:rPr>
              <w:t>浙江菁英创业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菁英电商</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新疆棉花交易市场有限责任公司（以下简称</w:t>
            </w:r>
            <w:r>
              <w:rPr>
                <w:sz w:val="18"/>
                <w:szCs w:val="18"/>
                <w:lang w:bidi="ar"/>
              </w:rPr>
              <w:t>“</w:t>
            </w:r>
            <w:r>
              <w:rPr>
                <w:rFonts w:ascii="宋体" w:hAnsi="宋体" w:cs="宋体" w:hint="eastAsia"/>
                <w:sz w:val="18"/>
                <w:szCs w:val="18"/>
                <w:lang w:bidi="ar"/>
              </w:rPr>
              <w:t>新疆棉花交易市场</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新疆华孚棉业</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新疆华孚棉业集团有限公司（以下简称</w:t>
            </w:r>
            <w:r>
              <w:rPr>
                <w:sz w:val="18"/>
                <w:szCs w:val="18"/>
                <w:lang w:bidi="ar"/>
              </w:rPr>
              <w:t>“</w:t>
            </w:r>
            <w:r>
              <w:rPr>
                <w:rFonts w:ascii="宋体" w:hAnsi="宋体" w:cs="宋体" w:hint="eastAsia"/>
                <w:sz w:val="18"/>
                <w:szCs w:val="18"/>
                <w:lang w:bidi="ar"/>
              </w:rPr>
              <w:t>新疆华孚棉业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一级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阿克苏银星物流有限公司（以下简称</w:t>
            </w:r>
            <w:r>
              <w:rPr>
                <w:sz w:val="18"/>
                <w:szCs w:val="18"/>
                <w:lang w:bidi="ar"/>
              </w:rPr>
              <w:t>“</w:t>
            </w:r>
            <w:r>
              <w:rPr>
                <w:rFonts w:ascii="宋体" w:hAnsi="宋体" w:cs="宋体" w:hint="eastAsia"/>
                <w:sz w:val="18"/>
                <w:szCs w:val="18"/>
                <w:lang w:bidi="ar"/>
              </w:rPr>
              <w:t>阿克苏银星物流</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新疆华孚棉业</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浙江万服生长投资管理有限公司（以下简称</w:t>
            </w:r>
            <w:r>
              <w:rPr>
                <w:sz w:val="18"/>
                <w:szCs w:val="18"/>
                <w:lang w:bidi="ar"/>
              </w:rPr>
              <w:t>“</w:t>
            </w:r>
            <w:r>
              <w:rPr>
                <w:rFonts w:ascii="宋体" w:hAnsi="宋体" w:cs="宋体" w:hint="eastAsia"/>
                <w:sz w:val="18"/>
                <w:szCs w:val="18"/>
                <w:lang w:bidi="ar"/>
              </w:rPr>
              <w:t>浙江万服生长</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淮北华孚供应链管理有限公司（以下简称</w:t>
            </w:r>
            <w:r>
              <w:rPr>
                <w:sz w:val="18"/>
                <w:szCs w:val="18"/>
                <w:lang w:bidi="ar"/>
              </w:rPr>
              <w:t>“</w:t>
            </w:r>
            <w:r>
              <w:rPr>
                <w:rFonts w:ascii="宋体" w:hAnsi="宋体" w:cs="宋体" w:hint="eastAsia"/>
                <w:sz w:val="18"/>
                <w:szCs w:val="18"/>
                <w:lang w:bidi="ar"/>
              </w:rPr>
              <w:t>淮北供应链</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阿大纺织股份有限公司（以下简称</w:t>
            </w:r>
            <w:r>
              <w:rPr>
                <w:sz w:val="18"/>
                <w:szCs w:val="18"/>
                <w:lang w:bidi="ar"/>
              </w:rPr>
              <w:t>“</w:t>
            </w:r>
            <w:r>
              <w:rPr>
                <w:rFonts w:ascii="宋体" w:hAnsi="宋体" w:cs="宋体" w:hint="eastAsia"/>
                <w:sz w:val="18"/>
                <w:szCs w:val="18"/>
                <w:lang w:bidi="ar"/>
              </w:rPr>
              <w:t>阿大纺织</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乌什县阿大纺织有限公司（以下简称</w:t>
            </w:r>
            <w:r>
              <w:rPr>
                <w:sz w:val="18"/>
                <w:szCs w:val="18"/>
                <w:lang w:bidi="ar"/>
              </w:rPr>
              <w:t>“</w:t>
            </w:r>
            <w:r>
              <w:rPr>
                <w:rFonts w:ascii="宋体" w:hAnsi="宋体" w:cs="宋体" w:hint="eastAsia"/>
                <w:sz w:val="18"/>
                <w:szCs w:val="18"/>
                <w:lang w:bidi="ar"/>
              </w:rPr>
              <w:t>乌什县阿大</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浙江博忆</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石河子华孚宏盛棉业有限公司（以下简称</w:t>
            </w:r>
            <w:r>
              <w:rPr>
                <w:sz w:val="18"/>
                <w:szCs w:val="18"/>
                <w:lang w:bidi="ar"/>
              </w:rPr>
              <w:t>“</w:t>
            </w:r>
            <w:r>
              <w:rPr>
                <w:rFonts w:ascii="宋体" w:hAnsi="宋体" w:cs="宋体" w:hint="eastAsia"/>
                <w:sz w:val="18"/>
                <w:szCs w:val="18"/>
                <w:lang w:bidi="ar"/>
              </w:rPr>
              <w:t>石河子宏盛</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6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香港天成贸易有限公司（以下简称</w:t>
            </w:r>
            <w:r>
              <w:rPr>
                <w:sz w:val="18"/>
                <w:szCs w:val="18"/>
                <w:lang w:bidi="ar"/>
              </w:rPr>
              <w:t>“</w:t>
            </w:r>
            <w:r>
              <w:rPr>
                <w:rFonts w:ascii="宋体" w:hAnsi="宋体" w:cs="宋体" w:hint="eastAsia"/>
                <w:sz w:val="18"/>
                <w:szCs w:val="18"/>
                <w:lang w:bidi="ar"/>
              </w:rPr>
              <w:t>香港天成</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浙江博忆纺织科技有限公司（以下简称</w:t>
            </w:r>
            <w:r>
              <w:rPr>
                <w:sz w:val="18"/>
                <w:szCs w:val="18"/>
                <w:lang w:bidi="ar"/>
              </w:rPr>
              <w:t>“</w:t>
            </w:r>
            <w:r>
              <w:rPr>
                <w:rFonts w:ascii="宋体" w:hAnsi="宋体" w:cs="宋体" w:hint="eastAsia"/>
                <w:sz w:val="18"/>
                <w:szCs w:val="18"/>
                <w:lang w:bidi="ar"/>
              </w:rPr>
              <w:t>浙江博忆</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浙江鲲驰</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浙江双琪进出口有限公司（以下简称</w:t>
            </w:r>
            <w:r>
              <w:rPr>
                <w:sz w:val="18"/>
                <w:szCs w:val="18"/>
                <w:lang w:bidi="ar"/>
              </w:rPr>
              <w:t>“</w:t>
            </w:r>
            <w:r>
              <w:rPr>
                <w:rFonts w:ascii="宋体" w:hAnsi="宋体" w:cs="宋体" w:hint="eastAsia"/>
                <w:sz w:val="18"/>
                <w:szCs w:val="18"/>
                <w:lang w:bidi="ar"/>
              </w:rPr>
              <w:t>浙江双琪</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浙江博忆</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浙江诸暨科宁投资有限公司（以下简称</w:t>
            </w:r>
            <w:r>
              <w:rPr>
                <w:sz w:val="18"/>
                <w:szCs w:val="18"/>
                <w:lang w:bidi="ar"/>
              </w:rPr>
              <w:t>“</w:t>
            </w:r>
            <w:r>
              <w:rPr>
                <w:rFonts w:ascii="宋体" w:hAnsi="宋体" w:cs="宋体" w:hint="eastAsia"/>
                <w:sz w:val="18"/>
                <w:szCs w:val="18"/>
                <w:lang w:bidi="ar"/>
              </w:rPr>
              <w:t>诸暨科宁</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浙江博忆</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70%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新疆科宁针纺科技有限公司（以下简称</w:t>
            </w:r>
            <w:r>
              <w:rPr>
                <w:sz w:val="18"/>
                <w:szCs w:val="18"/>
                <w:lang w:bidi="ar"/>
              </w:rPr>
              <w:t>“</w:t>
            </w:r>
            <w:r>
              <w:rPr>
                <w:rFonts w:ascii="宋体" w:hAnsi="宋体" w:cs="宋体" w:hint="eastAsia"/>
                <w:sz w:val="18"/>
                <w:szCs w:val="18"/>
                <w:lang w:bidi="ar"/>
              </w:rPr>
              <w:t>新疆科宁</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诸暨科宁</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诸暨广昊纺织有限公司（以下简称</w:t>
            </w:r>
            <w:r>
              <w:rPr>
                <w:sz w:val="18"/>
                <w:szCs w:val="18"/>
                <w:lang w:bidi="ar"/>
              </w:rPr>
              <w:t>“</w:t>
            </w:r>
            <w:r>
              <w:rPr>
                <w:rFonts w:ascii="宋体" w:hAnsi="宋体" w:cs="宋体" w:hint="eastAsia"/>
                <w:sz w:val="18"/>
                <w:szCs w:val="18"/>
                <w:lang w:bidi="ar"/>
              </w:rPr>
              <w:t>诸暨广昊</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新疆科宁</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六级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浙江阿大贸易有限公司（以下简称</w:t>
            </w:r>
            <w:r>
              <w:rPr>
                <w:sz w:val="18"/>
                <w:szCs w:val="18"/>
                <w:lang w:bidi="ar"/>
              </w:rPr>
              <w:t>“</w:t>
            </w:r>
            <w:r>
              <w:rPr>
                <w:rFonts w:ascii="宋体" w:hAnsi="宋体" w:cs="宋体" w:hint="eastAsia"/>
                <w:sz w:val="18"/>
                <w:szCs w:val="18"/>
                <w:lang w:bidi="ar"/>
              </w:rPr>
              <w:t>浙江阿大</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金华市菁英职业技能培训学校有限公司（以下简称</w:t>
            </w:r>
            <w:r>
              <w:rPr>
                <w:sz w:val="18"/>
                <w:szCs w:val="18"/>
                <w:lang w:bidi="ar"/>
              </w:rPr>
              <w:t>“</w:t>
            </w:r>
            <w:r>
              <w:rPr>
                <w:rFonts w:ascii="宋体" w:hAnsi="宋体" w:cs="宋体" w:hint="eastAsia"/>
                <w:sz w:val="18"/>
                <w:szCs w:val="18"/>
                <w:lang w:bidi="ar"/>
              </w:rPr>
              <w:t>菁英培训</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菁英电商</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胡杨河华孚宏盛棉业有限公司（以下简称</w:t>
            </w:r>
            <w:r>
              <w:rPr>
                <w:sz w:val="18"/>
                <w:szCs w:val="18"/>
                <w:lang w:bidi="ar"/>
              </w:rPr>
              <w:t>“</w:t>
            </w:r>
            <w:r>
              <w:rPr>
                <w:rFonts w:ascii="宋体" w:hAnsi="宋体" w:cs="宋体" w:hint="eastAsia"/>
                <w:sz w:val="18"/>
                <w:szCs w:val="18"/>
                <w:lang w:bidi="ar"/>
              </w:rPr>
              <w:t>胡杨河宏盛</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越南隆安英鸿投资股份有限公司（以下简称</w:t>
            </w:r>
            <w:r>
              <w:rPr>
                <w:sz w:val="18"/>
                <w:szCs w:val="18"/>
                <w:lang w:bidi="ar"/>
              </w:rPr>
              <w:t>“</w:t>
            </w:r>
            <w:r>
              <w:rPr>
                <w:rFonts w:ascii="宋体" w:hAnsi="宋体" w:cs="宋体" w:hint="eastAsia"/>
                <w:sz w:val="18"/>
                <w:szCs w:val="18"/>
                <w:lang w:bidi="ar"/>
              </w:rPr>
              <w:t>越南英鸿</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90%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90%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耀佳国际新加坡有限公司（以下简称</w:t>
            </w:r>
            <w:r>
              <w:rPr>
                <w:sz w:val="18"/>
                <w:szCs w:val="18"/>
                <w:lang w:bidi="ar"/>
              </w:rPr>
              <w:t>“</w:t>
            </w:r>
            <w:r>
              <w:rPr>
                <w:rFonts w:ascii="宋体" w:hAnsi="宋体" w:cs="宋体" w:hint="eastAsia"/>
                <w:sz w:val="18"/>
                <w:szCs w:val="18"/>
                <w:lang w:bidi="ar"/>
              </w:rPr>
              <w:t>新加坡耀佳</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新疆阿大数字科技产业园有限公司（以下简称</w:t>
            </w:r>
            <w:r>
              <w:rPr>
                <w:sz w:val="18"/>
                <w:szCs w:val="18"/>
                <w:lang w:bidi="ar"/>
              </w:rPr>
              <w:t>“</w:t>
            </w:r>
            <w:r>
              <w:rPr>
                <w:rFonts w:ascii="宋体" w:hAnsi="宋体" w:cs="宋体" w:hint="eastAsia"/>
                <w:sz w:val="18"/>
                <w:szCs w:val="18"/>
                <w:lang w:bidi="ar"/>
              </w:rPr>
              <w:t>新疆阿大</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浙江鲲驰</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浙江恒孚贸易有限公司（以下简称</w:t>
            </w:r>
            <w:r>
              <w:rPr>
                <w:sz w:val="18"/>
                <w:szCs w:val="18"/>
                <w:lang w:bidi="ar"/>
              </w:rPr>
              <w:t>“</w:t>
            </w:r>
            <w:r>
              <w:rPr>
                <w:rFonts w:ascii="宋体" w:hAnsi="宋体" w:cs="宋体" w:hint="eastAsia"/>
                <w:sz w:val="18"/>
                <w:szCs w:val="18"/>
                <w:lang w:bidi="ar"/>
              </w:rPr>
              <w:t>浙江恒孚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金华市菁英网红品牌管理有限公司（以下简称</w:t>
            </w:r>
            <w:r>
              <w:rPr>
                <w:sz w:val="18"/>
                <w:szCs w:val="18"/>
                <w:lang w:bidi="ar"/>
              </w:rPr>
              <w:t>“</w:t>
            </w:r>
            <w:r>
              <w:rPr>
                <w:rFonts w:ascii="宋体" w:hAnsi="宋体" w:cs="宋体" w:hint="eastAsia"/>
                <w:sz w:val="18"/>
                <w:szCs w:val="18"/>
                <w:lang w:bidi="ar"/>
              </w:rPr>
              <w:t>菁英网红</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菁英创业</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新疆天路制造有限公司（以下简称</w:t>
            </w:r>
            <w:r>
              <w:rPr>
                <w:sz w:val="18"/>
                <w:szCs w:val="18"/>
                <w:lang w:bidi="ar"/>
              </w:rPr>
              <w:t>“</w:t>
            </w:r>
            <w:r>
              <w:rPr>
                <w:rFonts w:ascii="宋体" w:hAnsi="宋体" w:cs="宋体" w:hint="eastAsia"/>
                <w:sz w:val="18"/>
                <w:szCs w:val="18"/>
                <w:lang w:bidi="ar"/>
              </w:rPr>
              <w:t>新疆天路</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一级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浙江阿大互联科技股份有限公司（以下简称</w:t>
            </w:r>
            <w:r>
              <w:rPr>
                <w:sz w:val="18"/>
                <w:szCs w:val="18"/>
                <w:lang w:bidi="ar"/>
              </w:rPr>
              <w:t>“</w:t>
            </w:r>
            <w:r>
              <w:rPr>
                <w:rFonts w:ascii="宋体" w:hAnsi="宋体" w:cs="宋体" w:hint="eastAsia"/>
                <w:sz w:val="18"/>
                <w:szCs w:val="18"/>
                <w:lang w:bidi="ar"/>
              </w:rPr>
              <w:t>阿大互联</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深圳网链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99%</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99%</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浙江铭孚针纺有限公司（以下简称</w:t>
            </w:r>
            <w:r>
              <w:rPr>
                <w:sz w:val="18"/>
                <w:szCs w:val="18"/>
                <w:lang w:bidi="ar"/>
              </w:rPr>
              <w:t>“</w:t>
            </w:r>
            <w:r>
              <w:rPr>
                <w:rFonts w:ascii="宋体" w:hAnsi="宋体" w:cs="宋体" w:hint="eastAsia"/>
                <w:sz w:val="18"/>
                <w:szCs w:val="18"/>
                <w:lang w:bidi="ar"/>
              </w:rPr>
              <w:t>浙江铭孚</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深圳网链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51%</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上海清澄时尚生活用品有限公司（以下简称</w:t>
            </w:r>
            <w:r>
              <w:rPr>
                <w:sz w:val="18"/>
                <w:szCs w:val="18"/>
                <w:lang w:bidi="ar"/>
              </w:rPr>
              <w:t>“</w:t>
            </w:r>
            <w:r>
              <w:rPr>
                <w:rFonts w:ascii="宋体" w:hAnsi="宋体" w:cs="宋体" w:hint="eastAsia"/>
                <w:sz w:val="18"/>
                <w:szCs w:val="18"/>
                <w:lang w:bidi="ar"/>
              </w:rPr>
              <w:t>上海清澄</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深圳网链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67%</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67%</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江苏清澄家生活用品有限公司（以下简称</w:t>
            </w:r>
            <w:r>
              <w:rPr>
                <w:sz w:val="18"/>
                <w:szCs w:val="18"/>
                <w:lang w:bidi="ar"/>
              </w:rPr>
              <w:t>“</w:t>
            </w:r>
            <w:r>
              <w:rPr>
                <w:rFonts w:ascii="宋体" w:hAnsi="宋体" w:cs="宋体" w:hint="eastAsia"/>
                <w:sz w:val="18"/>
                <w:szCs w:val="18"/>
                <w:lang w:bidi="ar"/>
              </w:rPr>
              <w:t>江苏清澄</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上海清澄</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浙江鲲驰互联科技有限公司（以下简称</w:t>
            </w:r>
            <w:r>
              <w:rPr>
                <w:sz w:val="18"/>
                <w:szCs w:val="18"/>
                <w:lang w:bidi="ar"/>
              </w:rPr>
              <w:t>“</w:t>
            </w:r>
            <w:r>
              <w:rPr>
                <w:rFonts w:ascii="宋体" w:hAnsi="宋体" w:cs="宋体" w:hint="eastAsia"/>
                <w:sz w:val="18"/>
                <w:szCs w:val="18"/>
                <w:lang w:bidi="ar"/>
              </w:rPr>
              <w:t>浙江鲲驰互联</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深圳网链</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二级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65%</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65%</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诸暨中昊投资管理有限公司（以下简称</w:t>
            </w:r>
            <w:r>
              <w:rPr>
                <w:sz w:val="18"/>
                <w:szCs w:val="18"/>
                <w:lang w:bidi="ar"/>
              </w:rPr>
              <w:t>“</w:t>
            </w:r>
            <w:r>
              <w:rPr>
                <w:rFonts w:ascii="宋体" w:hAnsi="宋体" w:cs="宋体" w:hint="eastAsia"/>
                <w:sz w:val="18"/>
                <w:szCs w:val="18"/>
                <w:lang w:bidi="ar"/>
              </w:rPr>
              <w:t>诸暨中昊投资</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浙江鲲驰</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诸暨市鲲驰投资管理合伙企业（有限合伙）（以下简称</w:t>
            </w:r>
            <w:r>
              <w:rPr>
                <w:sz w:val="18"/>
                <w:szCs w:val="18"/>
                <w:lang w:bidi="ar"/>
              </w:rPr>
              <w:t>“</w:t>
            </w:r>
            <w:r>
              <w:rPr>
                <w:rFonts w:ascii="宋体" w:hAnsi="宋体" w:cs="宋体" w:hint="eastAsia"/>
                <w:sz w:val="18"/>
                <w:szCs w:val="18"/>
                <w:lang w:bidi="ar"/>
              </w:rPr>
              <w:t>诸暨鲲驰投资</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浙江鲲驰</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诸暨市卡拉美拉科技有限公司（以下简称</w:t>
            </w:r>
            <w:r>
              <w:rPr>
                <w:sz w:val="18"/>
                <w:szCs w:val="18"/>
                <w:lang w:bidi="ar"/>
              </w:rPr>
              <w:t>“</w:t>
            </w: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诸暨中昊</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55%</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55%</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诸暨市湛泸电子商务有限公司（以下简称</w:t>
            </w:r>
            <w:r>
              <w:rPr>
                <w:sz w:val="18"/>
                <w:szCs w:val="18"/>
                <w:lang w:bidi="ar"/>
              </w:rPr>
              <w:t>“</w:t>
            </w:r>
            <w:r>
              <w:rPr>
                <w:rFonts w:ascii="宋体" w:hAnsi="宋体" w:cs="宋体" w:hint="eastAsia"/>
                <w:sz w:val="18"/>
                <w:szCs w:val="18"/>
                <w:lang w:bidi="ar"/>
              </w:rPr>
              <w:t>湛泸电子商务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诸暨市渊虹电子商务有限公司（以下简称</w:t>
            </w:r>
            <w:r>
              <w:rPr>
                <w:sz w:val="18"/>
                <w:szCs w:val="18"/>
                <w:lang w:bidi="ar"/>
              </w:rPr>
              <w:t>“</w:t>
            </w:r>
            <w:r>
              <w:rPr>
                <w:rFonts w:ascii="宋体" w:hAnsi="宋体" w:cs="宋体" w:hint="eastAsia"/>
                <w:sz w:val="18"/>
                <w:szCs w:val="18"/>
                <w:lang w:bidi="ar"/>
              </w:rPr>
              <w:t>渊虹电子商务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诸暨市雪霁电子商务有限公司（以下简称</w:t>
            </w:r>
            <w:r>
              <w:rPr>
                <w:sz w:val="18"/>
                <w:szCs w:val="18"/>
                <w:lang w:bidi="ar"/>
              </w:rPr>
              <w:t>“</w:t>
            </w:r>
            <w:r>
              <w:rPr>
                <w:rFonts w:ascii="宋体" w:hAnsi="宋体" w:cs="宋体" w:hint="eastAsia"/>
                <w:sz w:val="18"/>
                <w:szCs w:val="18"/>
                <w:lang w:bidi="ar"/>
              </w:rPr>
              <w:t>雪霁电子商务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诸暨市承影电子商务有限公司（以下简称</w:t>
            </w:r>
            <w:r>
              <w:rPr>
                <w:sz w:val="18"/>
                <w:szCs w:val="18"/>
                <w:lang w:bidi="ar"/>
              </w:rPr>
              <w:t>“</w:t>
            </w:r>
            <w:r>
              <w:rPr>
                <w:rFonts w:ascii="宋体" w:hAnsi="宋体" w:cs="宋体" w:hint="eastAsia"/>
                <w:sz w:val="18"/>
                <w:szCs w:val="18"/>
                <w:lang w:bidi="ar"/>
              </w:rPr>
              <w:t>承影电子商务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诸暨市纯钧电子商务有限公司（以下简称</w:t>
            </w:r>
            <w:r>
              <w:rPr>
                <w:sz w:val="18"/>
                <w:szCs w:val="18"/>
                <w:lang w:bidi="ar"/>
              </w:rPr>
              <w:t>“</w:t>
            </w:r>
            <w:r>
              <w:rPr>
                <w:rFonts w:ascii="宋体" w:hAnsi="宋体" w:cs="宋体" w:hint="eastAsia"/>
                <w:sz w:val="18"/>
                <w:szCs w:val="18"/>
                <w:lang w:bidi="ar"/>
              </w:rPr>
              <w:t>纯钧电子商务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杭州一酷服饰有限公司（以下简称</w:t>
            </w:r>
            <w:r>
              <w:rPr>
                <w:sz w:val="18"/>
                <w:szCs w:val="18"/>
                <w:lang w:bidi="ar"/>
              </w:rPr>
              <w:t>“</w:t>
            </w:r>
            <w:r>
              <w:rPr>
                <w:rFonts w:ascii="宋体" w:hAnsi="宋体" w:cs="宋体" w:hint="eastAsia"/>
                <w:sz w:val="18"/>
                <w:szCs w:val="18"/>
                <w:lang w:bidi="ar"/>
              </w:rPr>
              <w:t>一酷服饰</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85%</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85%</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杭州棉格品牌管理有限公司（以下简称</w:t>
            </w:r>
            <w:r>
              <w:rPr>
                <w:sz w:val="18"/>
                <w:szCs w:val="18"/>
                <w:lang w:bidi="ar"/>
              </w:rPr>
              <w:t>“</w:t>
            </w:r>
            <w:r>
              <w:rPr>
                <w:rFonts w:ascii="宋体" w:hAnsi="宋体" w:cs="宋体" w:hint="eastAsia"/>
                <w:sz w:val="18"/>
                <w:szCs w:val="18"/>
                <w:lang w:bidi="ar"/>
              </w:rPr>
              <w:t>棉格品牌管理</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控股子公司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90%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90%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诸暨市龙渊电子商务有限公司（以下简称</w:t>
            </w:r>
            <w:r>
              <w:rPr>
                <w:sz w:val="18"/>
                <w:szCs w:val="18"/>
                <w:lang w:bidi="ar"/>
              </w:rPr>
              <w:t>“</w:t>
            </w:r>
            <w:r>
              <w:rPr>
                <w:rFonts w:ascii="宋体" w:hAnsi="宋体" w:cs="宋体" w:hint="eastAsia"/>
                <w:sz w:val="18"/>
                <w:szCs w:val="18"/>
                <w:lang w:bidi="ar"/>
              </w:rPr>
              <w:t>龙渊电子商务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诸暨市胜跃纺织有限公司（以下简称</w:t>
            </w:r>
            <w:r>
              <w:rPr>
                <w:sz w:val="18"/>
                <w:szCs w:val="18"/>
                <w:lang w:bidi="ar"/>
              </w:rPr>
              <w:t>“</w:t>
            </w:r>
            <w:r>
              <w:rPr>
                <w:rFonts w:ascii="宋体" w:hAnsi="宋体" w:cs="宋体" w:hint="eastAsia"/>
                <w:sz w:val="18"/>
                <w:szCs w:val="18"/>
                <w:lang w:bidi="ar"/>
              </w:rPr>
              <w:t>胜跃纺织</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诸暨市新亭电子商务有限公司（以下简称</w:t>
            </w:r>
            <w:r>
              <w:rPr>
                <w:sz w:val="18"/>
                <w:szCs w:val="18"/>
                <w:lang w:bidi="ar"/>
              </w:rPr>
              <w:t>“</w:t>
            </w:r>
            <w:r>
              <w:rPr>
                <w:rFonts w:ascii="宋体" w:hAnsi="宋体" w:cs="宋体" w:hint="eastAsia"/>
                <w:sz w:val="18"/>
                <w:szCs w:val="18"/>
                <w:lang w:bidi="ar"/>
              </w:rPr>
              <w:t>新亭电子商务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诸暨市赤霄电子商务有限公司（以下简称</w:t>
            </w:r>
            <w:r>
              <w:rPr>
                <w:sz w:val="18"/>
                <w:szCs w:val="18"/>
                <w:lang w:bidi="ar"/>
              </w:rPr>
              <w:t>“</w:t>
            </w:r>
            <w:r>
              <w:rPr>
                <w:rFonts w:ascii="宋体" w:hAnsi="宋体" w:cs="宋体" w:hint="eastAsia"/>
                <w:sz w:val="18"/>
                <w:szCs w:val="18"/>
                <w:lang w:bidi="ar"/>
              </w:rPr>
              <w:t>赤霄电子商务</w:t>
            </w:r>
            <w:r>
              <w:rPr>
                <w:sz w:val="18"/>
                <w:szCs w:val="18"/>
                <w:lang w:bidi="ar"/>
              </w:rPr>
              <w:t>”</w:t>
            </w:r>
            <w:r>
              <w:rPr>
                <w:rFonts w:ascii="宋体" w:hAnsi="宋体" w:cs="宋体" w:hint="eastAsia"/>
                <w:sz w:val="18"/>
                <w:szCs w:val="18"/>
                <w:lang w:bidi="ar"/>
              </w:rPr>
              <w:t>）</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卡拉美拉</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五级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安徽博忆纺织科技有限公司（以下简称“安徽博忆”）</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浙江博忆</w:t>
            </w:r>
            <w:r>
              <w:rPr>
                <w:sz w:val="18"/>
                <w:szCs w:val="18"/>
                <w:lang w:bidi="ar"/>
              </w:rPr>
              <w:t>-</w:t>
            </w:r>
            <w:r>
              <w:rPr>
                <w:rFonts w:ascii="宋体" w:hAnsi="宋体" w:cs="宋体" w:hint="eastAsia"/>
                <w:sz w:val="18"/>
                <w:szCs w:val="18"/>
                <w:lang w:bidi="ar"/>
              </w:rPr>
              <w:t>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四级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金华市菁英物业发展有限公司（以下简称“菁英物业”）</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菁英电商-全资子公司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r w:rsidR="00C526AC" w:rsidTr="00564F21">
        <w:trPr>
          <w:trHeight w:val="20"/>
        </w:trPr>
        <w:tc>
          <w:tcPr>
            <w:tcW w:w="4546"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rFonts w:ascii="宋体" w:hAnsi="宋体" w:cs="宋体"/>
                <w:sz w:val="18"/>
                <w:szCs w:val="18"/>
              </w:rPr>
            </w:pPr>
            <w:r>
              <w:rPr>
                <w:rFonts w:ascii="宋体" w:hAnsi="宋体" w:cs="宋体" w:hint="eastAsia"/>
                <w:sz w:val="18"/>
                <w:szCs w:val="18"/>
                <w:lang w:bidi="ar"/>
              </w:rPr>
              <w:t>阿克苏华孚新能源有限公司（以下简称“阿克苏新能源”）</w:t>
            </w:r>
          </w:p>
        </w:tc>
        <w:tc>
          <w:tcPr>
            <w:tcW w:w="1418"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阿克苏色纺-全资子公司</w:t>
            </w:r>
          </w:p>
        </w:tc>
        <w:tc>
          <w:tcPr>
            <w:tcW w:w="70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rFonts w:ascii="宋体" w:hAnsi="宋体" w:cs="宋体"/>
                <w:sz w:val="18"/>
                <w:szCs w:val="18"/>
              </w:rPr>
            </w:pPr>
            <w:r>
              <w:rPr>
                <w:rFonts w:ascii="宋体" w:hAnsi="宋体" w:cs="宋体" w:hint="eastAsia"/>
                <w:sz w:val="18"/>
                <w:szCs w:val="18"/>
                <w:lang w:bidi="ar"/>
              </w:rPr>
              <w:t>三级</w:t>
            </w:r>
          </w:p>
        </w:tc>
        <w:tc>
          <w:tcPr>
            <w:tcW w:w="1417"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c>
          <w:tcPr>
            <w:tcW w:w="1559" w:type="dxa"/>
            <w:tcBorders>
              <w:top w:val="nil"/>
              <w:left w:val="nil"/>
              <w:bottom w:val="single" w:sz="8" w:space="0" w:color="auto"/>
              <w:right w:val="single" w:sz="8" w:space="0" w:color="auto"/>
            </w:tcBorders>
            <w:shd w:val="clear" w:color="auto" w:fill="auto"/>
            <w:vAlign w:val="center"/>
          </w:tcPr>
          <w:p w:rsidR="00C526AC" w:rsidRDefault="00E0175D" w:rsidP="00C94857">
            <w:pPr>
              <w:widowControl/>
              <w:jc w:val="center"/>
              <w:textAlignment w:val="center"/>
              <w:rPr>
                <w:sz w:val="18"/>
                <w:szCs w:val="18"/>
              </w:rPr>
            </w:pPr>
            <w:r>
              <w:rPr>
                <w:sz w:val="18"/>
                <w:szCs w:val="18"/>
                <w:lang w:bidi="ar"/>
              </w:rPr>
              <w:t>100%</w:t>
            </w:r>
          </w:p>
        </w:tc>
      </w:tr>
    </w:tbl>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子公司的持股比例不同于表决权比例的原因、以及持有半数或以下表决权但仍控制被投资单位的依据说明详见附注八、（一）在子公司中的权益。</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本期纳入合并财务报表范围的主体较上期相比，增加3户，减少2户，合并范围变更主体的具体信息详见附注七、合并范围的变更。</w:t>
      </w:r>
    </w:p>
    <w:p w:rsidR="00C526AC" w:rsidRDefault="00E0175D">
      <w:pPr>
        <w:keepNext/>
        <w:keepLines/>
        <w:spacing w:before="300" w:after="300" w:line="320" w:lineRule="exact"/>
        <w:jc w:val="left"/>
        <w:outlineLvl w:val="1"/>
        <w:rPr>
          <w:rFonts w:ascii="宋体" w:hAnsi="宋体" w:cs="宋体"/>
          <w:b/>
          <w:bCs/>
          <w:sz w:val="24"/>
          <w:szCs w:val="24"/>
        </w:rPr>
      </w:pPr>
      <w:bookmarkStart w:id="13" w:name="_Toc989003"/>
      <w:r>
        <w:rPr>
          <w:rFonts w:ascii="宋体" w:hAnsi="宋体" w:cs="宋体"/>
          <w:b/>
          <w:bCs/>
          <w:sz w:val="24"/>
          <w:szCs w:val="24"/>
        </w:rPr>
        <w:t>四、财务报表的编制基础</w:t>
      </w:r>
      <w:bookmarkEnd w:id="13"/>
    </w:p>
    <w:p w:rsidR="00C526AC" w:rsidRDefault="00E0175D">
      <w:pPr>
        <w:keepNext/>
        <w:keepLines/>
        <w:spacing w:before="300" w:after="300" w:line="280" w:lineRule="exact"/>
        <w:jc w:val="left"/>
        <w:outlineLvl w:val="2"/>
        <w:rPr>
          <w:rFonts w:ascii="宋体" w:hAnsi="宋体" w:cs="宋体"/>
          <w:b/>
          <w:bCs/>
          <w:szCs w:val="21"/>
        </w:rPr>
      </w:pPr>
      <w:bookmarkStart w:id="14" w:name="_Toc989004"/>
      <w:r>
        <w:rPr>
          <w:rFonts w:ascii="宋体" w:hAnsi="宋体" w:cs="宋体"/>
          <w:b/>
          <w:bCs/>
          <w:szCs w:val="21"/>
        </w:rPr>
        <w:t>1、编制基础</w:t>
      </w:r>
      <w:bookmarkEnd w:id="14"/>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根据实际发生的交易和事项，按照财政部颁布的《企业会计准则——基本准则》和具体企业会计准则、企业会计准则应用指南、企业会计准则解释及其他相关规定（以下合称“企业会计准则”）进行确认和计量，在此基础上，结合中国证券监督管理委员会《公开发行证券的公司信息披露编报规则第15号——财务报告的一般规定》（2014年修订）的规定，编制财务报表。</w:t>
      </w:r>
    </w:p>
    <w:p w:rsidR="00C526AC" w:rsidRDefault="00E0175D">
      <w:pPr>
        <w:keepNext/>
        <w:keepLines/>
        <w:spacing w:before="300" w:after="300" w:line="280" w:lineRule="exact"/>
        <w:jc w:val="left"/>
        <w:outlineLvl w:val="2"/>
        <w:rPr>
          <w:rFonts w:ascii="宋体" w:hAnsi="宋体" w:cs="宋体"/>
          <w:b/>
          <w:bCs/>
          <w:szCs w:val="21"/>
        </w:rPr>
      </w:pPr>
      <w:bookmarkStart w:id="15" w:name="_Toc989005"/>
      <w:r>
        <w:rPr>
          <w:rFonts w:ascii="宋体" w:hAnsi="宋体" w:cs="宋体"/>
          <w:b/>
          <w:bCs/>
          <w:szCs w:val="21"/>
        </w:rPr>
        <w:t>2、持续经营</w:t>
      </w:r>
      <w:bookmarkEnd w:id="15"/>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本公司对报告期末起12个月的持续经营能力进行了评价，未发现对持续经营能力产生重大怀疑的事项或情况。因此，本财务报表系在持续经营假设的基础上编制。</w:t>
      </w:r>
    </w:p>
    <w:p w:rsidR="00C526AC" w:rsidRDefault="00E0175D">
      <w:pPr>
        <w:keepNext/>
        <w:keepLines/>
        <w:spacing w:before="300" w:after="300" w:line="560" w:lineRule="exact"/>
        <w:jc w:val="left"/>
        <w:outlineLvl w:val="1"/>
        <w:rPr>
          <w:rFonts w:ascii="宋体" w:hAnsi="宋体" w:cs="宋体"/>
          <w:b/>
          <w:bCs/>
          <w:sz w:val="24"/>
          <w:szCs w:val="24"/>
        </w:rPr>
      </w:pPr>
      <w:bookmarkStart w:id="16" w:name="_Toc989006"/>
      <w:r>
        <w:rPr>
          <w:rFonts w:ascii="宋体" w:hAnsi="宋体" w:cs="宋体"/>
          <w:b/>
          <w:bCs/>
          <w:sz w:val="24"/>
          <w:szCs w:val="24"/>
        </w:rPr>
        <w:t>五、重要会计政策及会计估计</w:t>
      </w:r>
      <w:bookmarkEnd w:id="16"/>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具体会计政策和会计估计提示：</w:t>
      </w:r>
    </w:p>
    <w:p w:rsidR="00C526AC" w:rsidRDefault="00E0175D">
      <w:pPr>
        <w:pStyle w:val="a3"/>
        <w:widowControl/>
        <w:spacing w:before="40" w:beforeAutospacing="0" w:after="40" w:afterAutospacing="0"/>
        <w:ind w:firstLine="360"/>
        <w:rPr>
          <w:rFonts w:ascii="宋体" w:hAnsi="宋体" w:cs="宋体"/>
          <w:sz w:val="18"/>
          <w:szCs w:val="18"/>
        </w:rPr>
      </w:pPr>
      <w:r>
        <w:rPr>
          <w:rFonts w:ascii="宋体" w:hAnsi="宋体" w:cs="宋体" w:hint="eastAsia"/>
          <w:sz w:val="18"/>
          <w:szCs w:val="18"/>
        </w:rPr>
        <w:t>具体会计政策和会计估计提示：</w:t>
      </w:r>
    </w:p>
    <w:p w:rsidR="00C526AC" w:rsidRDefault="00E0175D">
      <w:pPr>
        <w:pStyle w:val="a3"/>
        <w:widowControl/>
        <w:spacing w:before="40" w:beforeAutospacing="0" w:after="40" w:afterAutospacing="0"/>
        <w:jc w:val="both"/>
        <w:rPr>
          <w:rFonts w:ascii="宋体" w:hAnsi="宋体" w:cs="宋体"/>
          <w:sz w:val="18"/>
          <w:szCs w:val="18"/>
        </w:rPr>
      </w:pPr>
      <w:r>
        <w:rPr>
          <w:rFonts w:ascii="宋体" w:hAnsi="宋体" w:cs="宋体" w:hint="eastAsia"/>
          <w:sz w:val="18"/>
          <w:szCs w:val="18"/>
        </w:rPr>
        <w:t>本公司自</w:t>
      </w:r>
      <w:r>
        <w:rPr>
          <w:sz w:val="18"/>
          <w:szCs w:val="18"/>
        </w:rPr>
        <w:t>2021</w:t>
      </w:r>
      <w:r>
        <w:rPr>
          <w:rFonts w:ascii="宋体" w:hAnsi="宋体" w:cs="宋体" w:hint="eastAsia"/>
          <w:sz w:val="18"/>
          <w:szCs w:val="18"/>
        </w:rPr>
        <w:t>年</w:t>
      </w:r>
      <w:r>
        <w:rPr>
          <w:sz w:val="18"/>
          <w:szCs w:val="18"/>
        </w:rPr>
        <w:t>1</w:t>
      </w:r>
      <w:r>
        <w:rPr>
          <w:rFonts w:ascii="宋体" w:hAnsi="宋体" w:cs="宋体" w:hint="eastAsia"/>
          <w:sz w:val="18"/>
          <w:szCs w:val="18"/>
        </w:rPr>
        <w:t>月</w:t>
      </w:r>
      <w:r>
        <w:rPr>
          <w:sz w:val="18"/>
          <w:szCs w:val="18"/>
        </w:rPr>
        <w:t>1</w:t>
      </w:r>
      <w:r>
        <w:rPr>
          <w:rFonts w:ascii="宋体" w:hAnsi="宋体" w:cs="宋体" w:hint="eastAsia"/>
          <w:sz w:val="18"/>
          <w:szCs w:val="18"/>
        </w:rPr>
        <w:t>日起执行财政部</w:t>
      </w:r>
      <w:r>
        <w:rPr>
          <w:sz w:val="18"/>
          <w:szCs w:val="18"/>
        </w:rPr>
        <w:t>2018</w:t>
      </w:r>
      <w:r>
        <w:rPr>
          <w:rFonts w:ascii="宋体" w:hAnsi="宋体" w:cs="宋体" w:hint="eastAsia"/>
          <w:sz w:val="18"/>
          <w:szCs w:val="18"/>
        </w:rPr>
        <w:t>年财政部修订发布的《企业会计准则第</w:t>
      </w:r>
      <w:r>
        <w:rPr>
          <w:sz w:val="18"/>
          <w:szCs w:val="18"/>
        </w:rPr>
        <w:t>21</w:t>
      </w:r>
      <w:r>
        <w:rPr>
          <w:rFonts w:ascii="宋体" w:hAnsi="宋体" w:cs="宋体" w:hint="eastAsia"/>
          <w:sz w:val="18"/>
          <w:szCs w:val="18"/>
        </w:rPr>
        <w:t>号</w:t>
      </w:r>
      <w:r>
        <w:rPr>
          <w:sz w:val="18"/>
          <w:szCs w:val="18"/>
        </w:rPr>
        <w:t>——</w:t>
      </w:r>
      <w:r>
        <w:rPr>
          <w:rFonts w:ascii="宋体" w:hAnsi="宋体" w:cs="宋体" w:hint="eastAsia"/>
          <w:sz w:val="18"/>
          <w:szCs w:val="18"/>
        </w:rPr>
        <w:t>租赁》，执行新租赁准则对</w:t>
      </w:r>
      <w:r>
        <w:rPr>
          <w:sz w:val="18"/>
          <w:szCs w:val="18"/>
        </w:rPr>
        <w:t>2022</w:t>
      </w:r>
      <w:r>
        <w:rPr>
          <w:rFonts w:ascii="宋体" w:hAnsi="宋体" w:cs="宋体" w:hint="eastAsia"/>
          <w:sz w:val="18"/>
          <w:szCs w:val="18"/>
        </w:rPr>
        <w:t>年半年度合并利润表无影响</w:t>
      </w:r>
    </w:p>
    <w:p w:rsidR="00C526AC" w:rsidRDefault="00E0175D">
      <w:pPr>
        <w:keepNext/>
        <w:keepLines/>
        <w:spacing w:before="300" w:after="300" w:line="280" w:lineRule="exact"/>
        <w:jc w:val="left"/>
        <w:outlineLvl w:val="2"/>
        <w:rPr>
          <w:rFonts w:ascii="宋体" w:hAnsi="宋体" w:cs="宋体"/>
          <w:b/>
          <w:bCs/>
          <w:szCs w:val="21"/>
        </w:rPr>
      </w:pPr>
      <w:bookmarkStart w:id="17" w:name="_Toc989007"/>
      <w:r>
        <w:rPr>
          <w:rFonts w:ascii="宋体" w:hAnsi="宋体" w:cs="宋体"/>
          <w:b/>
          <w:bCs/>
          <w:szCs w:val="21"/>
        </w:rPr>
        <w:t>1、遵循企业会计准则的声明</w:t>
      </w:r>
      <w:bookmarkEnd w:id="17"/>
    </w:p>
    <w:p w:rsidR="00C526AC" w:rsidRDefault="00E0175D">
      <w:pPr>
        <w:pStyle w:val="a3"/>
        <w:widowControl/>
      </w:pPr>
      <w:r>
        <w:rPr>
          <w:rFonts w:ascii="宋体" w:hAnsi="宋体" w:cs="宋体" w:hint="eastAsia"/>
          <w:sz w:val="18"/>
          <w:szCs w:val="18"/>
        </w:rPr>
        <w:t>本公司所编制的财务报表符合企业会计准则的要求，真实、完整地反映了报告期公司的财务状况、经营成果、现金流量等有关信息。</w:t>
      </w:r>
    </w:p>
    <w:p w:rsidR="00C526AC" w:rsidRDefault="00E0175D">
      <w:pPr>
        <w:keepNext/>
        <w:keepLines/>
        <w:spacing w:before="300" w:after="300" w:line="280" w:lineRule="exact"/>
        <w:jc w:val="left"/>
        <w:outlineLvl w:val="2"/>
        <w:rPr>
          <w:rFonts w:ascii="宋体" w:hAnsi="宋体" w:cs="宋体"/>
          <w:b/>
          <w:bCs/>
          <w:szCs w:val="21"/>
        </w:rPr>
      </w:pPr>
      <w:bookmarkStart w:id="18" w:name="_Toc989008"/>
      <w:r>
        <w:rPr>
          <w:rFonts w:ascii="宋体" w:hAnsi="宋体" w:cs="宋体"/>
          <w:b/>
          <w:bCs/>
          <w:szCs w:val="21"/>
        </w:rPr>
        <w:t>2、会计期间</w:t>
      </w:r>
      <w:bookmarkEnd w:id="18"/>
    </w:p>
    <w:p w:rsidR="00C526AC" w:rsidRPr="00164D18" w:rsidRDefault="00E0175D">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自公历1月1日至12月31日止为一个会计年度。</w:t>
      </w:r>
    </w:p>
    <w:p w:rsidR="00C526AC" w:rsidRDefault="00E0175D">
      <w:pPr>
        <w:keepNext/>
        <w:keepLines/>
        <w:spacing w:before="300" w:after="300" w:line="280" w:lineRule="exact"/>
        <w:jc w:val="left"/>
        <w:outlineLvl w:val="2"/>
        <w:rPr>
          <w:rFonts w:ascii="宋体" w:hAnsi="宋体" w:cs="宋体"/>
          <w:b/>
          <w:bCs/>
          <w:szCs w:val="21"/>
        </w:rPr>
      </w:pPr>
      <w:bookmarkStart w:id="19" w:name="_Toc989009"/>
      <w:r>
        <w:rPr>
          <w:rFonts w:ascii="宋体" w:hAnsi="宋体" w:cs="宋体"/>
          <w:b/>
          <w:bCs/>
          <w:szCs w:val="21"/>
        </w:rPr>
        <w:t>3、营业周期</w:t>
      </w:r>
      <w:bookmarkEnd w:id="19"/>
    </w:p>
    <w:p w:rsidR="00C526AC" w:rsidRDefault="00E0175D">
      <w:pPr>
        <w:pStyle w:val="a3"/>
        <w:widowControl/>
      </w:pPr>
      <w:r>
        <w:rPr>
          <w:rFonts w:ascii="宋体" w:hAnsi="宋体" w:cs="宋体" w:hint="eastAsia"/>
          <w:sz w:val="18"/>
          <w:szCs w:val="18"/>
        </w:rPr>
        <w:t>营业周期是指企业从购买用于加工的资产起至实现现金或现金等价物的期间。本公司以12个月作为一个营业周期，并以其作为资产和负债的流动性划分标准。</w:t>
      </w:r>
    </w:p>
    <w:p w:rsidR="00C526AC" w:rsidRDefault="00E0175D">
      <w:pPr>
        <w:keepNext/>
        <w:keepLines/>
        <w:spacing w:before="300" w:after="300" w:line="280" w:lineRule="exact"/>
        <w:jc w:val="left"/>
        <w:outlineLvl w:val="2"/>
        <w:rPr>
          <w:rFonts w:ascii="宋体" w:hAnsi="宋体" w:cs="宋体"/>
          <w:b/>
          <w:bCs/>
          <w:szCs w:val="21"/>
        </w:rPr>
      </w:pPr>
      <w:bookmarkStart w:id="20" w:name="_Toc989010"/>
      <w:r>
        <w:rPr>
          <w:rFonts w:ascii="宋体" w:hAnsi="宋体" w:cs="宋体"/>
          <w:b/>
          <w:bCs/>
          <w:szCs w:val="21"/>
        </w:rPr>
        <w:t>4、记账本位币</w:t>
      </w:r>
      <w:bookmarkEnd w:id="20"/>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用人民币为记账本位币。</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境外子公司以其经营所处的主要经济环境中的货币为记账本位币，编制财务报表时折算为人民币。</w:t>
      </w:r>
    </w:p>
    <w:p w:rsidR="00C526AC" w:rsidRDefault="00E0175D">
      <w:pPr>
        <w:keepNext/>
        <w:keepLines/>
        <w:spacing w:before="300" w:after="300" w:line="280" w:lineRule="exact"/>
        <w:jc w:val="left"/>
        <w:outlineLvl w:val="2"/>
        <w:rPr>
          <w:rFonts w:ascii="宋体" w:hAnsi="宋体" w:cs="宋体"/>
          <w:b/>
          <w:bCs/>
          <w:szCs w:val="21"/>
        </w:rPr>
      </w:pPr>
      <w:bookmarkStart w:id="21" w:name="_Toc989011"/>
      <w:r>
        <w:rPr>
          <w:rFonts w:ascii="宋体" w:hAnsi="宋体" w:cs="宋体"/>
          <w:b/>
          <w:bCs/>
          <w:szCs w:val="21"/>
        </w:rPr>
        <w:t>5、同一控制下和非同一控制下企业合并的会计处理方法</w:t>
      </w:r>
      <w:bookmarkEnd w:id="21"/>
    </w:p>
    <w:p w:rsidR="00C526AC" w:rsidRDefault="00E0175D" w:rsidP="00564F21">
      <w:pPr>
        <w:pStyle w:val="a3"/>
        <w:widowControl/>
        <w:spacing w:beforeAutospacing="0" w:afterAutospacing="0"/>
        <w:ind w:firstLineChars="147" w:firstLine="310"/>
        <w:jc w:val="both"/>
        <w:rPr>
          <w:sz w:val="18"/>
          <w:szCs w:val="18"/>
        </w:rPr>
      </w:pPr>
      <w:r>
        <w:rPr>
          <w:rStyle w:val="a4"/>
          <w:sz w:val="21"/>
          <w:szCs w:val="21"/>
        </w:rPr>
        <w:t>1.</w:t>
      </w:r>
      <w:r>
        <w:rPr>
          <w:rStyle w:val="a4"/>
          <w:rFonts w:ascii="宋体" w:hAnsi="宋体" w:cs="宋体" w:hint="eastAsia"/>
          <w:sz w:val="21"/>
          <w:szCs w:val="21"/>
        </w:rPr>
        <w:t>分步实现企业合并过程中的各项交易的条款、条件以及经济影响符合以下一种或多种情况，将多次交易事项作为一揽子交易进行会计处理</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（1）这些交易是同时或者在考虑了彼此影响的情况下订立的；</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（2）这些交易整体才能达成一项完整的商业结果；</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（3）一项交易的发生取决于其他至少一项交易的发生；</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（4）一项交易单独看是不经济的，但是和其他交易一并考虑时是经济的。</w:t>
      </w:r>
    </w:p>
    <w:p w:rsidR="00C526AC" w:rsidRDefault="00E0175D">
      <w:pPr>
        <w:pStyle w:val="a3"/>
        <w:widowControl/>
        <w:spacing w:beforeAutospacing="0" w:afterAutospacing="0"/>
        <w:ind w:right="840"/>
        <w:jc w:val="both"/>
        <w:rPr>
          <w:sz w:val="18"/>
          <w:szCs w:val="18"/>
        </w:rPr>
      </w:pPr>
      <w:r>
        <w:rPr>
          <w:rStyle w:val="a4"/>
          <w:sz w:val="21"/>
          <w:szCs w:val="21"/>
        </w:rPr>
        <w:t>     2.</w:t>
      </w:r>
      <w:r>
        <w:rPr>
          <w:rStyle w:val="a4"/>
          <w:rFonts w:ascii="宋体" w:hAnsi="宋体" w:cs="宋体" w:hint="eastAsia"/>
          <w:sz w:val="21"/>
          <w:szCs w:val="21"/>
        </w:rPr>
        <w:t>同一控制下的企业合并</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如果存在或有对价并需要确认预计负债或资产，该预计负债或资产金额与后续或有对价结算金额的差额，调整资本公积（资本溢价或股本溢价），资本公积不足的，调整留存收益。</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合并日进一步取得股份新支付对价的账面价值之和的差额，调整资本公积；资本公积不足冲减的，调整留存收益。对于合并日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C526AC" w:rsidRDefault="00E0175D">
      <w:pPr>
        <w:pStyle w:val="a3"/>
        <w:widowControl/>
        <w:spacing w:beforeAutospacing="0" w:afterAutospacing="0"/>
        <w:ind w:right="840"/>
        <w:jc w:val="both"/>
        <w:rPr>
          <w:sz w:val="18"/>
          <w:szCs w:val="18"/>
        </w:rPr>
      </w:pPr>
      <w:r>
        <w:rPr>
          <w:rStyle w:val="a4"/>
          <w:sz w:val="21"/>
          <w:szCs w:val="21"/>
        </w:rPr>
        <w:t>    3.</w:t>
      </w:r>
      <w:r>
        <w:rPr>
          <w:rStyle w:val="a4"/>
          <w:rFonts w:ascii="宋体" w:hAnsi="宋体" w:cs="宋体" w:hint="eastAsia"/>
          <w:sz w:val="21"/>
          <w:szCs w:val="21"/>
        </w:rPr>
        <w:t>非同一控制下的企业合并</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购买日是指本公司实际取得对被购买方控制权的日期，即被购买方的净资产或生产经营决策的控制权转移给本公司的日期。同时满足下列条件时，本公司一般认为实现了控制权的转移：</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①企业合并合同或协议已获本公司内部权力机构通过。</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②企业合并事项需要经过国家有关主管部门审批的，已获得批准。</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③已办理了必要的财产权转移手续。</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④本公司已支付了合并价款的大部分，并且有能力、有计划支付剩余款项。</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⑤本公司实际上已经控制了被购买方的财务和经营政策，并享有相应的利益、承担相应的风险。</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本公司在购买日对作为企业合并对价付出的资产、发生或承担的负债按照公允价值计量，公允价值与其账面价值的差额，计入当期损益。</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本公司对合并成本大于合并中取得的被购买方可辨认净资产公允价值份额的差额，确认为商誉；合并成本小于合并中取得的被购买方可辨认净资产公允价值份额的差额，经复核后，计入当期损益。</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通过多次交换交易分步实现的非同一控制下企业合并，属于一揽子交易的，将各项交易作为一项取得控制权的交易进行会计处理；不属于一揽子交易的，合并日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合并日之前持有的股权投资采用金融工具确认和计量准则核算的，以该股权投资在合并日的公允价值加上新增投资成本之和，作为合并日的初始投资成本。原持有股权的公允价值与账面价值之间的差额以及原计入其他综合收益的累计公允价值变动应全部转入合并日当期的投资收益。</w:t>
      </w:r>
    </w:p>
    <w:p w:rsidR="00C526AC" w:rsidRDefault="00E0175D">
      <w:pPr>
        <w:pStyle w:val="a3"/>
        <w:widowControl/>
        <w:spacing w:beforeAutospacing="0" w:afterAutospacing="0"/>
        <w:jc w:val="both"/>
        <w:rPr>
          <w:sz w:val="18"/>
          <w:szCs w:val="18"/>
        </w:rPr>
      </w:pPr>
      <w:r>
        <w:rPr>
          <w:rStyle w:val="a4"/>
          <w:sz w:val="21"/>
          <w:szCs w:val="21"/>
        </w:rPr>
        <w:t>    4.</w:t>
      </w:r>
      <w:r>
        <w:rPr>
          <w:rStyle w:val="a4"/>
          <w:rFonts w:ascii="宋体" w:hAnsi="宋体" w:cs="宋体" w:hint="eastAsia"/>
          <w:sz w:val="21"/>
          <w:szCs w:val="21"/>
        </w:rPr>
        <w:t>为合并发生的相关费用</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为企业合并发生的审计、法律服务、评估咨询等中介费用以及其他直接相关费用，于发生时计入当期损益；为企业合并而发行权益性证券的交易费用，可直接归属于权益性交易的从权益中扣减。</w:t>
      </w:r>
    </w:p>
    <w:p w:rsidR="00C526AC" w:rsidRDefault="00E0175D" w:rsidP="00564F21">
      <w:pPr>
        <w:keepNext/>
        <w:keepLines/>
        <w:spacing w:before="300" w:after="300" w:line="280" w:lineRule="exact"/>
        <w:jc w:val="left"/>
        <w:outlineLvl w:val="2"/>
        <w:rPr>
          <w:rFonts w:ascii="宋体" w:hAnsi="宋体" w:cs="宋体"/>
          <w:b/>
          <w:bCs/>
          <w:szCs w:val="21"/>
        </w:rPr>
      </w:pPr>
      <w:bookmarkStart w:id="22" w:name="_Toc989012"/>
      <w:r>
        <w:rPr>
          <w:rFonts w:ascii="宋体" w:hAnsi="宋体" w:cs="宋体"/>
          <w:b/>
          <w:bCs/>
          <w:szCs w:val="21"/>
        </w:rPr>
        <w:t>6、合并财务报表的编制方法</w:t>
      </w:r>
      <w:bookmarkEnd w:id="22"/>
    </w:p>
    <w:p w:rsidR="00C526AC" w:rsidRDefault="00E0175D" w:rsidP="00564F21">
      <w:pPr>
        <w:pStyle w:val="a3"/>
        <w:widowControl/>
        <w:spacing w:beforeAutospacing="0" w:afterAutospacing="0"/>
        <w:ind w:right="840" w:firstLineChars="196" w:firstLine="413"/>
        <w:jc w:val="both"/>
        <w:rPr>
          <w:sz w:val="18"/>
          <w:szCs w:val="18"/>
        </w:rPr>
      </w:pPr>
      <w:r>
        <w:rPr>
          <w:rStyle w:val="a4"/>
          <w:sz w:val="21"/>
          <w:szCs w:val="21"/>
        </w:rPr>
        <w:t>1.</w:t>
      </w:r>
      <w:r>
        <w:rPr>
          <w:rStyle w:val="a4"/>
          <w:rFonts w:ascii="宋体" w:hAnsi="宋体" w:cs="宋体" w:hint="eastAsia"/>
          <w:sz w:val="21"/>
          <w:szCs w:val="21"/>
        </w:rPr>
        <w:t>合并范围</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本公司合并财务报表的合并范围以控制为基础确定，所有子公司（包括本公司所控制的单独主体）均纳入合并财务报表。</w:t>
      </w:r>
    </w:p>
    <w:p w:rsidR="00C526AC" w:rsidRDefault="00E0175D">
      <w:pPr>
        <w:pStyle w:val="a3"/>
        <w:widowControl/>
        <w:spacing w:beforeAutospacing="0" w:afterAutospacing="0"/>
        <w:jc w:val="both"/>
        <w:rPr>
          <w:sz w:val="18"/>
          <w:szCs w:val="18"/>
        </w:rPr>
      </w:pPr>
      <w:r>
        <w:rPr>
          <w:rStyle w:val="a4"/>
          <w:sz w:val="21"/>
          <w:szCs w:val="21"/>
        </w:rPr>
        <w:t xml:space="preserve">    </w:t>
      </w:r>
      <w:r w:rsidR="00564F21">
        <w:rPr>
          <w:rStyle w:val="a4"/>
          <w:rFonts w:hint="eastAsia"/>
          <w:sz w:val="21"/>
          <w:szCs w:val="21"/>
        </w:rPr>
        <w:t xml:space="preserve">    </w:t>
      </w:r>
      <w:r>
        <w:rPr>
          <w:rStyle w:val="a4"/>
          <w:sz w:val="21"/>
          <w:szCs w:val="21"/>
        </w:rPr>
        <w:t>2.</w:t>
      </w:r>
      <w:r>
        <w:rPr>
          <w:rStyle w:val="a4"/>
          <w:rFonts w:ascii="宋体" w:hAnsi="宋体" w:cs="宋体" w:hint="eastAsia"/>
          <w:sz w:val="21"/>
          <w:szCs w:val="21"/>
        </w:rPr>
        <w:t>合并程序</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合并财务报表时抵销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对于同一控制下企业合并取得的子公司，以其资产、负债（包括最终控制方收购该子公司而形成的商誉）在最终控制方财务报表中的账面价值为基础对其财务报表进行调整。</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对于非同一控制下企业合并取得的子公司，以购买日可辨认净资产公允价值为基础对其财务报表进行调整</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（1）增加子公司或业务</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起一直存在。</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报告期内，若因非同一控制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（2）处置子公司或业务</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1）一般处理方法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在报告期内，本公司处置子公司或业务，则该子公司或业务期初至处置日的收入、费用、利润纳入合并利润表；该子公司或业务期初至处置日的现金流量纳入合并现金流量表。</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2）分步处置子公司</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A.这些交易是同时或者在考虑了彼此影响的情况下订立的；</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B.这些交易整体才能达成一项完整的商业结果；</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C.一项交易的发生取决于其他至少一项交易的发生；</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D.一项交易单独看是不经济的，但是和其他交易一并考虑时是经济的。</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（3）购买子公司少数股权</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（4）不丧失控制权的情况下部分处置对子公司的股权投资</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rsidR="00C526AC" w:rsidRDefault="00E0175D">
      <w:pPr>
        <w:keepNext/>
        <w:keepLines/>
        <w:spacing w:before="300" w:after="300" w:line="280" w:lineRule="exact"/>
        <w:jc w:val="left"/>
        <w:outlineLvl w:val="2"/>
        <w:rPr>
          <w:rFonts w:ascii="宋体" w:hAnsi="宋体" w:cs="宋体"/>
          <w:b/>
          <w:bCs/>
          <w:szCs w:val="21"/>
        </w:rPr>
      </w:pPr>
      <w:bookmarkStart w:id="23" w:name="_Toc989013"/>
      <w:r>
        <w:rPr>
          <w:rFonts w:ascii="宋体" w:hAnsi="宋体" w:cs="宋体"/>
          <w:b/>
          <w:bCs/>
          <w:szCs w:val="21"/>
        </w:rPr>
        <w:t>7、合营安排分类及共同经营会计处理方法</w:t>
      </w:r>
      <w:bookmarkEnd w:id="23"/>
    </w:p>
    <w:p w:rsidR="00C526AC" w:rsidRDefault="00E0175D">
      <w:pPr>
        <w:widowControl/>
        <w:numPr>
          <w:ilvl w:val="0"/>
          <w:numId w:val="3"/>
        </w:numPr>
        <w:spacing w:beforeAutospacing="1" w:afterAutospacing="1"/>
      </w:pPr>
      <w:r>
        <w:rPr>
          <w:rStyle w:val="a4"/>
          <w:rFonts w:ascii="宋体" w:hAnsi="宋体" w:cs="宋体" w:hint="eastAsia"/>
          <w:szCs w:val="21"/>
        </w:rPr>
        <w:t>合营安排的分类</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本公司根据合营安排的结构、法律形式以及合营安排中约定的条款、其他相关事实和情况等因素，将合营安排分为共同经营和合营企业。</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未通过单独主体达成的合营安排，划分为共同经营；通过单独主体达成的合营安排，通常划分为合营企业；但有确凿证据表明满足下列任一条件并且符合相关法律法规规定的合营安排划分为共同经营：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（1）合营安排的法律形式表明，合营方对该安排中的相关资产和负债分别享有权利和承担义务。</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（2）合营安排的合同条款约定，合营方对该安排中的相关资产和负债分别享有权利和承担义务。</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（3）其他相关事实和情况表明，合营方对该安排中的相关资产和负债分别享有权利和承担义务，如合</w:t>
      </w:r>
      <w:r>
        <w:rPr>
          <w:rFonts w:ascii="宋体" w:hAnsi="宋体" w:cs="宋体" w:hint="eastAsia"/>
          <w:sz w:val="21"/>
          <w:szCs w:val="21"/>
        </w:rPr>
        <w:t>营方享有</w:t>
      </w:r>
      <w:r>
        <w:rPr>
          <w:rFonts w:ascii="宋体" w:hAnsi="宋体" w:cs="宋体" w:hint="eastAsia"/>
          <w:sz w:val="18"/>
          <w:szCs w:val="18"/>
        </w:rPr>
        <w:t>与合营安排相关的几乎所有产出，并且该安排中负债的清偿持续依赖于合营方的支持。</w:t>
      </w:r>
    </w:p>
    <w:p w:rsidR="00C526AC" w:rsidRDefault="00E0175D">
      <w:pPr>
        <w:pStyle w:val="a3"/>
        <w:widowControl/>
        <w:spacing w:beforeAutospacing="0" w:afterAutospacing="0"/>
        <w:jc w:val="both"/>
        <w:rPr>
          <w:sz w:val="18"/>
          <w:szCs w:val="18"/>
        </w:rPr>
      </w:pPr>
      <w:r>
        <w:rPr>
          <w:rStyle w:val="a4"/>
          <w:sz w:val="21"/>
          <w:szCs w:val="21"/>
        </w:rPr>
        <w:t>2.</w:t>
      </w:r>
      <w:r>
        <w:rPr>
          <w:rStyle w:val="a4"/>
          <w:rFonts w:ascii="宋体" w:hAnsi="宋体" w:cs="宋体" w:hint="eastAsia"/>
          <w:sz w:val="21"/>
          <w:szCs w:val="21"/>
        </w:rPr>
        <w:t>共同经营会计处理方法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本公司确认共同经营中利益份额中与本公司相关的下列项目，并按照相关企业会计准则的规定进行会计处理：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（1）确认单独所持有的资产，以及按其份额确认共同持有的资产；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（2）确认单独所承担的负债，以及按其份额确认共同承担的负债；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（3）确认出售其享有的共同经营产出份额所产生的收入；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（4）按其份额确认共同经营因出售产出所产生的收入；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（5）确认单独所发生的费用，以及按其份额确认共同经营发生的费用。</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向共同经营投出或出售资产等（该资产构成业务的除外），在该资产等由共同经营出售给第三方之前，仅确认因该交易产生的损益中归属于共同经营其他参与方的部分。投出或出售的资产发生符合《企业会计准则第8号——资产减值》等规定的资产减值损失的，本公司全额确认该损失。</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自共同经营购买资产等（该资产构成业务的除外），在将该资产等出售给第三方之前，仅确认因该交易产生的损益中归属于共同经营其他参与方的部分。购入的资产发生符合《企业会计准则第8号——资产减值》等规定的资产减值损失的，本公司按承担的份额确认该部分损失。</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本公司对共同经营不享有共同控制，如果本公司享有该共同经营相关资产且承担该共同经营相关负债的，仍按上述原则进行会计处理，否则，应当按照相关企业会计准则的规定进行会计处理。</w:t>
      </w:r>
    </w:p>
    <w:p w:rsidR="00C526AC" w:rsidRDefault="00E0175D">
      <w:pPr>
        <w:keepNext/>
        <w:keepLines/>
        <w:spacing w:before="300" w:after="300" w:line="280" w:lineRule="exact"/>
        <w:jc w:val="left"/>
        <w:outlineLvl w:val="2"/>
        <w:rPr>
          <w:rFonts w:ascii="宋体" w:hAnsi="宋体" w:cs="宋体"/>
          <w:b/>
          <w:bCs/>
          <w:szCs w:val="21"/>
        </w:rPr>
      </w:pPr>
      <w:bookmarkStart w:id="24" w:name="_Toc989014"/>
      <w:r>
        <w:rPr>
          <w:rFonts w:ascii="宋体" w:hAnsi="宋体" w:cs="宋体"/>
          <w:b/>
          <w:bCs/>
          <w:szCs w:val="21"/>
        </w:rPr>
        <w:t>8、现金及现金等价物的确定标准</w:t>
      </w:r>
      <w:bookmarkEnd w:id="24"/>
    </w:p>
    <w:p w:rsidR="00C526AC" w:rsidRPr="00164D18" w:rsidRDefault="00E0175D">
      <w:pPr>
        <w:pStyle w:val="a3"/>
        <w:widowControl/>
        <w:spacing w:beforeAutospacing="0" w:afterAutospacing="0"/>
        <w:ind w:firstLine="420"/>
        <w:jc w:val="both"/>
        <w:rPr>
          <w:rFonts w:ascii="宋体" w:hAnsi="宋体" w:cs="宋体"/>
          <w:sz w:val="18"/>
          <w:szCs w:val="18"/>
        </w:rPr>
      </w:pPr>
      <w:r w:rsidRPr="00164D18">
        <w:rPr>
          <w:rFonts w:ascii="宋体" w:hAnsi="宋体" w:cs="宋体" w:hint="eastAsia"/>
          <w:sz w:val="18"/>
          <w:szCs w:val="18"/>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C526AC" w:rsidRDefault="00E0175D">
      <w:pPr>
        <w:keepNext/>
        <w:keepLines/>
        <w:spacing w:before="300" w:after="300" w:line="280" w:lineRule="exact"/>
        <w:jc w:val="left"/>
        <w:outlineLvl w:val="2"/>
        <w:rPr>
          <w:rFonts w:ascii="宋体" w:hAnsi="宋体" w:cs="宋体"/>
          <w:b/>
          <w:bCs/>
          <w:szCs w:val="21"/>
        </w:rPr>
      </w:pPr>
      <w:bookmarkStart w:id="25" w:name="_Toc989015"/>
      <w:r>
        <w:rPr>
          <w:rFonts w:ascii="宋体" w:hAnsi="宋体" w:cs="宋体"/>
          <w:b/>
          <w:bCs/>
          <w:szCs w:val="21"/>
        </w:rPr>
        <w:t>9、外币业务和外币报表折算</w:t>
      </w:r>
      <w:bookmarkEnd w:id="25"/>
    </w:p>
    <w:p w:rsidR="00C526AC" w:rsidRDefault="00E0175D">
      <w:pPr>
        <w:pStyle w:val="a3"/>
        <w:widowControl/>
        <w:spacing w:beforeAutospacing="0" w:afterAutospacing="0"/>
        <w:ind w:right="840"/>
        <w:jc w:val="both"/>
        <w:rPr>
          <w:sz w:val="18"/>
          <w:szCs w:val="18"/>
        </w:rPr>
      </w:pPr>
      <w:r>
        <w:rPr>
          <w:rStyle w:val="a4"/>
          <w:sz w:val="21"/>
          <w:szCs w:val="21"/>
        </w:rPr>
        <w:t>1.</w:t>
      </w:r>
      <w:r>
        <w:rPr>
          <w:rStyle w:val="a4"/>
          <w:rFonts w:ascii="宋体" w:hAnsi="宋体" w:cs="宋体" w:hint="eastAsia"/>
          <w:sz w:val="21"/>
          <w:szCs w:val="21"/>
        </w:rPr>
        <w:t>外币业务</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外币业务交易在初始确认时，采用交易发生日的即期汇率作为折算汇率折合成人民币记账。</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以公允价值计量的外币非货币性项目，采用公允价值确定日的即期汇率折算，折算后的记账本位币金额与原记账本位币金额的差额，作为公允价值变动(含汇率变动)处理，计入当期损益或确认为其他综合收益。</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外币财务报表的折算</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资产负债表中的资产和负债项目，采用资产负债表日的即期汇率折算；所有者权益项目除“未分配利润”项目外，其他项目采用发生时的即期汇率折算。利润表中的收入和费用项目，采用加权平均汇率折算。按照上述折算产生的外币财务报表折算差额计入其他综合收益。</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C526AC" w:rsidRDefault="00E0175D">
      <w:pPr>
        <w:keepNext/>
        <w:keepLines/>
        <w:spacing w:before="300" w:after="300" w:line="280" w:lineRule="exact"/>
        <w:jc w:val="left"/>
        <w:outlineLvl w:val="2"/>
        <w:rPr>
          <w:rFonts w:ascii="宋体" w:hAnsi="宋体" w:cs="宋体"/>
          <w:b/>
          <w:bCs/>
          <w:szCs w:val="21"/>
        </w:rPr>
      </w:pPr>
      <w:bookmarkStart w:id="26" w:name="_Toc989016"/>
      <w:r>
        <w:rPr>
          <w:rFonts w:ascii="宋体" w:hAnsi="宋体" w:cs="宋体"/>
          <w:b/>
          <w:bCs/>
          <w:szCs w:val="21"/>
        </w:rPr>
        <w:t>10、金融工具</w:t>
      </w:r>
      <w:bookmarkEnd w:id="26"/>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本公司在成为金融工具合同的一方时确认一项金融资产或金融负债。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实际利率法是指计算金融资产或金融负债的摊余成本以及将利息收入或利息费用分摊计入各会计期间的方法。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实际利率，是指将金融资产或金融负债在预计存续期的估计未来现金流量，折现为该金融资产账面余额或该金融负债摊余成本所使用的利率。在确定实际利率时，在考虑金融资产或金融负债所有合同条款(如提前还款、展期、看涨期权或其他类似期权等)的基础上估计预期现金流量，但不考虑预期信用损失。</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资产或金融负债的摊余成本是以该金融资产或金融负债的初始确认金额扣除已偿还的本金，加上或减去采用实际利率法将该初始确认金额与到期日金额之间的差额进行摊销形成的累计摊销额，再扣除累计计提的损失准备(仅适用于金融资产)。</w:t>
      </w:r>
    </w:p>
    <w:p w:rsidR="00C526AC" w:rsidRDefault="00E0175D">
      <w:pPr>
        <w:widowControl/>
        <w:numPr>
          <w:ilvl w:val="0"/>
          <w:numId w:val="4"/>
        </w:numPr>
        <w:spacing w:beforeAutospacing="1" w:afterAutospacing="1"/>
      </w:pPr>
      <w:r>
        <w:rPr>
          <w:rStyle w:val="a4"/>
          <w:rFonts w:ascii="宋体" w:hAnsi="宋体" w:cs="宋体" w:hint="eastAsia"/>
          <w:szCs w:val="21"/>
        </w:rPr>
        <w:t>金融资产的分类、确认和计量</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本公司根据所管理金融资产的业务模式和金融资产的合同现金流量特征，将金融资产划分为以下三类：</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   （1）以摊余成本计量的金融资产。</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   （2）以公允价值计量且其变动计入其他综合收益的金融资产。</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   （3）以公允价值计量且其变动计入当期损益的金融资产。</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金融资产在初始确认时以公允价值计量，但是因销售商品或提供服务等产生的应收账款或应收票据未包含重大融资成分或不考虑不超过一年的融资成分的，按照交易价格进行初始计量。</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对于以公允价值计量且其变动计入当期损益的金融资产，相关交易费用直接计入当期损益，其他类别的金融资产相关交易费用计入其初始确认金额。</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金融资产的后续计量取决于其分类，当且仅当本公司改变管理金融资产的业务模式时，才对所有受影响的相关金融资产进行重分类。</w:t>
      </w:r>
    </w:p>
    <w:p w:rsidR="00C526AC" w:rsidRPr="00164D18" w:rsidRDefault="00E0175D" w:rsidP="00164D18">
      <w:pPr>
        <w:pStyle w:val="a3"/>
        <w:widowControl/>
        <w:spacing w:beforeAutospacing="0" w:afterAutospacing="0"/>
        <w:ind w:firstLine="420"/>
        <w:jc w:val="both"/>
        <w:rPr>
          <w:rFonts w:ascii="宋体" w:hAnsi="宋体" w:cs="宋体"/>
          <w:sz w:val="18"/>
          <w:szCs w:val="18"/>
        </w:rPr>
      </w:pPr>
      <w:r>
        <w:rPr>
          <w:rFonts w:ascii="宋体" w:hAnsi="宋体" w:cs="宋体" w:hint="eastAsia"/>
          <w:sz w:val="18"/>
          <w:szCs w:val="18"/>
        </w:rPr>
        <w:t>   （1）分类为以摊余成本计量的金融资产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资产的合同条款规定在特定日期产生的现金流量仅为对本金和以未偿付本金金额为基础的利息的支付，且管理该金融资产的业务模式是以收取合同现金流量为目标，则本公司将该金融资产分类为以摊余成本计量的金融资产。本公司分类为以摊余成本计量的金融资产包括货币资金、应收票据、应收款项融资、应收账款、其他应收款、长期应收款等。</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此类金融资产采用实际利率法确认利息收入，按摊余成本进行后续计量，其发生减值时或终止确认、修改产生的利得或损失，计入当期损益。除下列情况外，本公司根据金融资产账面余额乘以实际利率计算确定利息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1）对于购入或源生的已发生信用减值的金融资产，本公司自初始确认起，按照该金融资产的摊余成本和经信用调整的实际利率计算确定其利息收入。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 对于购入或源生的未发生信用减值、但在后续期间成为已发生信用减值的金融资产，本公司在后续期间，按照该金融资产的摊余成本和实际利率计算确定其利息收入。若该金融工具在后续期间因其信用风险有所改善而不再存在信用减值，本公司转按实际利率乘以该金融资产账面余额来计算确定利息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（2）分类为以公允价值计量且其变动计入其他综合收益的金融资产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资产的合同条款规定在特定日期产生的现金流量仅为对本金和以未偿付本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（3）指定为以公允价值计量且其变动计入其他综合收益的金融资产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在初始确认时，本公司可以单项金融资产为基础不可撤销地将非交易性权益工具投资指定为以公允价值计量且其变动计入其他综合收益的金融资产。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（4）分类为以公允价值计量且其变动计入当期损益的金融资产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不符合分类为以摊余成本计量或以公允价值计量且其变动计入其他综合收益的金融资产条件、亦不指定为以公允价值计量且其变动计入其他综合收益的金融资产均分类为以公允价值计量且其变动计入当期损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本公司对此类金融资产采用公允价值进行后续计量，将公允价值变动形成的利得或损失以及与此类金融资产相关的股利和利息收入计入当期损益。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本公司对此类金融资产根据其流动性在交易性金融资产、其他非流动金融资产项目列报。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（5）指定为以公允价值计量且其变动计入当期损益的金融资产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在初始确认时，本公司为了消除或显著减少会计错配，可以单项金融资产为基础不可撤销地将金融资产指定为以公允价值计量且其变动计入当期损益的金融资产。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xml:space="preserve">混合合同包含一项或多项嵌入衍生工具，且其主合同不属于以上金融资产的，本公司可以将其整体指定为以公允价值计量且其变动计入当期损益的金融工具。但下列情况除外： </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1）嵌入衍生工具不会对混合合同的现金流量产生重大改变。</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2）在初次确定类似的混合合同是否需要分拆时，几乎不需分析就能明确其包含的嵌入衍生工具不应分拆。如嵌入贷款的提前还款权，允许持有人以接近摊余成本的金额提前偿还贷款，该提前还款权不需要分拆。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本公司对此类金融资产采用公允价值进行后续计量，将公允价值变动形成的利得或损失以及与此类金融资产相关的股利和利息收入计入当期损益。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本公司对此类金融资产根据其流动性在交易性金融资产、其他非流动金融资产项目列报。</w:t>
      </w:r>
    </w:p>
    <w:p w:rsidR="00C526AC" w:rsidRDefault="00E0175D">
      <w:pPr>
        <w:pStyle w:val="a3"/>
        <w:widowControl/>
        <w:spacing w:before="120" w:beforeAutospacing="0" w:afterAutospacing="0"/>
        <w:jc w:val="both"/>
        <w:rPr>
          <w:sz w:val="18"/>
          <w:szCs w:val="18"/>
        </w:rPr>
      </w:pPr>
      <w:r>
        <w:rPr>
          <w:rStyle w:val="a4"/>
          <w:sz w:val="21"/>
          <w:szCs w:val="21"/>
        </w:rPr>
        <w:t>2.</w:t>
      </w:r>
      <w:r>
        <w:rPr>
          <w:rStyle w:val="a4"/>
          <w:rFonts w:ascii="宋体" w:hAnsi="宋体" w:cs="宋体" w:hint="eastAsia"/>
          <w:sz w:val="21"/>
          <w:szCs w:val="21"/>
        </w:rPr>
        <w:t>金融负债的分类、确认和计量</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期工具的衍生工具。</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金融负债在初始确认时以公允价值计量。对于以公允价值计量且其变动计入当期损益的金融负债，相关的交易费用直接计入当期损益；对于其他类别的金融负债，相关交易费用计入初始确认金额。</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金融负债的后续计量取决于其分类：</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（1）以公允价值计量且其变动计入当期损益的金融负债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此类金融负债包括交易性金融负债（含属于金融负债的衍生工具）和初始确认时指定为以公允价值计量且其变动计入当期损益的金融负债。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期工具的衍生工具、符合财务担保合同的衍生工具除外。交易性金融负债（含属于金融负债的衍生工具），按照公允价值进行后续计量，除与套期会计有关外，所有公允价值变动均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在初始确认时，为了提供更相关的会计信息，本公司将满足下列条件之一的金融负债不可撤销地指定为以公允价值计量且其变动计入当期损益的金融负债：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1）能够消除或显著减少会计错配。</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2）根据正式书面文件载明的企业风险管理或投资策略，以公允价值为基础对金融负债组合或金融资产和金融负债组合进行管理和业绩评价，并在企业内部以此为基础向关键管理人员报告。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（2）其他金融负债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除下列各项外，公司将金融负债分类为以摊余成本计量的金融负债，对此类金融负债采用实际利率法，按照摊余成本进行后续计量，终止确认或摊销产生的利得或损失计入当期损益：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1）以公允价值计量且其变动计入当期损益的金融负债。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2）金融资产转移不符合终止确认条件或继续涉入被转移金融资产所形成的金融负债。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3）不属于本条前两类情形的财务担保合同，以及不属于本条第1）类情形的以低于市场利率贷款的贷款承诺。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C526AC" w:rsidRDefault="00E0175D">
      <w:pPr>
        <w:pStyle w:val="a3"/>
        <w:widowControl/>
        <w:spacing w:before="120" w:beforeAutospacing="0" w:afterAutospacing="0"/>
        <w:jc w:val="both"/>
        <w:rPr>
          <w:sz w:val="18"/>
          <w:szCs w:val="18"/>
        </w:rPr>
      </w:pPr>
      <w:r>
        <w:rPr>
          <w:rStyle w:val="a4"/>
          <w:sz w:val="21"/>
          <w:szCs w:val="21"/>
        </w:rPr>
        <w:t>3.</w:t>
      </w:r>
      <w:r>
        <w:rPr>
          <w:rStyle w:val="a4"/>
          <w:rFonts w:ascii="宋体" w:hAnsi="宋体" w:cs="宋体" w:hint="eastAsia"/>
          <w:sz w:val="21"/>
          <w:szCs w:val="21"/>
        </w:rPr>
        <w:t>金融资产和金融负债的终止确认</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（1）金融资产满足下列条件之一的，终止确认金融资产，即从其账户和资产负债表内予以转销：</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1）收取该金融资产现金流量的合同权利终止。</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2）该金融资产已转移，且该转移满足金融资产终止确认的规定。</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（2）金融负债终止确认条件</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金融负债（或其一部分）的现时义务已经解除的，则终止确认该金融负债（或该部分金融负债）。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C526AC" w:rsidRDefault="00E0175D">
      <w:pPr>
        <w:pStyle w:val="a3"/>
        <w:widowControl/>
        <w:spacing w:beforeAutospacing="0" w:afterAutospacing="0"/>
        <w:ind w:right="782"/>
        <w:jc w:val="both"/>
        <w:rPr>
          <w:sz w:val="18"/>
          <w:szCs w:val="18"/>
        </w:rPr>
      </w:pPr>
      <w:r>
        <w:rPr>
          <w:rStyle w:val="a4"/>
          <w:sz w:val="21"/>
          <w:szCs w:val="21"/>
        </w:rPr>
        <w:t>4.</w:t>
      </w:r>
      <w:r>
        <w:rPr>
          <w:rStyle w:val="a4"/>
          <w:rFonts w:ascii="宋体" w:hAnsi="宋体" w:cs="宋体" w:hint="eastAsia"/>
          <w:sz w:val="21"/>
          <w:szCs w:val="21"/>
        </w:rPr>
        <w:t>金融资产转移的确认依据和计量方法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本公司在发生金融资产转移时，评估其保留金融资产所有权上的风险和报酬的程度，并分别下列情形处理：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（1）转移了金融资产所有权上几乎所有风险和报酬的，则终止确认该金融资产，并将转移中产生或保留的权利和义务单独确认为资产或负债。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（2）保留了金融资产所有权上几乎所有风险和报酬的，则继续确认该金融资产。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（3）既没有转移也没有保留金融资产所有权上几乎所有风险和报酬的（即除本条（1）、（2）之外的其他情形），则根据其是否保留了对金融资产的控制，分别下列情形处理：</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xml:space="preserve">  </w:t>
      </w:r>
      <w:r w:rsidR="00E0175D">
        <w:rPr>
          <w:rFonts w:ascii="宋体" w:hAnsi="宋体" w:cs="宋体" w:hint="eastAsia"/>
          <w:sz w:val="18"/>
          <w:szCs w:val="18"/>
        </w:rPr>
        <w:t xml:space="preserve"> 1）未保留对该金融资产控制的，则终止确认该金融资产，并将转移中产生或保留的权利和义务单独确认为资产或负债。</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xml:space="preserve">  </w:t>
      </w:r>
      <w:r w:rsidR="00E0175D">
        <w:rPr>
          <w:rFonts w:ascii="宋体" w:hAnsi="宋体" w:cs="宋体" w:hint="eastAsia"/>
          <w:sz w:val="18"/>
          <w:szCs w:val="18"/>
        </w:rPr>
        <w:t xml:space="preserve"> 2）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在判断金融资产转移是否满足上述金融资产终止确认条件时，采用实质重于形式的原则。公司将金融资产转移区分为金融资产整体转移和部分转移。</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（1）金融资产整体转移满足终止确认条件的，将下列两项金额的差额计入当期损益：</w:t>
      </w:r>
    </w:p>
    <w:p w:rsidR="00C526AC" w:rsidRDefault="004D4867">
      <w:pPr>
        <w:pStyle w:val="a3"/>
        <w:widowControl/>
        <w:spacing w:before="50" w:beforeAutospacing="0" w:afterAutospacing="0"/>
        <w:ind w:firstLine="420"/>
        <w:jc w:val="both"/>
        <w:rPr>
          <w:sz w:val="18"/>
          <w:szCs w:val="18"/>
        </w:rPr>
      </w:pPr>
      <w:r>
        <w:rPr>
          <w:rFonts w:ascii="宋体" w:hAnsi="宋体" w:cs="宋体" w:hint="eastAsia"/>
          <w:sz w:val="18"/>
          <w:szCs w:val="18"/>
        </w:rPr>
        <w:t>  </w:t>
      </w:r>
      <w:r w:rsidR="00E0175D">
        <w:rPr>
          <w:rFonts w:ascii="宋体" w:hAnsi="宋体" w:cs="宋体" w:hint="eastAsia"/>
          <w:sz w:val="18"/>
          <w:szCs w:val="18"/>
        </w:rPr>
        <w:t>1）被转移金融资产在终止确认日的账面价值。</w:t>
      </w:r>
    </w:p>
    <w:p w:rsidR="00C526AC" w:rsidRDefault="004D4867">
      <w:pPr>
        <w:pStyle w:val="a3"/>
        <w:widowControl/>
        <w:spacing w:before="50" w:beforeAutospacing="0" w:afterAutospacing="0"/>
        <w:ind w:firstLine="420"/>
        <w:jc w:val="both"/>
        <w:rPr>
          <w:sz w:val="18"/>
          <w:szCs w:val="18"/>
        </w:rPr>
      </w:pPr>
      <w:r>
        <w:rPr>
          <w:rFonts w:ascii="宋体" w:hAnsi="宋体" w:cs="宋体" w:hint="eastAsia"/>
          <w:sz w:val="18"/>
          <w:szCs w:val="18"/>
        </w:rPr>
        <w:t>  </w:t>
      </w:r>
      <w:r w:rsidR="00E0175D">
        <w:rPr>
          <w:rFonts w:ascii="宋体" w:hAnsi="宋体" w:cs="宋体" w:hint="eastAsia"/>
          <w:sz w:val="18"/>
          <w:szCs w:val="18"/>
        </w:rPr>
        <w:t>2）因转移金融资产而收到的对价，与原直接计入其他综合收益的公允价值变动累计额中对应终止确认部分的金额（涉及转移的金融资产为以公允价值计量且其变动计入其他综合收益的金融资产）之和。</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1）终止确认部分在终止确认日的账面价值。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   2）终止确认部分收到的对价，与原计入其他综合收益的公允价值变动累计额中对应终止确认部分的金额（涉及转移的金融资产为以公允价值计量且其变动计入其他综合收益的金融资产）之和。</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金融资产转移不满足终止确认条件的，继续确认该金融资产，所收到的对价确认为一项金融负债。</w:t>
      </w:r>
    </w:p>
    <w:p w:rsidR="00C526AC" w:rsidRDefault="00E0175D">
      <w:pPr>
        <w:pStyle w:val="a3"/>
        <w:widowControl/>
        <w:spacing w:beforeAutospacing="0" w:afterAutospacing="0"/>
        <w:ind w:right="782"/>
        <w:jc w:val="both"/>
        <w:rPr>
          <w:sz w:val="18"/>
          <w:szCs w:val="18"/>
        </w:rPr>
      </w:pPr>
      <w:r>
        <w:rPr>
          <w:rStyle w:val="a4"/>
          <w:sz w:val="21"/>
          <w:szCs w:val="21"/>
        </w:rPr>
        <w:t>    5.</w:t>
      </w:r>
      <w:r>
        <w:rPr>
          <w:rStyle w:val="a4"/>
          <w:rFonts w:ascii="宋体" w:hAnsi="宋体" w:cs="宋体" w:hint="eastAsia"/>
          <w:sz w:val="21"/>
          <w:szCs w:val="21"/>
        </w:rPr>
        <w:t>金融资产和金融负债公允价值的确定方法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初始取得或衍生的金融资产或承担的金融负债，以市场交易价格作为确定其公允价值的基础。</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C526AC" w:rsidRDefault="00E0175D">
      <w:pPr>
        <w:pStyle w:val="a3"/>
        <w:widowControl/>
        <w:spacing w:beforeAutospacing="0" w:afterAutospacing="0"/>
        <w:ind w:right="782"/>
        <w:jc w:val="both"/>
        <w:rPr>
          <w:sz w:val="18"/>
          <w:szCs w:val="18"/>
        </w:rPr>
      </w:pPr>
      <w:r>
        <w:rPr>
          <w:rStyle w:val="a4"/>
          <w:sz w:val="21"/>
          <w:szCs w:val="21"/>
        </w:rPr>
        <w:t>    6.</w:t>
      </w:r>
      <w:r>
        <w:rPr>
          <w:rStyle w:val="a4"/>
          <w:rFonts w:ascii="宋体" w:hAnsi="宋体" w:cs="宋体" w:hint="eastAsia"/>
          <w:sz w:val="21"/>
          <w:szCs w:val="21"/>
        </w:rPr>
        <w:t>金融工具减值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本公司对以摊余成本计量的金融资产以预期信用损失为基础进行减值会计处理并确认损失准备。</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对由收入准则规范的交易形成的应收款项、合同资产以及租赁应收款，本公司运用简化计量方法，按照相当于整个存续期内预期信用损失的金额计量损失准备。</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除上述采用简化计量方法和购买或源生的已发生信用减值以外的其他金融资产，本公司在每个资产负债表日评估相关金融工具的信用风险自初始确认后是否已显著增加，并按照下列情形分别计量其损失准备、确认预期信用损失及其变动：</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（1）如果该金融工具的信用风险自初始确认后并未显著增加，处于第一阶段，则按照相当于该金融工具未来12个月内预期信用损失的金额计量其损失准备，并按照账面余额和实际利率计算利息收入。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C526AC" w:rsidRDefault="00E0175D" w:rsidP="005777BA">
      <w:pPr>
        <w:pStyle w:val="a3"/>
        <w:widowControl/>
        <w:spacing w:before="50" w:beforeAutospacing="0" w:afterAutospacing="0"/>
        <w:ind w:firstLineChars="200" w:firstLine="360"/>
        <w:jc w:val="both"/>
        <w:rPr>
          <w:sz w:val="18"/>
          <w:szCs w:val="18"/>
        </w:rPr>
      </w:pPr>
      <w:r>
        <w:rPr>
          <w:rFonts w:ascii="宋体" w:hAnsi="宋体" w:cs="宋体" w:hint="eastAsia"/>
          <w:sz w:val="18"/>
          <w:szCs w:val="18"/>
        </w:rPr>
        <w:t>（3）如果该金融工具自初始确认后已经发生信用减值的，处于第三阶段，本公司按照相当于该金融工具整个存续期内预期信用损失的金额计量其损失准备，并按照摊余成本和实际利率计算利息收入。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日按照相当于未来12个月内预期信用损失的金额计量该金融工具的损失准备，由此形成的损失准备的转回金额作为减值利得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（1）信用风险显著增加</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本公司在评估信用风险是否显著增加时会考虑如下因素：</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xml:space="preserve">  </w:t>
      </w:r>
      <w:r w:rsidR="00E0175D">
        <w:rPr>
          <w:rFonts w:ascii="宋体" w:hAnsi="宋体" w:cs="宋体" w:hint="eastAsia"/>
          <w:sz w:val="18"/>
          <w:szCs w:val="18"/>
        </w:rPr>
        <w:t xml:space="preserve"> 1）债务人经营成果实际或预期是否发生显著变化；</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w:t>
      </w:r>
      <w:r w:rsidR="00E0175D">
        <w:rPr>
          <w:rFonts w:ascii="宋体" w:hAnsi="宋体" w:cs="宋体" w:hint="eastAsia"/>
          <w:sz w:val="18"/>
          <w:szCs w:val="18"/>
        </w:rPr>
        <w:t>2）债务人所处的监管、经济或技术环境是否发生显著不利变化；</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w:t>
      </w:r>
      <w:r w:rsidR="00E0175D">
        <w:rPr>
          <w:rFonts w:ascii="宋体" w:hAnsi="宋体" w:cs="宋体" w:hint="eastAsia"/>
          <w:sz w:val="18"/>
          <w:szCs w:val="18"/>
        </w:rPr>
        <w:t>3）作为债务抵押的担保物价值或第三方提供的担保或信用增级质量是否发生显著变化，这些变化预期将降低债务人按合同规定期限还款的经济动机或者影响违约概率；</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w:t>
      </w:r>
      <w:r w:rsidR="00E0175D">
        <w:rPr>
          <w:rFonts w:ascii="宋体" w:hAnsi="宋体" w:cs="宋体" w:hint="eastAsia"/>
          <w:sz w:val="18"/>
          <w:szCs w:val="18"/>
        </w:rPr>
        <w:t>4）债务人预期表现和还款行为是否发生显著变化；</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w:t>
      </w:r>
      <w:r w:rsidR="00E0175D">
        <w:rPr>
          <w:rFonts w:ascii="宋体" w:hAnsi="宋体" w:cs="宋体" w:hint="eastAsia"/>
          <w:sz w:val="18"/>
          <w:szCs w:val="18"/>
        </w:rPr>
        <w:t>5）本公司对金融工具信用管理方法是否发生变化等。</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（2）已发生信用减值的金融资产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当对金融资产预期未来现金流量具有不利影响的一项或多项事件发生时，该金融资产成为已发生信用减值的金融资产。金融资产已发生信用减值的证据包括下列可观察信息：</w:t>
      </w:r>
    </w:p>
    <w:p w:rsidR="00C526AC" w:rsidRDefault="00E0175D" w:rsidP="005777BA">
      <w:pPr>
        <w:pStyle w:val="a3"/>
        <w:widowControl/>
        <w:spacing w:before="50" w:beforeAutospacing="0" w:afterAutospacing="0"/>
        <w:ind w:firstLine="142"/>
        <w:jc w:val="both"/>
        <w:rPr>
          <w:sz w:val="18"/>
          <w:szCs w:val="18"/>
        </w:rPr>
      </w:pPr>
      <w:r>
        <w:rPr>
          <w:rFonts w:ascii="宋体" w:hAnsi="宋体" w:cs="宋体" w:hint="eastAsia"/>
          <w:sz w:val="18"/>
          <w:szCs w:val="18"/>
        </w:rPr>
        <w:t>    1）发行方或债务人发生重大财务困难；</w:t>
      </w:r>
    </w:p>
    <w:p w:rsidR="00C526AC" w:rsidRDefault="00E0175D" w:rsidP="005777BA">
      <w:pPr>
        <w:pStyle w:val="a3"/>
        <w:widowControl/>
        <w:spacing w:before="50" w:beforeAutospacing="0" w:afterAutospacing="0"/>
        <w:ind w:firstLine="142"/>
        <w:jc w:val="both"/>
        <w:rPr>
          <w:sz w:val="18"/>
          <w:szCs w:val="18"/>
        </w:rPr>
      </w:pPr>
      <w:r>
        <w:rPr>
          <w:rFonts w:ascii="宋体" w:hAnsi="宋体" w:cs="宋体" w:hint="eastAsia"/>
          <w:sz w:val="18"/>
          <w:szCs w:val="18"/>
        </w:rPr>
        <w:t>    2）债务人违反合同，如偿付利息或本金违约或逾期等；</w:t>
      </w:r>
    </w:p>
    <w:p w:rsidR="00C526AC" w:rsidRDefault="00E0175D" w:rsidP="005777BA">
      <w:pPr>
        <w:pStyle w:val="a3"/>
        <w:widowControl/>
        <w:spacing w:before="50" w:beforeAutospacing="0" w:afterAutospacing="0"/>
        <w:ind w:firstLine="142"/>
        <w:jc w:val="both"/>
        <w:rPr>
          <w:sz w:val="18"/>
          <w:szCs w:val="18"/>
        </w:rPr>
      </w:pPr>
      <w:r>
        <w:rPr>
          <w:rFonts w:ascii="宋体" w:hAnsi="宋体" w:cs="宋体" w:hint="eastAsia"/>
          <w:sz w:val="18"/>
          <w:szCs w:val="18"/>
        </w:rPr>
        <w:t>    3）债权人出于与债务人财务困难有关的经济或合同考虑，给予债务人在任何其他情况下都不会做出的让步；</w:t>
      </w:r>
    </w:p>
    <w:p w:rsidR="00C526AC" w:rsidRDefault="00E0175D" w:rsidP="005777BA">
      <w:pPr>
        <w:pStyle w:val="a3"/>
        <w:widowControl/>
        <w:spacing w:before="50" w:beforeAutospacing="0" w:afterAutospacing="0"/>
        <w:ind w:firstLine="142"/>
        <w:jc w:val="both"/>
        <w:rPr>
          <w:sz w:val="18"/>
          <w:szCs w:val="18"/>
        </w:rPr>
      </w:pPr>
      <w:r>
        <w:rPr>
          <w:rFonts w:ascii="宋体" w:hAnsi="宋体" w:cs="宋体" w:hint="eastAsia"/>
          <w:sz w:val="18"/>
          <w:szCs w:val="18"/>
        </w:rPr>
        <w:t>    4）债务人很可能破产或进行其他财务重组；</w:t>
      </w:r>
    </w:p>
    <w:p w:rsidR="00C526AC" w:rsidRDefault="00E0175D" w:rsidP="005777BA">
      <w:pPr>
        <w:pStyle w:val="a3"/>
        <w:widowControl/>
        <w:spacing w:before="50" w:beforeAutospacing="0" w:afterAutospacing="0"/>
        <w:ind w:firstLine="142"/>
        <w:jc w:val="both"/>
        <w:rPr>
          <w:sz w:val="18"/>
          <w:szCs w:val="18"/>
        </w:rPr>
      </w:pPr>
      <w:r>
        <w:rPr>
          <w:rFonts w:ascii="宋体" w:hAnsi="宋体" w:cs="宋体" w:hint="eastAsia"/>
          <w:sz w:val="18"/>
          <w:szCs w:val="18"/>
        </w:rPr>
        <w:t>    5）发行方或债务人财务困难导致该金融资产的活跃市场消失；</w:t>
      </w:r>
    </w:p>
    <w:p w:rsidR="00C526AC" w:rsidRDefault="00E0175D" w:rsidP="005777BA">
      <w:pPr>
        <w:pStyle w:val="a3"/>
        <w:widowControl/>
        <w:spacing w:before="50" w:beforeAutospacing="0" w:afterAutospacing="0"/>
        <w:ind w:firstLine="142"/>
        <w:jc w:val="both"/>
        <w:rPr>
          <w:sz w:val="18"/>
          <w:szCs w:val="18"/>
        </w:rPr>
      </w:pPr>
      <w:r>
        <w:rPr>
          <w:rFonts w:ascii="宋体" w:hAnsi="宋体" w:cs="宋体" w:hint="eastAsia"/>
          <w:sz w:val="18"/>
          <w:szCs w:val="18"/>
        </w:rPr>
        <w:t>    6）以大幅折扣购买或源生一项金融资产，该折扣反映了发生信用损失的事实。</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金融资产发生信用减值，有可能是多个事件的共同作用所致，未必是可单独识别的事件所致。</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（3）预期信用损失的确定</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本公司基于单项和组合评估金融工具的预期信用损失，在评估预期信用损失时，考虑有关过去事项、当前状况以及未来经济状况预测的合理且有依据的信息。</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以共同信用风险特征为依据，将金融工具分为不同组合。本公司采用的共同信用风险特征包括：金融工具类型、信用风险评级、账龄组合、合同结算周期、债务人所处行业等。相关金融工具的单项评估标准和组合信用风险特征详见相关金融工具的会计政策。</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本公司按照下列方法确定相关金融工具的预期信用损失：</w:t>
      </w:r>
    </w:p>
    <w:p w:rsidR="00C526AC" w:rsidRDefault="00E0175D" w:rsidP="005777BA">
      <w:pPr>
        <w:pStyle w:val="a3"/>
        <w:widowControl/>
        <w:spacing w:before="50" w:beforeAutospacing="0" w:afterAutospacing="0"/>
        <w:ind w:firstLineChars="382" w:firstLine="688"/>
        <w:jc w:val="both"/>
        <w:rPr>
          <w:sz w:val="18"/>
          <w:szCs w:val="18"/>
        </w:rPr>
      </w:pPr>
      <w:r>
        <w:rPr>
          <w:rFonts w:ascii="宋体" w:hAnsi="宋体" w:cs="宋体" w:hint="eastAsia"/>
          <w:sz w:val="18"/>
          <w:szCs w:val="18"/>
        </w:rPr>
        <w:t>1）对于金融资产，信用损失为本公司应收取的合同现金流量与预期收取的现金流量之间差额的现值。</w:t>
      </w:r>
    </w:p>
    <w:p w:rsidR="00C526AC" w:rsidRDefault="00E0175D" w:rsidP="005777BA">
      <w:pPr>
        <w:pStyle w:val="a3"/>
        <w:widowControl/>
        <w:spacing w:before="50" w:beforeAutospacing="0" w:afterAutospacing="0"/>
        <w:ind w:firstLineChars="382" w:firstLine="688"/>
        <w:jc w:val="both"/>
        <w:rPr>
          <w:sz w:val="18"/>
          <w:szCs w:val="18"/>
        </w:rPr>
      </w:pPr>
      <w:r>
        <w:rPr>
          <w:rFonts w:ascii="宋体" w:hAnsi="宋体" w:cs="宋体" w:hint="eastAsia"/>
          <w:sz w:val="18"/>
          <w:szCs w:val="18"/>
        </w:rPr>
        <w:t>2）对于租赁应收款项，信用损失为本公司应收取的合同现金流量与预期收取的现金流量之间差额的现值。</w:t>
      </w:r>
    </w:p>
    <w:p w:rsidR="00C526AC" w:rsidRDefault="00E0175D" w:rsidP="005777BA">
      <w:pPr>
        <w:pStyle w:val="a3"/>
        <w:widowControl/>
        <w:tabs>
          <w:tab w:val="left" w:pos="709"/>
        </w:tabs>
        <w:spacing w:before="50" w:beforeAutospacing="0" w:afterAutospacing="0"/>
        <w:ind w:firstLineChars="382" w:firstLine="688"/>
        <w:jc w:val="both"/>
        <w:rPr>
          <w:sz w:val="18"/>
          <w:szCs w:val="18"/>
        </w:rPr>
      </w:pPr>
      <w:r>
        <w:rPr>
          <w:rFonts w:ascii="宋体" w:hAnsi="宋体" w:cs="宋体" w:hint="eastAsia"/>
          <w:sz w:val="18"/>
          <w:szCs w:val="18"/>
        </w:rPr>
        <w:t>3）对于财务担保合同，信用损失为本公司就该合同持有人发生的信用损失向其做出赔付的预计付款额，减去本公司预期向该合同持有人、债务人或任何其他方收取的金额之间差额的现值。</w:t>
      </w:r>
    </w:p>
    <w:p w:rsidR="00C526AC" w:rsidRDefault="00E0175D" w:rsidP="005777BA">
      <w:pPr>
        <w:pStyle w:val="a3"/>
        <w:widowControl/>
        <w:spacing w:before="50" w:beforeAutospacing="0" w:afterAutospacing="0"/>
        <w:ind w:firstLineChars="382" w:firstLine="688"/>
        <w:jc w:val="both"/>
        <w:rPr>
          <w:sz w:val="18"/>
          <w:szCs w:val="18"/>
        </w:rPr>
      </w:pPr>
      <w:r>
        <w:rPr>
          <w:rFonts w:ascii="宋体" w:hAnsi="宋体" w:cs="宋体" w:hint="eastAsia"/>
          <w:sz w:val="18"/>
          <w:szCs w:val="18"/>
        </w:rPr>
        <w:t>4）对于资产负债表日已发生信用减值但并非购买或源生已发生信用减值的金融资产，信用损失为该金融资产账面余额与按原实际利率折现的估计未来现金流量的现值之间的差额。</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C526AC" w:rsidRDefault="005777BA">
      <w:pPr>
        <w:pStyle w:val="a3"/>
        <w:widowControl/>
        <w:spacing w:before="50" w:beforeAutospacing="0" w:afterAutospacing="0"/>
        <w:ind w:firstLine="420"/>
        <w:jc w:val="both"/>
        <w:rPr>
          <w:sz w:val="18"/>
          <w:szCs w:val="18"/>
        </w:rPr>
      </w:pPr>
      <w:r>
        <w:rPr>
          <w:rFonts w:ascii="宋体" w:hAnsi="宋体" w:cs="宋体" w:hint="eastAsia"/>
          <w:sz w:val="18"/>
          <w:szCs w:val="18"/>
        </w:rPr>
        <w:t xml:space="preserve">  </w:t>
      </w:r>
      <w:r w:rsidR="00E0175D">
        <w:rPr>
          <w:rFonts w:ascii="宋体" w:hAnsi="宋体" w:cs="宋体" w:hint="eastAsia"/>
          <w:sz w:val="18"/>
          <w:szCs w:val="18"/>
        </w:rPr>
        <w:t>（4）减记金融资产</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当本公司不再合理预期金融资产合同现金流量能够全部或部分收回的，直接减记该金融资产的账面余额。这种减记构成相关金融资产的终止确认。</w:t>
      </w:r>
    </w:p>
    <w:p w:rsidR="00C526AC" w:rsidRDefault="00E0175D">
      <w:pPr>
        <w:pStyle w:val="a3"/>
        <w:widowControl/>
        <w:spacing w:beforeAutospacing="0" w:afterAutospacing="0"/>
        <w:jc w:val="both"/>
        <w:rPr>
          <w:sz w:val="18"/>
          <w:szCs w:val="18"/>
        </w:rPr>
      </w:pPr>
      <w:r>
        <w:rPr>
          <w:rStyle w:val="a4"/>
          <w:sz w:val="21"/>
          <w:szCs w:val="21"/>
        </w:rPr>
        <w:t>   7.</w:t>
      </w:r>
      <w:r>
        <w:rPr>
          <w:rStyle w:val="a4"/>
          <w:rFonts w:ascii="宋体" w:hAnsi="宋体" w:cs="宋体" w:hint="eastAsia"/>
          <w:sz w:val="21"/>
          <w:szCs w:val="21"/>
        </w:rPr>
        <w:t>金融资产及金融负债的抵销</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金融资产和金融负债在资产负债表内分别列示，没有相互抵销。但是，同时满足下列条件的，以相互抵销后的净额在资产负债表内列示：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（1）本公司具有抵销已确认金额的法定权利，且该种法定权利是当前可执行的；</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（2）本公司计划以净额结算，或同时变现该金融资产和清偿该金融负债。</w:t>
      </w:r>
      <w:r>
        <w:rPr>
          <w:sz w:val="18"/>
          <w:szCs w:val="18"/>
        </w:rPr>
        <w:t xml:space="preserve"> </w:t>
      </w:r>
    </w:p>
    <w:p w:rsidR="00C526AC" w:rsidRDefault="00E0175D">
      <w:pPr>
        <w:keepNext/>
        <w:keepLines/>
        <w:spacing w:before="300" w:after="300" w:line="280" w:lineRule="exact"/>
        <w:jc w:val="left"/>
        <w:outlineLvl w:val="2"/>
        <w:rPr>
          <w:rFonts w:ascii="宋体" w:hAnsi="宋体" w:cs="宋体"/>
          <w:b/>
          <w:bCs/>
          <w:szCs w:val="21"/>
        </w:rPr>
      </w:pPr>
      <w:bookmarkStart w:id="27" w:name="_Toc989017"/>
      <w:r>
        <w:rPr>
          <w:rFonts w:ascii="宋体" w:hAnsi="宋体" w:cs="宋体"/>
          <w:b/>
          <w:bCs/>
          <w:szCs w:val="21"/>
        </w:rPr>
        <w:t>11、应收票据</w:t>
      </w:r>
      <w:bookmarkEnd w:id="27"/>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本公司对应收票据的预期信用损失的确定方法及会计处理方法详见本附注（十）6.金融工具减值。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本公司对单项金额重大且在初始确认后已经发生信用减值；的应收票据单独确定其信用损失。</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当在单项工具层面无法以合理成本评估预期信用损失的充分证据时，本公司参考历史信用损失经验，结合当前状况以及对未来经济状况的判断，依据信用风险特征将应收票据划分为若干组合，在组合基础上计算预期信用损失。确定组合的依据如下：</w:t>
      </w:r>
    </w:p>
    <w:tbl>
      <w:tblPr>
        <w:tblW w:w="0" w:type="auto"/>
        <w:jc w:val="center"/>
        <w:tblInd w:w="-29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610"/>
        <w:gridCol w:w="5204"/>
        <w:gridCol w:w="2550"/>
      </w:tblGrid>
      <w:tr w:rsidR="00C526AC" w:rsidTr="005777BA">
        <w:trPr>
          <w:jc w:val="center"/>
        </w:trPr>
        <w:tc>
          <w:tcPr>
            <w:tcW w:w="1610"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组合名称</w:t>
            </w:r>
          </w:p>
        </w:tc>
        <w:tc>
          <w:tcPr>
            <w:tcW w:w="5204"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确定组合的依据</w:t>
            </w:r>
          </w:p>
        </w:tc>
        <w:tc>
          <w:tcPr>
            <w:tcW w:w="2550"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计提方法</w:t>
            </w:r>
          </w:p>
        </w:tc>
      </w:tr>
      <w:tr w:rsidR="00C526AC" w:rsidTr="005777BA">
        <w:trPr>
          <w:jc w:val="center"/>
        </w:trPr>
        <w:tc>
          <w:tcPr>
            <w:tcW w:w="1610"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银行承兑汇票组合</w:t>
            </w:r>
          </w:p>
        </w:tc>
        <w:tc>
          <w:tcPr>
            <w:tcW w:w="5204"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出票人具有较高的信用评级，历史上未发生票据违约，信用损失风险极低，在短期内履行其支付合同现金流量义务的能力很强</w:t>
            </w:r>
          </w:p>
        </w:tc>
        <w:tc>
          <w:tcPr>
            <w:tcW w:w="255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参考历史信用损失经验不计提坏账准备</w:t>
            </w:r>
          </w:p>
        </w:tc>
      </w:tr>
      <w:tr w:rsidR="00C526AC" w:rsidTr="005777BA">
        <w:trPr>
          <w:jc w:val="center"/>
        </w:trPr>
        <w:tc>
          <w:tcPr>
            <w:tcW w:w="1610"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商业承兑汇票组合</w:t>
            </w:r>
          </w:p>
        </w:tc>
        <w:tc>
          <w:tcPr>
            <w:tcW w:w="5204"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在以前年度实际损失率、对未来回收应收票据风险的判断及信用风险特征分析</w:t>
            </w:r>
          </w:p>
        </w:tc>
        <w:tc>
          <w:tcPr>
            <w:tcW w:w="255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按照预期损失率计提减值准，与应收账款的组合划分相同</w:t>
            </w:r>
          </w:p>
        </w:tc>
      </w:tr>
    </w:tbl>
    <w:p w:rsidR="00C526AC" w:rsidRDefault="00E0175D">
      <w:pPr>
        <w:keepNext/>
        <w:keepLines/>
        <w:spacing w:before="300" w:after="300" w:line="280" w:lineRule="exact"/>
        <w:jc w:val="left"/>
        <w:outlineLvl w:val="2"/>
        <w:rPr>
          <w:rFonts w:ascii="宋体" w:hAnsi="宋体" w:cs="宋体"/>
          <w:b/>
          <w:bCs/>
          <w:szCs w:val="21"/>
        </w:rPr>
      </w:pPr>
      <w:bookmarkStart w:id="28" w:name="_Toc989018"/>
      <w:r>
        <w:rPr>
          <w:rFonts w:ascii="宋体" w:hAnsi="宋体" w:cs="宋体"/>
          <w:b/>
          <w:bCs/>
          <w:szCs w:val="21"/>
        </w:rPr>
        <w:t>12、应收账款</w:t>
      </w:r>
      <w:bookmarkEnd w:id="28"/>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本公司对应收账款的预期信用损失的确定方法及会计处理方法详见本附注（十）6.金融工具减值。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出现与对方存在争议或涉及诉讼、仲裁的应收账款；已有明显迹象表明债务人很可能无法履行还款义务的应收账款；认为无法按照原有条款收回的应收账款等可能发生损失迹象的应收账款单独确定其信用损失。</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84"/>
        <w:gridCol w:w="3961"/>
        <w:gridCol w:w="4296"/>
      </w:tblGrid>
      <w:tr w:rsidR="00C526AC" w:rsidTr="005777BA">
        <w:trPr>
          <w:jc w:val="center"/>
        </w:trPr>
        <w:tc>
          <w:tcPr>
            <w:tcW w:w="984"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组合名称</w:t>
            </w:r>
          </w:p>
        </w:tc>
        <w:tc>
          <w:tcPr>
            <w:tcW w:w="3961"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确定组合的依据</w:t>
            </w:r>
          </w:p>
        </w:tc>
        <w:tc>
          <w:tcPr>
            <w:tcW w:w="4296"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计提方法</w:t>
            </w:r>
          </w:p>
        </w:tc>
      </w:tr>
      <w:tr w:rsidR="00C526AC" w:rsidTr="005777BA">
        <w:trPr>
          <w:jc w:val="center"/>
        </w:trPr>
        <w:tc>
          <w:tcPr>
            <w:tcW w:w="984"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风险组合</w:t>
            </w:r>
          </w:p>
        </w:tc>
        <w:tc>
          <w:tcPr>
            <w:tcW w:w="3961"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本组合以应收账款的账龄作为信用风险特征</w:t>
            </w:r>
          </w:p>
        </w:tc>
        <w:tc>
          <w:tcPr>
            <w:tcW w:w="4296"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参考历史信用损失经验，结合当前状况以及对未来经济状况的预期计量坏账准备</w:t>
            </w:r>
          </w:p>
        </w:tc>
      </w:tr>
      <w:tr w:rsidR="00C526AC" w:rsidTr="005777BA">
        <w:trPr>
          <w:jc w:val="center"/>
        </w:trPr>
        <w:tc>
          <w:tcPr>
            <w:tcW w:w="984"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性质组合</w:t>
            </w:r>
          </w:p>
        </w:tc>
        <w:tc>
          <w:tcPr>
            <w:tcW w:w="3961"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根据业务性质，认定无信用风险，主要包括合并范围内关联方的款项、信用证结算的销售货款</w:t>
            </w:r>
          </w:p>
        </w:tc>
        <w:tc>
          <w:tcPr>
            <w:tcW w:w="4296"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参考历史信用损失经验，结合当前状况以及对未来经济状况的预期计量坏账准备</w:t>
            </w:r>
          </w:p>
        </w:tc>
      </w:tr>
    </w:tbl>
    <w:p w:rsidR="00C526AC" w:rsidRDefault="00E0175D">
      <w:pPr>
        <w:keepNext/>
        <w:keepLines/>
        <w:spacing w:before="300" w:after="300" w:line="280" w:lineRule="exact"/>
        <w:jc w:val="left"/>
        <w:outlineLvl w:val="2"/>
        <w:rPr>
          <w:rFonts w:ascii="宋体" w:hAnsi="宋体" w:cs="宋体"/>
          <w:b/>
          <w:bCs/>
          <w:szCs w:val="21"/>
        </w:rPr>
      </w:pPr>
      <w:bookmarkStart w:id="29" w:name="_Toc989019"/>
      <w:r>
        <w:rPr>
          <w:rFonts w:ascii="宋体" w:hAnsi="宋体" w:cs="宋体"/>
          <w:b/>
          <w:bCs/>
          <w:szCs w:val="21"/>
        </w:rPr>
        <w:t>13、应收款项融资</w:t>
      </w:r>
      <w:bookmarkEnd w:id="29"/>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本公司对应收款项融资的预期信用损失的确定方法及会计处理方法详见本附注（十）6.金融工具减值。</w:t>
      </w:r>
    </w:p>
    <w:p w:rsidR="00C526AC" w:rsidRDefault="00E0175D">
      <w:pPr>
        <w:keepNext/>
        <w:keepLines/>
        <w:spacing w:before="300" w:after="300" w:line="280" w:lineRule="exact"/>
        <w:jc w:val="left"/>
        <w:outlineLvl w:val="2"/>
        <w:rPr>
          <w:rFonts w:ascii="宋体" w:hAnsi="宋体" w:cs="宋体"/>
          <w:b/>
          <w:bCs/>
          <w:szCs w:val="21"/>
        </w:rPr>
      </w:pPr>
      <w:bookmarkStart w:id="30" w:name="_Toc989020"/>
      <w:r>
        <w:rPr>
          <w:rFonts w:ascii="宋体" w:hAnsi="宋体" w:cs="宋体"/>
          <w:b/>
          <w:bCs/>
          <w:szCs w:val="21"/>
        </w:rPr>
        <w:t>14、其他应收款</w:t>
      </w:r>
      <w:bookmarkEnd w:id="30"/>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其他应收款的预期信用损失的确定方法及会计处理方法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其他应收款的预期信用损失的确定方法及会计处理方法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本公司对其他应收款的预期信用损失的确定方法及会计处理方法详见本附注（十）6.金融工具减值。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出现与对方存在争议或涉及诉讼、仲裁的其他应收款；已有明显迹象表明债务人很可能无法履行还款义务的其他应收款；认为无法按照原有条款收回的其他应收款等可能发生损失迹象的其他应收款单独确定其信用损失。</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04"/>
        <w:gridCol w:w="3930"/>
        <w:gridCol w:w="4237"/>
      </w:tblGrid>
      <w:tr w:rsidR="00C526AC" w:rsidTr="00ED4EB7">
        <w:trPr>
          <w:jc w:val="center"/>
        </w:trPr>
        <w:tc>
          <w:tcPr>
            <w:tcW w:w="1104"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组合名称</w:t>
            </w:r>
          </w:p>
        </w:tc>
        <w:tc>
          <w:tcPr>
            <w:tcW w:w="3930"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确定组合的依据</w:t>
            </w:r>
          </w:p>
        </w:tc>
        <w:tc>
          <w:tcPr>
            <w:tcW w:w="4237"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计提方法</w:t>
            </w:r>
          </w:p>
        </w:tc>
      </w:tr>
      <w:tr w:rsidR="00C526AC" w:rsidTr="00ED4EB7">
        <w:trPr>
          <w:jc w:val="center"/>
        </w:trPr>
        <w:tc>
          <w:tcPr>
            <w:tcW w:w="1104"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风险组合</w:t>
            </w:r>
          </w:p>
        </w:tc>
        <w:tc>
          <w:tcPr>
            <w:tcW w:w="393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本组合以其他应收款的账龄作为信用风险特征</w:t>
            </w:r>
          </w:p>
        </w:tc>
        <w:tc>
          <w:tcPr>
            <w:tcW w:w="4237"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参考历史信用损失经验，结合当前状况以及对未来经济状况的预期计量坏账准备</w:t>
            </w:r>
          </w:p>
        </w:tc>
      </w:tr>
      <w:tr w:rsidR="00C526AC" w:rsidTr="00ED4EB7">
        <w:trPr>
          <w:jc w:val="center"/>
        </w:trPr>
        <w:tc>
          <w:tcPr>
            <w:tcW w:w="1104"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性质组合</w:t>
            </w:r>
          </w:p>
        </w:tc>
        <w:tc>
          <w:tcPr>
            <w:tcW w:w="393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根据业务性质，主要包括合并范围内关联方的款项、出口退税款、政府补助</w:t>
            </w:r>
          </w:p>
        </w:tc>
        <w:tc>
          <w:tcPr>
            <w:tcW w:w="4237"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参考历史信用损失经验，结合当前状况以及对未来经济状况的预期计量坏账准备</w:t>
            </w:r>
          </w:p>
        </w:tc>
      </w:tr>
    </w:tbl>
    <w:p w:rsidR="00C526AC" w:rsidRDefault="00E0175D">
      <w:pPr>
        <w:keepNext/>
        <w:keepLines/>
        <w:spacing w:before="300" w:after="300" w:line="280" w:lineRule="exact"/>
        <w:jc w:val="left"/>
        <w:outlineLvl w:val="2"/>
        <w:rPr>
          <w:rFonts w:ascii="宋体" w:hAnsi="宋体" w:cs="宋体"/>
          <w:b/>
          <w:bCs/>
          <w:szCs w:val="21"/>
        </w:rPr>
      </w:pPr>
      <w:bookmarkStart w:id="31" w:name="_Toc989021"/>
      <w:r>
        <w:rPr>
          <w:rFonts w:ascii="宋体" w:hAnsi="宋体" w:cs="宋体"/>
          <w:b/>
          <w:bCs/>
          <w:szCs w:val="21"/>
        </w:rPr>
        <w:t>15、存货</w:t>
      </w:r>
      <w:bookmarkEnd w:id="31"/>
    </w:p>
    <w:p w:rsidR="00C526AC" w:rsidRDefault="00E0175D">
      <w:pPr>
        <w:pStyle w:val="a3"/>
        <w:widowControl/>
        <w:spacing w:before="120" w:beforeAutospacing="0" w:afterAutospacing="0"/>
        <w:ind w:firstLine="413"/>
        <w:jc w:val="both"/>
        <w:rPr>
          <w:rFonts w:ascii="宋体" w:hAnsi="宋体" w:cs="宋体"/>
          <w:sz w:val="18"/>
          <w:szCs w:val="18"/>
        </w:rPr>
      </w:pPr>
      <w:r>
        <w:rPr>
          <w:rStyle w:val="a4"/>
          <w:rFonts w:ascii="宋体" w:hAnsi="宋体" w:cs="宋体" w:hint="eastAsia"/>
          <w:sz w:val="21"/>
          <w:szCs w:val="21"/>
        </w:rPr>
        <w:t>1.存货的分类</w:t>
      </w:r>
    </w:p>
    <w:p w:rsidR="00C526AC" w:rsidRDefault="00E0175D">
      <w:pPr>
        <w:pStyle w:val="a3"/>
        <w:widowControl/>
        <w:spacing w:before="50" w:beforeAutospacing="0" w:afterAutospacing="0"/>
        <w:ind w:firstLine="420"/>
        <w:jc w:val="both"/>
        <w:rPr>
          <w:rFonts w:ascii="宋体" w:hAnsi="宋体" w:cs="宋体"/>
          <w:sz w:val="18"/>
          <w:szCs w:val="18"/>
        </w:rPr>
      </w:pPr>
      <w:r>
        <w:rPr>
          <w:rFonts w:ascii="宋体" w:hAnsi="宋体" w:cs="宋体" w:hint="eastAsia"/>
          <w:sz w:val="18"/>
          <w:szCs w:val="18"/>
        </w:rPr>
        <w:t>存货是指本公司在日常活动中持有以备出售的产成品或商品、处在生产过程中的在产品、在生产过程或提供劳务过程中耗用的材料和物料等。主要包括原材料、周转材料、委托加工物资、在产品、自制半成品、库存商品、发出商品等。</w:t>
      </w:r>
    </w:p>
    <w:p w:rsidR="00C526AC" w:rsidRDefault="00E0175D">
      <w:pPr>
        <w:pStyle w:val="a3"/>
        <w:widowControl/>
        <w:spacing w:before="120" w:beforeAutospacing="0" w:afterAutospacing="0"/>
        <w:ind w:firstLine="413"/>
        <w:jc w:val="both"/>
        <w:rPr>
          <w:rFonts w:ascii="宋体" w:hAnsi="宋体" w:cs="宋体"/>
          <w:sz w:val="18"/>
          <w:szCs w:val="18"/>
        </w:rPr>
      </w:pPr>
      <w:r>
        <w:rPr>
          <w:rStyle w:val="a4"/>
          <w:rFonts w:ascii="宋体" w:hAnsi="宋体" w:cs="宋体" w:hint="eastAsia"/>
          <w:sz w:val="21"/>
          <w:szCs w:val="21"/>
        </w:rPr>
        <w:t>2.存货的计价方法</w:t>
      </w:r>
    </w:p>
    <w:p w:rsidR="00C526AC" w:rsidRDefault="00E0175D">
      <w:pPr>
        <w:pStyle w:val="a3"/>
        <w:widowControl/>
        <w:spacing w:before="50" w:beforeAutospacing="0" w:afterAutospacing="0"/>
        <w:ind w:firstLine="420"/>
        <w:jc w:val="both"/>
        <w:rPr>
          <w:rFonts w:ascii="宋体" w:hAnsi="宋体" w:cs="宋体"/>
          <w:sz w:val="18"/>
          <w:szCs w:val="18"/>
        </w:rPr>
      </w:pPr>
      <w:r>
        <w:rPr>
          <w:rFonts w:ascii="宋体" w:hAnsi="宋体" w:cs="宋体" w:hint="eastAsia"/>
          <w:sz w:val="18"/>
          <w:szCs w:val="18"/>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C526AC" w:rsidRDefault="00E0175D">
      <w:pPr>
        <w:pStyle w:val="a3"/>
        <w:widowControl/>
        <w:spacing w:before="120" w:beforeAutospacing="0" w:afterAutospacing="0"/>
        <w:ind w:firstLine="413"/>
        <w:jc w:val="both"/>
        <w:rPr>
          <w:rFonts w:ascii="宋体" w:hAnsi="宋体" w:cs="宋体"/>
          <w:sz w:val="18"/>
          <w:szCs w:val="18"/>
        </w:rPr>
      </w:pPr>
      <w:r>
        <w:rPr>
          <w:rStyle w:val="a4"/>
          <w:rFonts w:ascii="宋体" w:hAnsi="宋体" w:cs="宋体" w:hint="eastAsia"/>
          <w:sz w:val="21"/>
          <w:szCs w:val="21"/>
        </w:rPr>
        <w:t>3.存货可变现净值的确定依据及存货跌价准备的计提方法</w:t>
      </w:r>
    </w:p>
    <w:p w:rsidR="00C526AC" w:rsidRDefault="00E0175D">
      <w:pPr>
        <w:pStyle w:val="a3"/>
        <w:widowControl/>
        <w:spacing w:before="50" w:beforeAutospacing="0" w:afterAutospacing="0"/>
        <w:ind w:firstLine="420"/>
        <w:jc w:val="both"/>
        <w:rPr>
          <w:rFonts w:ascii="宋体" w:hAnsi="宋体" w:cs="宋体"/>
          <w:sz w:val="18"/>
          <w:szCs w:val="18"/>
        </w:rPr>
      </w:pPr>
      <w:r>
        <w:rPr>
          <w:rFonts w:ascii="宋体" w:hAnsi="宋体" w:cs="宋体" w:hint="eastAsia"/>
          <w:sz w:val="18"/>
          <w:szCs w:val="18"/>
        </w:rPr>
        <w:t>期末对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C526AC" w:rsidRDefault="00E0175D">
      <w:pPr>
        <w:pStyle w:val="a3"/>
        <w:widowControl/>
        <w:spacing w:before="50" w:beforeAutospacing="0" w:afterAutospacing="0"/>
        <w:ind w:firstLine="420"/>
        <w:jc w:val="both"/>
        <w:rPr>
          <w:rFonts w:ascii="宋体" w:hAnsi="宋体" w:cs="宋体"/>
          <w:sz w:val="18"/>
          <w:szCs w:val="18"/>
        </w:rPr>
      </w:pPr>
      <w:r>
        <w:rPr>
          <w:rFonts w:ascii="宋体" w:hAnsi="宋体" w:cs="宋体" w:hint="eastAsia"/>
          <w:sz w:val="18"/>
          <w:szCs w:val="18"/>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C526AC" w:rsidRDefault="00E0175D">
      <w:pPr>
        <w:pStyle w:val="a3"/>
        <w:widowControl/>
        <w:spacing w:before="50" w:beforeAutospacing="0" w:afterAutospacing="0"/>
        <w:ind w:firstLine="420"/>
        <w:jc w:val="both"/>
        <w:rPr>
          <w:rFonts w:ascii="宋体" w:hAnsi="宋体" w:cs="宋体"/>
          <w:sz w:val="18"/>
          <w:szCs w:val="18"/>
        </w:rPr>
      </w:pPr>
      <w:r>
        <w:rPr>
          <w:rFonts w:ascii="宋体" w:hAnsi="宋体" w:cs="宋体" w:hint="eastAsia"/>
          <w:sz w:val="18"/>
          <w:szCs w:val="18"/>
        </w:rPr>
        <w:t>以前减记存货价值的影响因素已经消失的，减记的金额予以恢复，并在原已计提的存货跌价准备金额内转回，转回的金额计入当期损益。</w:t>
      </w:r>
    </w:p>
    <w:p w:rsidR="00C526AC" w:rsidRDefault="00E0175D">
      <w:pPr>
        <w:pStyle w:val="a3"/>
        <w:widowControl/>
        <w:spacing w:before="120" w:beforeAutospacing="0" w:afterAutospacing="0"/>
        <w:ind w:firstLine="413"/>
        <w:jc w:val="both"/>
        <w:rPr>
          <w:rFonts w:ascii="宋体" w:hAnsi="宋体" w:cs="宋体"/>
          <w:sz w:val="18"/>
          <w:szCs w:val="18"/>
        </w:rPr>
      </w:pPr>
      <w:r>
        <w:rPr>
          <w:rStyle w:val="a4"/>
          <w:rFonts w:ascii="宋体" w:hAnsi="宋体" w:cs="宋体" w:hint="eastAsia"/>
          <w:sz w:val="21"/>
          <w:szCs w:val="21"/>
        </w:rPr>
        <w:t>4.存货的盘存制度</w:t>
      </w:r>
    </w:p>
    <w:p w:rsidR="00C526AC" w:rsidRDefault="00E0175D">
      <w:pPr>
        <w:pStyle w:val="a3"/>
        <w:widowControl/>
        <w:spacing w:before="50" w:beforeAutospacing="0" w:afterAutospacing="0"/>
        <w:ind w:firstLine="420"/>
        <w:jc w:val="both"/>
        <w:rPr>
          <w:rFonts w:ascii="宋体" w:hAnsi="宋体" w:cs="宋体"/>
          <w:sz w:val="18"/>
          <w:szCs w:val="18"/>
        </w:rPr>
      </w:pPr>
      <w:r>
        <w:rPr>
          <w:rFonts w:ascii="宋体" w:hAnsi="宋体" w:cs="宋体" w:hint="eastAsia"/>
          <w:sz w:val="18"/>
          <w:szCs w:val="18"/>
        </w:rPr>
        <w:t>采用永续盘存制。</w:t>
      </w:r>
    </w:p>
    <w:p w:rsidR="00C526AC" w:rsidRDefault="00E0175D">
      <w:pPr>
        <w:pStyle w:val="a3"/>
        <w:widowControl/>
        <w:spacing w:before="120" w:beforeAutospacing="0" w:afterAutospacing="0"/>
        <w:ind w:firstLine="413"/>
        <w:jc w:val="both"/>
        <w:rPr>
          <w:rFonts w:ascii="宋体" w:hAnsi="宋体" w:cs="宋体"/>
          <w:sz w:val="18"/>
          <w:szCs w:val="18"/>
        </w:rPr>
      </w:pPr>
      <w:r>
        <w:rPr>
          <w:rStyle w:val="a4"/>
          <w:rFonts w:ascii="宋体" w:hAnsi="宋体" w:cs="宋体" w:hint="eastAsia"/>
          <w:sz w:val="21"/>
          <w:szCs w:val="21"/>
        </w:rPr>
        <w:t>5.低值易耗品和包装物的摊销方法</w:t>
      </w:r>
    </w:p>
    <w:p w:rsidR="00C526AC" w:rsidRDefault="00E0175D">
      <w:pPr>
        <w:pStyle w:val="a3"/>
        <w:widowControl/>
        <w:spacing w:before="50" w:beforeAutospacing="0" w:afterAutospacing="0"/>
        <w:ind w:firstLine="420"/>
        <w:jc w:val="both"/>
        <w:rPr>
          <w:rFonts w:ascii="宋体" w:hAnsi="宋体" w:cs="宋体"/>
          <w:sz w:val="18"/>
          <w:szCs w:val="18"/>
        </w:rPr>
      </w:pPr>
      <w:r>
        <w:rPr>
          <w:rFonts w:ascii="宋体" w:hAnsi="宋体" w:cs="宋体" w:hint="eastAsia"/>
          <w:sz w:val="18"/>
          <w:szCs w:val="18"/>
        </w:rPr>
        <w:t>低值易耗品、包装物及其他周转材料采用一次转销法。</w:t>
      </w:r>
    </w:p>
    <w:p w:rsidR="00C526AC" w:rsidRDefault="00E0175D">
      <w:pPr>
        <w:keepNext/>
        <w:keepLines/>
        <w:spacing w:before="300" w:after="300" w:line="280" w:lineRule="exact"/>
        <w:jc w:val="left"/>
        <w:outlineLvl w:val="2"/>
        <w:rPr>
          <w:rFonts w:ascii="宋体" w:hAnsi="宋体" w:cs="宋体"/>
          <w:b/>
          <w:bCs/>
          <w:szCs w:val="21"/>
        </w:rPr>
      </w:pPr>
      <w:bookmarkStart w:id="32" w:name="_Toc989022"/>
      <w:r>
        <w:rPr>
          <w:rFonts w:ascii="宋体" w:hAnsi="宋体" w:cs="宋体"/>
          <w:b/>
          <w:bCs/>
          <w:szCs w:val="21"/>
        </w:rPr>
        <w:t>16、合同资产</w:t>
      </w:r>
      <w:bookmarkEnd w:id="32"/>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本公司已向客户转让商品而有权收取对价的权利，且该权利取决于时间流逝之外的其他因素的，确认为合同资产。本公司拥有的无条件(即，仅取决于时间流逝)向客户收取对价的权利作为应收款项单独列示。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本公司对合同资产的预期信用损失的确定方法及会计处理方法详见本附注（十）6.金融工具减值。</w:t>
      </w:r>
    </w:p>
    <w:p w:rsidR="00C526AC" w:rsidRDefault="00E0175D">
      <w:pPr>
        <w:keepNext/>
        <w:keepLines/>
        <w:spacing w:before="300" w:after="300" w:line="280" w:lineRule="exact"/>
        <w:jc w:val="left"/>
        <w:outlineLvl w:val="2"/>
        <w:rPr>
          <w:rFonts w:ascii="宋体" w:hAnsi="宋体" w:cs="宋体"/>
          <w:b/>
          <w:bCs/>
          <w:szCs w:val="21"/>
        </w:rPr>
      </w:pPr>
      <w:bookmarkStart w:id="33" w:name="_Toc989023"/>
      <w:r>
        <w:rPr>
          <w:rFonts w:ascii="宋体" w:hAnsi="宋体" w:cs="宋体"/>
          <w:b/>
          <w:bCs/>
          <w:szCs w:val="21"/>
        </w:rPr>
        <w:t>17、合同成本</w:t>
      </w:r>
      <w:bookmarkEnd w:id="33"/>
    </w:p>
    <w:p w:rsidR="00C526AC" w:rsidRDefault="00E0175D">
      <w:pPr>
        <w:pStyle w:val="a3"/>
        <w:widowControl/>
        <w:spacing w:beforeAutospacing="0" w:afterAutospacing="0"/>
        <w:ind w:firstLine="360"/>
        <w:rPr>
          <w:sz w:val="18"/>
          <w:szCs w:val="18"/>
        </w:rPr>
      </w:pPr>
      <w:r>
        <w:rPr>
          <w:rFonts w:ascii="宋体" w:hAnsi="宋体" w:cs="宋体" w:hint="eastAsia"/>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34" w:name="_Toc989024"/>
      <w:r>
        <w:rPr>
          <w:rFonts w:ascii="宋体" w:hAnsi="宋体" w:cs="宋体"/>
          <w:b/>
          <w:bCs/>
          <w:szCs w:val="21"/>
        </w:rPr>
        <w:t>18、持有待售资产</w:t>
      </w:r>
      <w:bookmarkEnd w:id="34"/>
    </w:p>
    <w:p w:rsidR="00C526AC" w:rsidRDefault="00E0175D">
      <w:pPr>
        <w:pStyle w:val="a3"/>
        <w:widowControl/>
        <w:spacing w:beforeAutospacing="0" w:afterAutospacing="0"/>
        <w:ind w:right="782"/>
        <w:jc w:val="both"/>
        <w:rPr>
          <w:sz w:val="18"/>
          <w:szCs w:val="18"/>
        </w:rPr>
      </w:pPr>
      <w:r>
        <w:rPr>
          <w:rStyle w:val="a4"/>
          <w:sz w:val="21"/>
          <w:szCs w:val="21"/>
        </w:rPr>
        <w:t>1.</w:t>
      </w:r>
      <w:r>
        <w:rPr>
          <w:rStyle w:val="a4"/>
          <w:rFonts w:ascii="宋体" w:hAnsi="宋体" w:cs="宋体" w:hint="eastAsia"/>
          <w:sz w:val="21"/>
          <w:szCs w:val="21"/>
        </w:rPr>
        <w:t>划分为持有待售确认标准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本公司将同时满足下列条件的非流动资产或处置组确认为持有待售组成部分：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（1）根据类似交易中出售此类资产或处置组的惯例，在当前状况下即可立即出售；</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（2）出售极可能发生，即本公司已经就一项出售计划作出决议，并已获得监管部门批准（如适用），且获得确定的购买承诺，预计出售将在一年内完成。</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确定的购买承诺，是指本公司与其他方签订的具有法律约束力的购买协议，该协议包含交易价格、时间和足够严厉的违约惩罚等重要条款，使协议出现重大调整或者撤销的可能性极小。</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持有待售核算方法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于持有待售的非流动资产或处置组不计提折旧或摊销，其账面价值高于公允价值减去出售费用后的净额的，应当将账面价值减记至公允价值减去出售费用后的净额，减记的金额确认为资产减值损失，计入当期损益，同时计提持有待售资产减值准备。</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对于取得日划分为持有待售类别的非流动资产或处置组，在初始计量时比较假定其不划分为持有待售类别情况下的初始计量金额和公允价值减去出售费用后的净额，以两者孰低计量。</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上述原则适用于所有非流动资产，但不包括采用公允价值模式进行后续计量的投资性房地产、采用公允价值减去出售费用后的净额计量的生物资产、职工薪酬形成的资产、递延所得税资产、由金融工具相关会计准则规范的金融资产、由保险合同相关会计准则规范的保险合同所产生的权利。</w:t>
      </w:r>
    </w:p>
    <w:p w:rsidR="00C526AC" w:rsidRDefault="00E0175D">
      <w:pPr>
        <w:keepNext/>
        <w:keepLines/>
        <w:spacing w:before="300" w:after="300" w:line="280" w:lineRule="exact"/>
        <w:jc w:val="left"/>
        <w:outlineLvl w:val="2"/>
        <w:rPr>
          <w:rFonts w:ascii="宋体" w:hAnsi="宋体" w:cs="宋体"/>
          <w:b/>
          <w:bCs/>
          <w:szCs w:val="21"/>
        </w:rPr>
      </w:pPr>
      <w:bookmarkStart w:id="35" w:name="_Toc989025"/>
      <w:r>
        <w:rPr>
          <w:rFonts w:ascii="宋体" w:hAnsi="宋体" w:cs="宋体"/>
          <w:b/>
          <w:bCs/>
          <w:szCs w:val="21"/>
        </w:rPr>
        <w:t>19、债权投资</w:t>
      </w:r>
      <w:bookmarkEnd w:id="35"/>
    </w:p>
    <w:p w:rsidR="00C526AC" w:rsidRDefault="00E0175D">
      <w:pPr>
        <w:pStyle w:val="a3"/>
        <w:widowControl/>
        <w:spacing w:beforeAutospacing="0" w:afterAutospacing="0"/>
        <w:rPr>
          <w:sz w:val="18"/>
          <w:szCs w:val="18"/>
        </w:rPr>
      </w:pPr>
      <w:r>
        <w:rPr>
          <w:rFonts w:ascii="宋体" w:hAnsi="宋体" w:cs="宋体" w:hint="eastAsia"/>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36" w:name="_Toc989026"/>
      <w:r>
        <w:rPr>
          <w:rFonts w:ascii="宋体" w:hAnsi="宋体" w:cs="宋体"/>
          <w:b/>
          <w:bCs/>
          <w:szCs w:val="21"/>
        </w:rPr>
        <w:t>20、其他债权投资</w:t>
      </w:r>
      <w:bookmarkEnd w:id="36"/>
    </w:p>
    <w:p w:rsidR="00C526AC" w:rsidRDefault="00E0175D">
      <w:pPr>
        <w:pStyle w:val="a3"/>
        <w:widowControl/>
        <w:spacing w:beforeAutospacing="0" w:afterAutospacing="0"/>
        <w:rPr>
          <w:sz w:val="18"/>
          <w:szCs w:val="18"/>
        </w:rPr>
      </w:pPr>
      <w:r>
        <w:rPr>
          <w:rFonts w:ascii="宋体" w:hAnsi="宋体" w:cs="宋体" w:hint="eastAsia"/>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37" w:name="_Toc989027"/>
      <w:r>
        <w:rPr>
          <w:rFonts w:ascii="宋体" w:hAnsi="宋体" w:cs="宋体"/>
          <w:b/>
          <w:bCs/>
          <w:szCs w:val="21"/>
        </w:rPr>
        <w:t>21、长期应收款</w:t>
      </w:r>
      <w:bookmarkEnd w:id="37"/>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本公司对长期应收款的预期信用损失的确定方法及会计处理方法详见本附注（十）6.金融工具减值。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出现与对方存在争议或涉及诉讼、仲裁的长期应收款；已有明显迹象表明债务人很可能无法履行还款义务的长期应收款；认为无法按照原有条款收回的长期应收款等可能发生损失迹象的长期应收款单独确定其信用损失。</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04"/>
        <w:gridCol w:w="3930"/>
        <w:gridCol w:w="4166"/>
      </w:tblGrid>
      <w:tr w:rsidR="00C526AC" w:rsidTr="00ED4EB7">
        <w:trPr>
          <w:jc w:val="center"/>
        </w:trPr>
        <w:tc>
          <w:tcPr>
            <w:tcW w:w="1104"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组合名称</w:t>
            </w:r>
          </w:p>
        </w:tc>
        <w:tc>
          <w:tcPr>
            <w:tcW w:w="3930"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确定组合的依据</w:t>
            </w:r>
          </w:p>
        </w:tc>
        <w:tc>
          <w:tcPr>
            <w:tcW w:w="4166"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计提方法</w:t>
            </w:r>
          </w:p>
        </w:tc>
      </w:tr>
      <w:tr w:rsidR="00C526AC" w:rsidTr="00ED4EB7">
        <w:trPr>
          <w:jc w:val="center"/>
        </w:trPr>
        <w:tc>
          <w:tcPr>
            <w:tcW w:w="1104"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风险组合</w:t>
            </w:r>
          </w:p>
        </w:tc>
        <w:tc>
          <w:tcPr>
            <w:tcW w:w="393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本组合以长期应收款的账龄作为信用风险特征</w:t>
            </w:r>
          </w:p>
        </w:tc>
        <w:tc>
          <w:tcPr>
            <w:tcW w:w="4166"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参考历史信用损失经验，结合当前状况以及对未来经济状况的预期计量坏账准备</w:t>
            </w:r>
          </w:p>
        </w:tc>
      </w:tr>
      <w:tr w:rsidR="00C526AC" w:rsidTr="00ED4EB7">
        <w:trPr>
          <w:jc w:val="center"/>
        </w:trPr>
        <w:tc>
          <w:tcPr>
            <w:tcW w:w="1104"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vAlign w:val="center"/>
          </w:tcPr>
          <w:p w:rsidR="00C526AC" w:rsidRDefault="00E0175D" w:rsidP="005777BA">
            <w:pPr>
              <w:pStyle w:val="a3"/>
              <w:widowControl/>
              <w:spacing w:beforeAutospacing="0" w:afterAutospacing="0"/>
              <w:jc w:val="center"/>
              <w:rPr>
                <w:sz w:val="18"/>
                <w:szCs w:val="18"/>
              </w:rPr>
            </w:pPr>
            <w:r>
              <w:rPr>
                <w:rFonts w:ascii="宋体" w:hAnsi="宋体" w:cs="宋体" w:hint="eastAsia"/>
                <w:sz w:val="18"/>
                <w:szCs w:val="18"/>
              </w:rPr>
              <w:t>性质组合</w:t>
            </w:r>
          </w:p>
        </w:tc>
        <w:tc>
          <w:tcPr>
            <w:tcW w:w="393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根据业务性质，主要包括合并范围内关联方的款项、出口退税款</w:t>
            </w:r>
          </w:p>
        </w:tc>
        <w:tc>
          <w:tcPr>
            <w:tcW w:w="4166"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参考历史信用损失经验，结合当前状况以及对未来经济状况的预期计量坏账准备</w:t>
            </w:r>
          </w:p>
        </w:tc>
      </w:tr>
    </w:tbl>
    <w:p w:rsidR="00C526AC" w:rsidRDefault="00E0175D">
      <w:pPr>
        <w:keepNext/>
        <w:keepLines/>
        <w:spacing w:before="300" w:after="300" w:line="280" w:lineRule="exact"/>
        <w:jc w:val="left"/>
        <w:outlineLvl w:val="2"/>
        <w:rPr>
          <w:rFonts w:ascii="宋体" w:hAnsi="宋体" w:cs="宋体"/>
          <w:b/>
          <w:bCs/>
          <w:szCs w:val="21"/>
        </w:rPr>
      </w:pPr>
      <w:bookmarkStart w:id="38" w:name="_Toc989028"/>
      <w:r>
        <w:rPr>
          <w:rFonts w:ascii="宋体" w:hAnsi="宋体" w:cs="宋体"/>
          <w:b/>
          <w:bCs/>
          <w:szCs w:val="21"/>
        </w:rPr>
        <w:t>22、长期股权投资</w:t>
      </w:r>
      <w:bookmarkEnd w:id="38"/>
    </w:p>
    <w:p w:rsidR="00C526AC" w:rsidRDefault="00E0175D">
      <w:pPr>
        <w:pStyle w:val="a3"/>
        <w:widowControl/>
        <w:spacing w:beforeAutospacing="0" w:afterAutospacing="0"/>
        <w:ind w:right="782"/>
        <w:jc w:val="both"/>
        <w:rPr>
          <w:sz w:val="18"/>
          <w:szCs w:val="18"/>
        </w:rPr>
      </w:pPr>
      <w:r>
        <w:rPr>
          <w:rStyle w:val="a4"/>
          <w:sz w:val="21"/>
          <w:szCs w:val="21"/>
        </w:rPr>
        <w:t> 1.</w:t>
      </w:r>
      <w:r>
        <w:rPr>
          <w:rStyle w:val="a4"/>
          <w:rFonts w:ascii="宋体" w:hAnsi="宋体" w:cs="宋体" w:hint="eastAsia"/>
          <w:sz w:val="21"/>
          <w:szCs w:val="21"/>
        </w:rPr>
        <w:t>初始投资成本的确定</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（1）企业合并形成的长期股权投资，具体会计政策详见本附注（五）同一控制下和非同一控制下企业合并的会计处理方法。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（2）其他方式取得的长期股权投资</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以支付现金方式取得的长期股权投资，按照实际支付的购买价款作为初始投资成本。初始投资成本包括与取得长期股权投资直接相关的费用、税金及其他必要支出。</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以发行权益性证券取得的长期股权投资，按照发行权益性证券的公允价值作为初始投资成本；发行或取得自身权益工具时发生的交易费用，可直接归属于权益性交易的从权益中扣减。</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通过债务重组取得的长期股权投资，其初始投资成本按照公允价值为基础确定。</w:t>
      </w:r>
    </w:p>
    <w:p w:rsidR="00C526AC" w:rsidRDefault="00E0175D">
      <w:pPr>
        <w:pStyle w:val="a3"/>
        <w:widowControl/>
        <w:spacing w:beforeAutospacing="0" w:afterAutospacing="0"/>
        <w:ind w:right="782"/>
        <w:jc w:val="both"/>
        <w:rPr>
          <w:sz w:val="18"/>
          <w:szCs w:val="18"/>
        </w:rPr>
      </w:pPr>
      <w:r>
        <w:rPr>
          <w:rStyle w:val="a4"/>
          <w:sz w:val="21"/>
          <w:szCs w:val="21"/>
        </w:rPr>
        <w:t>    2.</w:t>
      </w:r>
      <w:r>
        <w:rPr>
          <w:rStyle w:val="a4"/>
          <w:rFonts w:ascii="宋体" w:hAnsi="宋体" w:cs="宋体" w:hint="eastAsia"/>
          <w:sz w:val="21"/>
          <w:szCs w:val="21"/>
        </w:rPr>
        <w:t>后续计量及损益确认</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（1）成本法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本公司能够对被投资单位实施控制的长期股权投资采用成本法核算，并按照初始投资成本计价，追加或收回投资调整长期股权投资的成本。</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除取得投资时实际支付的价款或对价中包含的已宣告但尚未发放的现金股利或利润外，本公司按照享有被投资单位宣告分派的现金股利或利润确认为当期投资收益。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（2）权益法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联营企业和合营企业的长期股权投资采用权益法核算；对于其中一部分通过风险投资机构、共同基金、信托公司或包括投连险基金在内的类似主体间接持有的联营企业的权益性投资，采用公允价值计量且其变动计入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本公司在确认应享有被投资单位净损益的份额时，以取得投资时被投资单位各项可辨认资产等的公允价值为基础，对被投资单位的净利润进行调整后确认。本公司与联营企业、合营企业之间发生的未实现内</w:t>
      </w:r>
      <w:r>
        <w:rPr>
          <w:rFonts w:ascii="宋体" w:hAnsi="宋体" w:cs="宋体" w:hint="eastAsia"/>
          <w:sz w:val="21"/>
          <w:szCs w:val="21"/>
        </w:rPr>
        <w:t>部交易损益按照应享有的比</w:t>
      </w:r>
      <w:r>
        <w:rPr>
          <w:rFonts w:ascii="宋体" w:hAnsi="宋体" w:cs="宋体" w:hint="eastAsia"/>
          <w:sz w:val="18"/>
          <w:szCs w:val="18"/>
        </w:rPr>
        <w:t>例计算归属于本公司的部分予以抵销，在此基础上确认投资损益。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被投资单位以后期间实现盈利的，公司在扣除未确认的亏损分担额后，按与上述相反的顺序处理，减记已确认预计负债的账面余额、恢复其他实质上构成对被投资单位净投资的长期权益及长期股权投资的账面价值后，恢复确认投资收益。</w:t>
      </w:r>
    </w:p>
    <w:p w:rsidR="00C526AC" w:rsidRDefault="00E0175D">
      <w:pPr>
        <w:pStyle w:val="a3"/>
        <w:widowControl/>
        <w:spacing w:beforeAutospacing="0" w:afterAutospacing="0"/>
        <w:jc w:val="both"/>
        <w:rPr>
          <w:sz w:val="18"/>
          <w:szCs w:val="18"/>
        </w:rPr>
      </w:pPr>
      <w:r>
        <w:rPr>
          <w:rStyle w:val="a4"/>
          <w:sz w:val="21"/>
          <w:szCs w:val="21"/>
        </w:rPr>
        <w:t>    3.</w:t>
      </w:r>
      <w:r>
        <w:rPr>
          <w:rStyle w:val="a4"/>
          <w:rFonts w:ascii="宋体" w:hAnsi="宋体" w:cs="宋体" w:hint="eastAsia"/>
          <w:sz w:val="21"/>
          <w:szCs w:val="21"/>
        </w:rPr>
        <w:t>长期股权投资核算方法的转换</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（1）公允价值计量转权益法核算</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22号——金融工具确认和计量》确定的原持有的股权投资的公允价值加上新增投资成本之和，作为改按权益法核算的初始投资成本。</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按权益法核算的初始投资成本小于按照追加投资后全新的持股比例计算确定的应享有被投资单位在追加投资日可辨认净资产公允价值份额之间的差额，调整长期股权投资的账面价值，并计入当期营业外收入。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（2）公允价值计量或权益法核算转成本法核算</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原持有的对被投资单位不具有控制、共同控制或重大影响的按金融工具确认和计量准则进行会计处理的权益性投资，或原持有对联营企业、合营企业的长期股权投资，因追加投资等原因能够对非同一控制下的被投资单位实施控制的，在编制个别财务报表时，按照原持有的股权投资账面价值加上新增投资成本之和，作为改按成本法核算的初始投资成本。</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购买日之前持有的股权投资因采用权益法核算而确认的其他综合收益，在处置该项投资时采用与被投资单位直接处置相关资产或负债相同的基础进行会计处理。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购买日之前持有的股权投资按照《企业会计准则第22号——金融工具确认和计量》的有关规定进行会计处理的，原计入其他综合收益的累计公允价值变动在改按成本法核算时转入当期损益。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（3）权益法核算转公允价值计量</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因处置部分股权投资等原因丧失了对被投资单位的共同控制或重大影响的，处置后的剩余股权改按《企业会计准则第22号——金融工具确认和计量》核算，其在丧失共同控制或重大影响之日的公允价值与账面价值之间的差额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原股权投资因采用权益法核算而确认的其他综合收益，在终止采用权益法核算时采用与被投资单位直接处置相关资产或负债相同的基础进行会计处理。</w:t>
      </w:r>
    </w:p>
    <w:p w:rsidR="00C526AC" w:rsidRDefault="00E0175D" w:rsidP="005777BA">
      <w:pPr>
        <w:pStyle w:val="a3"/>
        <w:widowControl/>
        <w:spacing w:before="50" w:beforeAutospacing="0" w:afterAutospacing="0"/>
        <w:ind w:firstLineChars="200" w:firstLine="360"/>
        <w:jc w:val="both"/>
        <w:rPr>
          <w:sz w:val="18"/>
          <w:szCs w:val="18"/>
        </w:rPr>
      </w:pPr>
      <w:r>
        <w:rPr>
          <w:rFonts w:ascii="宋体" w:hAnsi="宋体" w:cs="宋体" w:hint="eastAsia"/>
          <w:sz w:val="18"/>
          <w:szCs w:val="18"/>
        </w:rPr>
        <w:t>（4）成本法转权益法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（5）成本法转公允价值计量</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因处置部分权益性投资等原因丧失了对被投资单位的控制的，在编制个别财务报表时，处置后的剩余股权不能对被投资单位实施共同控制或施加重大影响的，改按《企业会计准则第22号——金融工具确认和计量》的有关规定进行会计处理，其在丧失控制之日的公允价值与账面价值间的差额计入当期损益。</w:t>
      </w:r>
    </w:p>
    <w:p w:rsidR="00C526AC" w:rsidRDefault="00E0175D">
      <w:pPr>
        <w:pStyle w:val="a3"/>
        <w:widowControl/>
        <w:spacing w:beforeAutospacing="0" w:afterAutospacing="0"/>
        <w:jc w:val="both"/>
        <w:rPr>
          <w:sz w:val="18"/>
          <w:szCs w:val="18"/>
        </w:rPr>
      </w:pPr>
      <w:r>
        <w:rPr>
          <w:rStyle w:val="a4"/>
          <w:sz w:val="21"/>
          <w:szCs w:val="21"/>
        </w:rPr>
        <w:t>    4.</w:t>
      </w:r>
      <w:r>
        <w:rPr>
          <w:rStyle w:val="a4"/>
          <w:rFonts w:ascii="宋体" w:hAnsi="宋体" w:cs="宋体" w:hint="eastAsia"/>
          <w:sz w:val="21"/>
          <w:szCs w:val="21"/>
        </w:rPr>
        <w:t>长期股权投资的处置</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处置对子公司股权投资的各项交易的条款、条件以及经济影响符合以下一种或多种情况，将多次交易事项作为一揽子交易进行会计处理：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（1）这些交易是同时或者在考虑了彼此影响的情况下订立的；</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（2）这些交易整体才能达成一项完整的商业结果；</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（3）一项交易的发生取决于其他至少一项交易的发生；</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（4）一项交易单独看是不经济的，但是和其他交易一并考虑时是经济的。</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因处置部分股权投资或其他原因丧失了对原有子公司控制权的，不属于一揽子交易的，区分个别财务报表和合并财务报表进行相关会计处理：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在合并财务报表中，对于在丧失对子公司控制权以前的各项交易，处置价款与处置长期股权投资相应对享有子公司自购买日或合并日开始持续计算的净资产份额之间的差额，调整资本公积（股本溢价），资本公积不足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（1）在个别财务报表中，在丧失控制权之前每一次处置价款与处置的股权对应的长期股权投资账面价值之间的差额，确认为其他综合收益，在丧失控制权时一并转入丧失控制权当期的损益。</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（2）在合并财务报表中，在丧失控制权之前每一次处置价款与处置投资对应的享有该子公司净资产份额的差额，确认为其他综合收益，在丧失控制权时一并转入丧失控制权当期的损益。</w:t>
      </w:r>
    </w:p>
    <w:p w:rsidR="00C526AC" w:rsidRDefault="00E0175D">
      <w:pPr>
        <w:pStyle w:val="a3"/>
        <w:widowControl/>
        <w:spacing w:beforeAutospacing="0" w:afterAutospacing="0"/>
        <w:jc w:val="both"/>
        <w:rPr>
          <w:sz w:val="18"/>
          <w:szCs w:val="18"/>
        </w:rPr>
      </w:pPr>
      <w:r>
        <w:rPr>
          <w:rStyle w:val="a4"/>
          <w:sz w:val="21"/>
          <w:szCs w:val="21"/>
        </w:rPr>
        <w:t>    5.</w:t>
      </w:r>
      <w:r>
        <w:rPr>
          <w:rStyle w:val="a4"/>
          <w:rFonts w:ascii="宋体" w:hAnsi="宋体" w:cs="宋体" w:hint="eastAsia"/>
          <w:sz w:val="21"/>
          <w:szCs w:val="21"/>
        </w:rPr>
        <w:t>共同控制、重大影响的判断标准</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如果本公司按照相关约定与其他参与方集体控制某项安排，并且对该安排回报具有重大影响的活动决策，需要经过分享控制权的参与方一致同意时才存在，则视为本公司与其他参与方共同控制某项安排，该安排即属于合营安排。</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5777BA" w:rsidRDefault="00E0175D" w:rsidP="005777BA">
      <w:pPr>
        <w:pStyle w:val="a3"/>
        <w:widowControl/>
        <w:spacing w:beforeAutospacing="0" w:afterAutospacing="0"/>
        <w:ind w:firstLineChars="200" w:firstLine="360"/>
        <w:rPr>
          <w:rFonts w:ascii="宋体" w:hAnsi="宋体" w:cs="宋体"/>
          <w:sz w:val="18"/>
          <w:szCs w:val="18"/>
        </w:rPr>
      </w:pPr>
      <w:r>
        <w:rPr>
          <w:rFonts w:ascii="宋体" w:hAnsi="宋体" w:cs="宋体" w:hint="eastAsia"/>
          <w:sz w:val="18"/>
          <w:szCs w:val="18"/>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p>
    <w:p w:rsidR="005777BA" w:rsidRDefault="00E0175D" w:rsidP="005777BA">
      <w:pPr>
        <w:pStyle w:val="a3"/>
        <w:widowControl/>
        <w:spacing w:beforeAutospacing="0" w:afterAutospacing="0"/>
        <w:ind w:firstLineChars="200" w:firstLine="360"/>
        <w:rPr>
          <w:rFonts w:ascii="宋体" w:hAnsi="宋体" w:cs="宋体"/>
          <w:sz w:val="18"/>
          <w:szCs w:val="18"/>
        </w:rPr>
      </w:pPr>
      <w:r>
        <w:rPr>
          <w:rFonts w:ascii="宋体" w:hAnsi="宋体" w:cs="宋体" w:hint="eastAsia"/>
          <w:sz w:val="18"/>
          <w:szCs w:val="18"/>
        </w:rPr>
        <w:t>（1）在被投资单位的董事会或类似权力机构中派有代表；</w:t>
      </w:r>
    </w:p>
    <w:p w:rsidR="005777BA" w:rsidRDefault="00E0175D" w:rsidP="005777BA">
      <w:pPr>
        <w:pStyle w:val="a3"/>
        <w:widowControl/>
        <w:spacing w:beforeAutospacing="0" w:afterAutospacing="0"/>
        <w:ind w:firstLineChars="200" w:firstLine="360"/>
        <w:rPr>
          <w:rFonts w:ascii="宋体" w:hAnsi="宋体" w:cs="宋体"/>
          <w:sz w:val="18"/>
          <w:szCs w:val="18"/>
        </w:rPr>
      </w:pPr>
      <w:r>
        <w:rPr>
          <w:rFonts w:ascii="宋体" w:hAnsi="宋体" w:cs="宋体" w:hint="eastAsia"/>
          <w:sz w:val="18"/>
          <w:szCs w:val="18"/>
        </w:rPr>
        <w:t>（2）参与被投资单位财务和经营政策制定过程；</w:t>
      </w:r>
    </w:p>
    <w:p w:rsidR="005777BA" w:rsidRDefault="00E0175D" w:rsidP="005777BA">
      <w:pPr>
        <w:pStyle w:val="a3"/>
        <w:widowControl/>
        <w:spacing w:beforeAutospacing="0" w:afterAutospacing="0"/>
        <w:ind w:firstLineChars="200" w:firstLine="360"/>
        <w:rPr>
          <w:rFonts w:ascii="宋体" w:hAnsi="宋体" w:cs="宋体"/>
          <w:sz w:val="18"/>
          <w:szCs w:val="18"/>
        </w:rPr>
      </w:pPr>
      <w:r>
        <w:rPr>
          <w:rFonts w:ascii="宋体" w:hAnsi="宋体" w:cs="宋体" w:hint="eastAsia"/>
          <w:sz w:val="18"/>
          <w:szCs w:val="18"/>
        </w:rPr>
        <w:t>（3）与被投资单位之间发生重要交易；</w:t>
      </w:r>
    </w:p>
    <w:p w:rsidR="005777BA" w:rsidRDefault="00E0175D" w:rsidP="005777BA">
      <w:pPr>
        <w:pStyle w:val="a3"/>
        <w:widowControl/>
        <w:spacing w:beforeAutospacing="0" w:afterAutospacing="0"/>
        <w:ind w:firstLineChars="200" w:firstLine="360"/>
        <w:rPr>
          <w:rFonts w:ascii="宋体" w:hAnsi="宋体" w:cs="宋体"/>
          <w:sz w:val="18"/>
          <w:szCs w:val="18"/>
        </w:rPr>
      </w:pPr>
      <w:r>
        <w:rPr>
          <w:rFonts w:ascii="宋体" w:hAnsi="宋体" w:cs="宋体" w:hint="eastAsia"/>
          <w:sz w:val="18"/>
          <w:szCs w:val="18"/>
        </w:rPr>
        <w:t>（4）向被投资单位派出管理人员；</w:t>
      </w:r>
    </w:p>
    <w:p w:rsidR="00C526AC" w:rsidRPr="005777BA" w:rsidRDefault="00E0175D" w:rsidP="005777BA">
      <w:pPr>
        <w:pStyle w:val="a3"/>
        <w:widowControl/>
        <w:spacing w:beforeAutospacing="0" w:afterAutospacing="0"/>
        <w:ind w:firstLineChars="200" w:firstLine="360"/>
        <w:rPr>
          <w:rFonts w:ascii="宋体" w:hAnsi="宋体" w:cs="宋体"/>
          <w:sz w:val="18"/>
          <w:szCs w:val="18"/>
        </w:rPr>
      </w:pPr>
      <w:r>
        <w:rPr>
          <w:rFonts w:ascii="宋体" w:hAnsi="宋体" w:cs="宋体" w:hint="eastAsia"/>
          <w:sz w:val="18"/>
          <w:szCs w:val="18"/>
        </w:rPr>
        <w:t>（5）向被投资单位提供关键技术资料。</w:t>
      </w:r>
    </w:p>
    <w:p w:rsidR="00C526AC" w:rsidRDefault="00E0175D">
      <w:pPr>
        <w:keepNext/>
        <w:keepLines/>
        <w:spacing w:before="300" w:after="300" w:line="280" w:lineRule="exact"/>
        <w:jc w:val="left"/>
        <w:outlineLvl w:val="2"/>
        <w:rPr>
          <w:rFonts w:ascii="宋体" w:hAnsi="宋体" w:cs="宋体"/>
          <w:b/>
          <w:bCs/>
          <w:szCs w:val="21"/>
        </w:rPr>
      </w:pPr>
      <w:bookmarkStart w:id="39" w:name="_Toc989029"/>
      <w:r>
        <w:rPr>
          <w:rFonts w:ascii="宋体" w:hAnsi="宋体" w:cs="宋体"/>
          <w:b/>
          <w:bCs/>
          <w:szCs w:val="21"/>
        </w:rPr>
        <w:t>23、投资性房地产</w:t>
      </w:r>
      <w:bookmarkEnd w:id="39"/>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投资性房地产计量模式</w:t>
      </w:r>
    </w:p>
    <w:p w:rsidR="00C526AC" w:rsidRDefault="00E0175D">
      <w:pPr>
        <w:spacing w:line="240" w:lineRule="exact"/>
        <w:jc w:val="left"/>
        <w:rPr>
          <w:rFonts w:ascii="宋体" w:hAnsi="宋体" w:cs="宋体"/>
          <w:sz w:val="18"/>
          <w:szCs w:val="18"/>
        </w:rPr>
      </w:pPr>
      <w:r>
        <w:rPr>
          <w:rFonts w:ascii="宋体" w:hAnsi="宋体" w:cs="宋体"/>
          <w:sz w:val="18"/>
          <w:szCs w:val="18"/>
        </w:rPr>
        <w:t>成本法计量</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折旧或摊销方法</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投资性房地产是指为赚取租金或资本增值，或两者兼有而持有的房地产，包括已出租的土地使用权、持有并准备增值后转让的土地使用权、已出租的建筑物。此外，对于本公司持有以备经营出租的空置建筑物，若董事会作出书面决议，明确表示将其用于经营出租且持有意图短期内不再发生变化的，也作为投资性房地产列报。</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的投资性房地产按其成本作为入账价值，外购投资性房地产的成本包括购买价款、相关税费和可直接归属于该资产的其他支出；自行建造投资性房地产的成本，由建造该项资产达到预定可使用状态前所发生的必要支出构成。</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本公司对投资性房地产采用成本模式进行后续计量，按其预计使用寿命及净残值率对建筑物和土地使用权计提折旧或摊销。投资性房地产的预计使用寿命、净残值率及年折旧（摊销）率列示如下：</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127"/>
        <w:gridCol w:w="1984"/>
        <w:gridCol w:w="2270"/>
        <w:gridCol w:w="2705"/>
      </w:tblGrid>
      <w:tr w:rsidR="00C526AC" w:rsidTr="005777BA">
        <w:trPr>
          <w:jc w:val="center"/>
        </w:trPr>
        <w:tc>
          <w:tcPr>
            <w:tcW w:w="2127"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类别</w:t>
            </w:r>
          </w:p>
        </w:tc>
        <w:tc>
          <w:tcPr>
            <w:tcW w:w="1984"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预计使用寿命（年）</w:t>
            </w:r>
          </w:p>
        </w:tc>
        <w:tc>
          <w:tcPr>
            <w:tcW w:w="2270"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预计净残值率（</w:t>
            </w:r>
            <w:r>
              <w:rPr>
                <w:sz w:val="18"/>
                <w:szCs w:val="18"/>
              </w:rPr>
              <w:t>%</w:t>
            </w:r>
            <w:r>
              <w:rPr>
                <w:rFonts w:ascii="宋体" w:hAnsi="宋体" w:cs="宋体" w:hint="eastAsia"/>
                <w:sz w:val="18"/>
                <w:szCs w:val="18"/>
              </w:rPr>
              <w:t>）</w:t>
            </w:r>
          </w:p>
        </w:tc>
        <w:tc>
          <w:tcPr>
            <w:tcW w:w="2705"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年折旧（摊销）率（</w:t>
            </w:r>
            <w:r>
              <w:rPr>
                <w:sz w:val="18"/>
                <w:szCs w:val="18"/>
              </w:rPr>
              <w:t>%</w:t>
            </w:r>
            <w:r>
              <w:rPr>
                <w:rFonts w:ascii="宋体" w:hAnsi="宋体" w:cs="宋体" w:hint="eastAsia"/>
                <w:sz w:val="18"/>
                <w:szCs w:val="18"/>
              </w:rPr>
              <w:t>）</w:t>
            </w:r>
          </w:p>
        </w:tc>
      </w:tr>
      <w:tr w:rsidR="00C526AC" w:rsidTr="005777BA">
        <w:trPr>
          <w:jc w:val="center"/>
        </w:trPr>
        <w:tc>
          <w:tcPr>
            <w:tcW w:w="2127"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土地使用权</w:t>
            </w:r>
          </w:p>
        </w:tc>
        <w:tc>
          <w:tcPr>
            <w:tcW w:w="1984"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40-50</w:t>
            </w:r>
          </w:p>
        </w:tc>
        <w:tc>
          <w:tcPr>
            <w:tcW w:w="227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w:t>
            </w:r>
          </w:p>
        </w:tc>
        <w:tc>
          <w:tcPr>
            <w:tcW w:w="270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2-2.5</w:t>
            </w:r>
          </w:p>
        </w:tc>
      </w:tr>
      <w:tr w:rsidR="00C526AC" w:rsidTr="005777BA">
        <w:trPr>
          <w:jc w:val="center"/>
        </w:trPr>
        <w:tc>
          <w:tcPr>
            <w:tcW w:w="2127"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房屋建筑物</w:t>
            </w:r>
          </w:p>
        </w:tc>
        <w:tc>
          <w:tcPr>
            <w:tcW w:w="1984"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25</w:t>
            </w:r>
          </w:p>
        </w:tc>
        <w:tc>
          <w:tcPr>
            <w:tcW w:w="227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10</w:t>
            </w:r>
          </w:p>
        </w:tc>
        <w:tc>
          <w:tcPr>
            <w:tcW w:w="270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3.6</w:t>
            </w:r>
          </w:p>
        </w:tc>
      </w:tr>
    </w:tbl>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投资性房地产的用途改变为自用时，自改变之日起，本公司将该投资性房地产转换为固定资产或无形资产。自用房地产的用途改变为赚取租金或资本增值时，自改变之日起，本公司将固定资产或无形资产转换为投资性房地产。发生转换时，以转换前的账面价值作为转换后的入账价值。</w:t>
      </w:r>
    </w:p>
    <w:p w:rsidR="00C526AC" w:rsidRDefault="00E0175D">
      <w:pPr>
        <w:pStyle w:val="a3"/>
        <w:widowControl/>
        <w:spacing w:before="50" w:beforeAutospacing="0" w:afterAutospacing="0"/>
        <w:ind w:firstLine="420"/>
        <w:jc w:val="both"/>
        <w:rPr>
          <w:sz w:val="18"/>
          <w:szCs w:val="18"/>
        </w:rPr>
      </w:pPr>
      <w:r>
        <w:rPr>
          <w:rFonts w:ascii="宋体" w:hAnsi="宋体" w:cs="宋体" w:hint="eastAsia"/>
          <w:sz w:val="18"/>
          <w:szCs w:val="18"/>
        </w:rPr>
        <w:t>当投资性房地产被处置，或者永久退出使用且预计不能从其处置中取得经济利益时，终止确认该项投资性房地产。投资性房地产出售、转让、报废或毁损的处置收入扣除其账面价值和相关税费后的金额计入当期损益。</w:t>
      </w:r>
    </w:p>
    <w:p w:rsidR="00C526AC" w:rsidRDefault="00E0175D">
      <w:pPr>
        <w:keepNext/>
        <w:keepLines/>
        <w:spacing w:before="300" w:after="300" w:line="280" w:lineRule="exact"/>
        <w:jc w:val="left"/>
        <w:outlineLvl w:val="2"/>
        <w:rPr>
          <w:rFonts w:ascii="宋体" w:hAnsi="宋体" w:cs="宋体"/>
          <w:b/>
          <w:bCs/>
          <w:szCs w:val="21"/>
        </w:rPr>
      </w:pPr>
      <w:bookmarkStart w:id="40" w:name="_Toc989030"/>
      <w:r>
        <w:rPr>
          <w:rFonts w:ascii="宋体" w:hAnsi="宋体" w:cs="宋体"/>
          <w:b/>
          <w:bCs/>
          <w:szCs w:val="21"/>
        </w:rPr>
        <w:t>24、固定资产</w:t>
      </w:r>
      <w:bookmarkEnd w:id="40"/>
    </w:p>
    <w:p w:rsidR="00C526AC" w:rsidRDefault="00E0175D">
      <w:pPr>
        <w:keepNext/>
        <w:keepLines/>
        <w:spacing w:before="300" w:after="300" w:line="280" w:lineRule="exact"/>
        <w:jc w:val="left"/>
        <w:outlineLvl w:val="3"/>
        <w:rPr>
          <w:rFonts w:ascii="宋体" w:hAnsi="宋体" w:cs="宋体"/>
          <w:b/>
          <w:bCs/>
          <w:szCs w:val="21"/>
        </w:rPr>
      </w:pPr>
      <w:bookmarkStart w:id="41" w:name="_Toc989031"/>
      <w:r>
        <w:rPr>
          <w:rFonts w:ascii="宋体" w:hAnsi="宋体" w:cs="宋体"/>
          <w:b/>
          <w:bCs/>
          <w:szCs w:val="21"/>
        </w:rPr>
        <w:t>（1） 确认条件</w:t>
      </w:r>
      <w:bookmarkEnd w:id="41"/>
    </w:p>
    <w:p w:rsidR="00C526AC" w:rsidRDefault="00E0175D">
      <w:pPr>
        <w:pStyle w:val="a3"/>
        <w:widowControl/>
        <w:spacing w:line="240" w:lineRule="atLeast"/>
        <w:rPr>
          <w:rFonts w:ascii="宋体" w:hAnsi="宋体" w:cs="宋体"/>
          <w:sz w:val="18"/>
          <w:szCs w:val="18"/>
        </w:rPr>
      </w:pPr>
      <w:r>
        <w:rPr>
          <w:rFonts w:ascii="宋体" w:hAnsi="宋体" w:cs="宋体" w:hint="eastAsia"/>
          <w:sz w:val="18"/>
          <w:szCs w:val="18"/>
        </w:rPr>
        <w:t>1． 固定资产确认条件</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固定资产指为生产商品、提供劳务、出租或经营管理而持有，并且使用寿命超过一个会计年度的有形资产。固定资产在同时满足下列条件时予以确认：</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（1）与该固定资产有关的经济利益很可能流入企业；</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（2）该固定资产的成本能够可靠地计量。</w:t>
      </w:r>
    </w:p>
    <w:p w:rsidR="00C526AC" w:rsidRDefault="00E0175D">
      <w:pPr>
        <w:pStyle w:val="a3"/>
        <w:widowControl/>
        <w:spacing w:line="240" w:lineRule="atLeast"/>
        <w:rPr>
          <w:rFonts w:ascii="宋体" w:hAnsi="宋体" w:cs="宋体"/>
          <w:sz w:val="18"/>
          <w:szCs w:val="18"/>
        </w:rPr>
      </w:pPr>
      <w:r>
        <w:rPr>
          <w:rFonts w:ascii="宋体" w:hAnsi="宋体" w:cs="宋体" w:hint="eastAsia"/>
          <w:sz w:val="18"/>
          <w:szCs w:val="18"/>
        </w:rPr>
        <w:t>2．固定资产初始计量</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本公司固定资产按成本进行初始计量。</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（1）外购的固定资产的成本包括买价、进口关税等相关税费，以及为使固定资产达到预定可使用状态前所发生的可直接归属于该资产的其他支出。</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（2）自行建造固定资产的成本，由建造该项资产达到预定可使用状态前所发生的必要支出构成。</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（3）投资者投入的固定资产，按投资合同或协议约定的价值作为入账价值，但合同或协议约定价值不公允的按公允价值入账。</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4）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rsidR="00C526AC" w:rsidRDefault="00E0175D">
      <w:pPr>
        <w:pStyle w:val="a3"/>
        <w:widowControl/>
        <w:spacing w:line="240" w:lineRule="atLeast"/>
        <w:rPr>
          <w:rFonts w:ascii="宋体" w:hAnsi="宋体" w:cs="宋体"/>
          <w:sz w:val="18"/>
          <w:szCs w:val="18"/>
        </w:rPr>
      </w:pPr>
      <w:r>
        <w:rPr>
          <w:rFonts w:ascii="宋体" w:hAnsi="宋体" w:cs="宋体" w:hint="eastAsia"/>
          <w:sz w:val="18"/>
          <w:szCs w:val="18"/>
        </w:rPr>
        <w:t>3．固定资产后续计量及处置</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（1）固定资产折旧</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固定资产折旧按其入账价值减去预计净残值后在预计使用寿命内计提。对计提了减值准备的固定资产，则在未来期间按扣除减值准备后的账面价值及依据尚可使用年限确定折旧额；已提足折旧仍继续使用的固定资产不计提折旧。</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本公司根据固定资产的性质和使用情况，确定固定资产的使用寿命和预计净残值。并在年度终了，对固定资产的使用寿命、预计净残值和折旧方法进行复核，如与原先估计数存在差异的，进行相应的调整。</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（2）固定资产的后续支出</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与固定资产有关的后续支出，符合固定资产确认条件的，计入固定资产成本；不符合固定资产确认条件的，在发生时计入当期损益。</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（3）固定资产处置</w:t>
      </w:r>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当固定资产被处置、或者预期通过使用或处置不能产生经济利益时，终止确认该固定资产。固定资产出售、转让、报废或毁损的处置收入扣除其账面价值和相关税费后的金额计入当期损益。</w:t>
      </w:r>
    </w:p>
    <w:p w:rsidR="00C526AC" w:rsidRDefault="00E0175D">
      <w:pPr>
        <w:keepNext/>
        <w:keepLines/>
        <w:spacing w:before="300" w:after="300" w:line="280" w:lineRule="exact"/>
        <w:jc w:val="left"/>
        <w:outlineLvl w:val="3"/>
        <w:rPr>
          <w:rFonts w:ascii="宋体" w:hAnsi="宋体" w:cs="宋体"/>
          <w:b/>
          <w:bCs/>
          <w:szCs w:val="21"/>
        </w:rPr>
      </w:pPr>
      <w:bookmarkStart w:id="42" w:name="_Toc989032"/>
      <w:r>
        <w:rPr>
          <w:rFonts w:ascii="宋体" w:hAnsi="宋体" w:cs="宋体"/>
          <w:b/>
          <w:bCs/>
          <w:szCs w:val="21"/>
        </w:rPr>
        <w:t>（2） 折旧方法</w:t>
      </w:r>
      <w:bookmarkEnd w:id="42"/>
    </w:p>
    <w:p w:rsidR="00C526AC" w:rsidRDefault="00C526AC">
      <w:pPr>
        <w:spacing w:line="0" w:lineRule="atLeast"/>
        <w:jc w:val="lef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年折旧率</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3.6%</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9%</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18%</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电子及其他设备</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18%</w:t>
            </w:r>
          </w:p>
        </w:tc>
      </w:tr>
    </w:tbl>
    <w:p w:rsidR="00C526AC" w:rsidRDefault="00E0175D">
      <w:pPr>
        <w:keepNext/>
        <w:keepLines/>
        <w:spacing w:before="300" w:after="300" w:line="280" w:lineRule="exact"/>
        <w:jc w:val="left"/>
        <w:outlineLvl w:val="3"/>
        <w:rPr>
          <w:rFonts w:ascii="宋体" w:hAnsi="宋体" w:cs="宋体"/>
          <w:b/>
          <w:bCs/>
          <w:szCs w:val="21"/>
        </w:rPr>
      </w:pPr>
      <w:bookmarkStart w:id="43" w:name="_Toc989033"/>
      <w:r>
        <w:rPr>
          <w:rFonts w:ascii="宋体" w:hAnsi="宋体" w:cs="宋体"/>
          <w:b/>
          <w:bCs/>
          <w:szCs w:val="21"/>
        </w:rPr>
        <w:t>（3） 融资租入固定资产的认定依据、计价和折旧方法</w:t>
      </w:r>
      <w:bookmarkEnd w:id="43"/>
    </w:p>
    <w:p w:rsidR="00C526AC" w:rsidRDefault="00E0175D" w:rsidP="005777BA">
      <w:pPr>
        <w:pStyle w:val="a3"/>
        <w:widowControl/>
        <w:spacing w:line="240" w:lineRule="atLeast"/>
        <w:ind w:firstLineChars="200" w:firstLine="360"/>
        <w:rPr>
          <w:rFonts w:ascii="宋体" w:hAnsi="宋体" w:cs="宋体"/>
          <w:sz w:val="18"/>
          <w:szCs w:val="18"/>
        </w:rPr>
      </w:pPr>
      <w:r>
        <w:rPr>
          <w:rFonts w:ascii="宋体" w:hAnsi="宋体" w:cs="宋体" w:hint="eastAsia"/>
          <w:sz w:val="18"/>
          <w:szCs w:val="18"/>
        </w:rPr>
        <w:t>当本公司租入的固定资产符合下列一项或数项标准时，确认为融资租入固定资产：（1）在租赁期届满时，租赁资产的所有权转移给本公司。（2）本公司有购买租赁资产的选择权，所订立的购买价款预计将远低于行使选择权时租赁资产的公允价值，因而在租赁开始日就可以合理确定本公司将会行使这种选择权。（3）即使资产的所有权不转移，但租赁期占租赁资产使用寿命的大部分。（4）本公司在租赁开始日的最低租赁付款额现值，几乎相当于租赁开始日租赁资产公允价值。（5）租赁资产性质特殊，如果不作较大改造，只有本公司才能使用。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w:t>
      </w:r>
    </w:p>
    <w:p w:rsidR="00C526AC" w:rsidRDefault="00E0175D">
      <w:pPr>
        <w:keepNext/>
        <w:keepLines/>
        <w:spacing w:before="300" w:after="300" w:line="280" w:lineRule="exact"/>
        <w:jc w:val="left"/>
        <w:outlineLvl w:val="2"/>
        <w:rPr>
          <w:rFonts w:ascii="宋体" w:hAnsi="宋体" w:cs="宋体"/>
          <w:b/>
          <w:bCs/>
          <w:szCs w:val="21"/>
        </w:rPr>
      </w:pPr>
      <w:bookmarkStart w:id="44" w:name="_Toc989034"/>
      <w:r>
        <w:rPr>
          <w:rFonts w:ascii="宋体" w:hAnsi="宋体" w:cs="宋体"/>
          <w:b/>
          <w:bCs/>
          <w:szCs w:val="21"/>
        </w:rPr>
        <w:t>25、在建工程</w:t>
      </w:r>
      <w:bookmarkEnd w:id="44"/>
    </w:p>
    <w:p w:rsidR="00C526AC" w:rsidRDefault="00E0175D">
      <w:pPr>
        <w:keepNext/>
        <w:keepLines/>
        <w:spacing w:before="300" w:after="300" w:line="280" w:lineRule="exact"/>
        <w:jc w:val="left"/>
        <w:outlineLvl w:val="2"/>
        <w:rPr>
          <w:rFonts w:ascii="宋体" w:hAnsi="宋体" w:cs="宋体"/>
          <w:b/>
          <w:bCs/>
          <w:szCs w:val="21"/>
        </w:rPr>
      </w:pPr>
      <w:bookmarkStart w:id="45" w:name="_Toc989035"/>
      <w:r>
        <w:rPr>
          <w:rFonts w:ascii="宋体" w:hAnsi="宋体" w:cs="宋体"/>
          <w:b/>
          <w:bCs/>
          <w:szCs w:val="21"/>
        </w:rPr>
        <w:t>26、借款费用</w:t>
      </w:r>
      <w:bookmarkEnd w:id="45"/>
    </w:p>
    <w:p w:rsidR="00C526AC" w:rsidRDefault="00E0175D">
      <w:pPr>
        <w:pStyle w:val="a3"/>
        <w:widowControl/>
        <w:spacing w:beforeAutospacing="0" w:afterAutospacing="0"/>
        <w:ind w:right="782"/>
        <w:jc w:val="both"/>
        <w:rPr>
          <w:sz w:val="18"/>
          <w:szCs w:val="18"/>
        </w:rPr>
      </w:pPr>
      <w:r>
        <w:rPr>
          <w:rStyle w:val="a4"/>
          <w:sz w:val="21"/>
          <w:szCs w:val="21"/>
        </w:rPr>
        <w:t> 1.</w:t>
      </w:r>
      <w:r>
        <w:rPr>
          <w:rStyle w:val="a4"/>
          <w:rFonts w:ascii="宋体" w:hAnsi="宋体" w:cs="宋体" w:hint="eastAsia"/>
          <w:sz w:val="21"/>
          <w:szCs w:val="21"/>
        </w:rPr>
        <w:t>借款费用资本化的确认原则</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本公司发生的借款费用，可直接归属于符合资本化条件的资产的购建或者生产的，予以资本化，计入相关资产成本；其他借款费用，在发生时根据其发生额确认为费用，计入当期损益。</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符合资本化条件的资产，是指需要经过相当长时间的购建或者生产活动才能达到预定可使用或者可销售状态的固定资产、投资性房地产和存货等资产。</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借款费用同时满足下列条件时开始资本化：</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（1）资产支出已经发生，资产支出包括为购建或者生产符合资本化条件的资产而以支付现金、转移非现金资产或者承担带息债务形式发生的支出；</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（2）借款费用已经发生；</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（3）为使资产达到预定可使用或者可销售状态所必要的购建或者生产活动已经开始。</w:t>
      </w:r>
    </w:p>
    <w:p w:rsidR="00C526AC" w:rsidRDefault="00E0175D">
      <w:pPr>
        <w:pStyle w:val="a3"/>
        <w:widowControl/>
        <w:spacing w:beforeAutospacing="0" w:afterAutospacing="0"/>
        <w:ind w:right="782"/>
        <w:jc w:val="both"/>
        <w:rPr>
          <w:sz w:val="18"/>
          <w:szCs w:val="18"/>
        </w:rPr>
      </w:pPr>
      <w:r>
        <w:rPr>
          <w:rStyle w:val="a4"/>
          <w:sz w:val="21"/>
          <w:szCs w:val="21"/>
        </w:rPr>
        <w:t>    2.</w:t>
      </w:r>
      <w:r>
        <w:rPr>
          <w:rStyle w:val="a4"/>
          <w:rFonts w:ascii="宋体" w:hAnsi="宋体" w:cs="宋体" w:hint="eastAsia"/>
          <w:sz w:val="21"/>
          <w:szCs w:val="21"/>
        </w:rPr>
        <w:t>借款费用资本化期间</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资本化期间，指从借款费用开始资本化时点到停止资本化时点的期间，借款费用暂停资本化的期间不包括在内。</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当购建或者生产符合资本化条件的资产达到预定可使用或者可销售状态时，借款费用停止资本化。</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当购建或者生产符合资本化条件的资产中部分项目分别完工且可单独使用时，该部分资产借款费用停止资本化。</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购建或者生产的资产的各部分分别完工，但必须等到整体完工后才可使用或可对外销售的，在该资产整体完工时停止借款费用资本化。</w:t>
      </w:r>
    </w:p>
    <w:p w:rsidR="00C526AC" w:rsidRDefault="00E0175D">
      <w:pPr>
        <w:pStyle w:val="a3"/>
        <w:widowControl/>
        <w:spacing w:beforeAutospacing="0" w:afterAutospacing="0"/>
        <w:ind w:right="782"/>
        <w:jc w:val="both"/>
        <w:rPr>
          <w:sz w:val="18"/>
          <w:szCs w:val="18"/>
        </w:rPr>
      </w:pPr>
      <w:r>
        <w:rPr>
          <w:rStyle w:val="a4"/>
          <w:sz w:val="21"/>
          <w:szCs w:val="21"/>
        </w:rPr>
        <w:t>    3.</w:t>
      </w:r>
      <w:r>
        <w:rPr>
          <w:rStyle w:val="a4"/>
          <w:rFonts w:ascii="宋体" w:hAnsi="宋体" w:cs="宋体" w:hint="eastAsia"/>
          <w:sz w:val="21"/>
          <w:szCs w:val="21"/>
        </w:rPr>
        <w:t>暂停资本化期间</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符合资本化条件的资产在购建或生产过程中发生的非正常中断、且中断时间连续超过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C526AC" w:rsidRDefault="00E0175D">
      <w:pPr>
        <w:pStyle w:val="a3"/>
        <w:widowControl/>
        <w:spacing w:beforeAutospacing="0" w:afterAutospacing="0"/>
        <w:jc w:val="both"/>
        <w:rPr>
          <w:sz w:val="18"/>
          <w:szCs w:val="18"/>
        </w:rPr>
      </w:pPr>
      <w:r>
        <w:rPr>
          <w:rStyle w:val="a4"/>
          <w:sz w:val="21"/>
          <w:szCs w:val="21"/>
        </w:rPr>
        <w:t>    4.</w:t>
      </w:r>
      <w:r>
        <w:rPr>
          <w:rStyle w:val="a4"/>
          <w:rFonts w:ascii="宋体" w:hAnsi="宋体" w:cs="宋体" w:hint="eastAsia"/>
          <w:sz w:val="21"/>
          <w:szCs w:val="21"/>
        </w:rPr>
        <w:t>借款费用资本化金额的计算方法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根据累计资产支出超过专门借款部分的资产支出加权平均数乘以所占用一般借款的资本化率，计算确定一般借款应予资本化的利息金额。资本化率根据一般借款加权平均利率计算确定。</w:t>
      </w:r>
    </w:p>
    <w:p w:rsidR="00C526AC" w:rsidRDefault="00E0175D">
      <w:pPr>
        <w:pStyle w:val="a3"/>
        <w:widowControl/>
        <w:spacing w:beforeAutospacing="0" w:afterAutospacing="0"/>
        <w:rPr>
          <w:sz w:val="18"/>
          <w:szCs w:val="18"/>
        </w:rPr>
      </w:pPr>
      <w:r>
        <w:rPr>
          <w:rFonts w:ascii="宋体" w:hAnsi="宋体" w:cs="宋体" w:hint="eastAsia"/>
          <w:sz w:val="18"/>
          <w:szCs w:val="18"/>
        </w:rPr>
        <w:t>借款存在折价或者溢价的，按照实际利率法确定每一会计期间应摊销的折价或者溢价金额，调整每期利息金额。</w:t>
      </w:r>
    </w:p>
    <w:p w:rsidR="00C526AC" w:rsidRDefault="00E0175D">
      <w:pPr>
        <w:keepNext/>
        <w:keepLines/>
        <w:spacing w:before="300" w:after="300" w:line="280" w:lineRule="exact"/>
        <w:jc w:val="left"/>
        <w:outlineLvl w:val="2"/>
        <w:rPr>
          <w:rFonts w:ascii="宋体" w:hAnsi="宋体" w:cs="宋体"/>
          <w:b/>
          <w:bCs/>
          <w:szCs w:val="21"/>
        </w:rPr>
      </w:pPr>
      <w:bookmarkStart w:id="46" w:name="_Toc989036"/>
      <w:r>
        <w:rPr>
          <w:rFonts w:ascii="宋体" w:hAnsi="宋体" w:cs="宋体"/>
          <w:b/>
          <w:bCs/>
          <w:szCs w:val="21"/>
        </w:rPr>
        <w:t>27、生物资产</w:t>
      </w:r>
      <w:bookmarkEnd w:id="46"/>
    </w:p>
    <w:p w:rsidR="00C526AC" w:rsidRDefault="00E0175D">
      <w:pPr>
        <w:pStyle w:val="a3"/>
        <w:widowControl/>
        <w:spacing w:beforeAutospacing="0" w:afterAutospacing="0"/>
        <w:rPr>
          <w:sz w:val="18"/>
          <w:szCs w:val="18"/>
        </w:rPr>
      </w:pPr>
      <w:r>
        <w:rPr>
          <w:rFonts w:ascii="宋体" w:hAnsi="宋体" w:cs="宋体" w:hint="eastAsia"/>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47" w:name="_Toc989037"/>
      <w:r>
        <w:rPr>
          <w:rFonts w:ascii="宋体" w:hAnsi="宋体" w:cs="宋体"/>
          <w:b/>
          <w:bCs/>
          <w:szCs w:val="21"/>
        </w:rPr>
        <w:t>28、油气资产</w:t>
      </w:r>
      <w:bookmarkEnd w:id="47"/>
    </w:p>
    <w:p w:rsidR="00C526AC" w:rsidRDefault="00E0175D">
      <w:pPr>
        <w:pStyle w:val="a3"/>
        <w:widowControl/>
        <w:spacing w:beforeAutospacing="0" w:afterAutospacing="0"/>
        <w:rPr>
          <w:sz w:val="18"/>
          <w:szCs w:val="18"/>
        </w:rPr>
      </w:pPr>
      <w:r>
        <w:rPr>
          <w:rFonts w:ascii="宋体" w:hAnsi="宋体" w:cs="宋体" w:hint="eastAsia"/>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48" w:name="_Toc989038"/>
      <w:r>
        <w:rPr>
          <w:rFonts w:ascii="宋体" w:hAnsi="宋体" w:cs="宋体"/>
          <w:b/>
          <w:bCs/>
          <w:szCs w:val="21"/>
        </w:rPr>
        <w:t>29、使用权资产</w:t>
      </w:r>
      <w:bookmarkEnd w:id="48"/>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本公司对使用权资产按照成本进行初始计量，该成本包括：</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租赁负债的初始计量金额；</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在租赁期开始日或之前支付的租赁付款额，存在租赁激励的，扣除已享受的租赁激励相关金额；</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本公司发生的初始直接费用；</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本公司为拆卸及移除租赁资产、复原租赁资产所在场地或将租赁资产恢复至租赁条款约定状态预计将发生的成本（不包括为生产存货而发生的成本）。</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在租赁期开始日后，本公司采用成本模式对使用权资产进行后续计量。</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对计提了减值准备的使用权资产，则在未来期间按扣除减值准备后的账面价值参照上述原则计提折旧。</w:t>
      </w:r>
    </w:p>
    <w:p w:rsidR="00C526AC" w:rsidRDefault="00E0175D">
      <w:pPr>
        <w:keepNext/>
        <w:keepLines/>
        <w:spacing w:before="300" w:after="300" w:line="280" w:lineRule="exact"/>
        <w:jc w:val="left"/>
        <w:outlineLvl w:val="2"/>
        <w:rPr>
          <w:rFonts w:ascii="宋体" w:hAnsi="宋体" w:cs="宋体"/>
          <w:b/>
          <w:bCs/>
          <w:szCs w:val="21"/>
        </w:rPr>
      </w:pPr>
      <w:bookmarkStart w:id="49" w:name="_Toc989039"/>
      <w:r>
        <w:rPr>
          <w:rFonts w:ascii="宋体" w:hAnsi="宋体" w:cs="宋体"/>
          <w:b/>
          <w:bCs/>
          <w:szCs w:val="21"/>
        </w:rPr>
        <w:t>30、无形资产</w:t>
      </w:r>
      <w:bookmarkEnd w:id="49"/>
    </w:p>
    <w:p w:rsidR="00C526AC" w:rsidRDefault="00E0175D">
      <w:pPr>
        <w:keepNext/>
        <w:keepLines/>
        <w:spacing w:before="300" w:after="300" w:line="280" w:lineRule="exact"/>
        <w:jc w:val="left"/>
        <w:outlineLvl w:val="3"/>
        <w:rPr>
          <w:rFonts w:ascii="宋体" w:hAnsi="宋体" w:cs="宋体"/>
          <w:b/>
          <w:bCs/>
          <w:szCs w:val="21"/>
        </w:rPr>
      </w:pPr>
      <w:bookmarkStart w:id="50" w:name="_Toc989040"/>
      <w:r>
        <w:rPr>
          <w:rFonts w:ascii="宋体" w:hAnsi="宋体" w:cs="宋体"/>
          <w:b/>
          <w:bCs/>
          <w:szCs w:val="21"/>
        </w:rPr>
        <w:t>（1） 计价方法、使用寿命、减值测试</w:t>
      </w:r>
      <w:bookmarkEnd w:id="50"/>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无形资产是指本公司拥有或者控制的没有实物形态的可辨认非货币性资产，包括土地使用权、专利权及非专利技术、商标使用权、软件等。</w:t>
      </w:r>
    </w:p>
    <w:p w:rsidR="00C526AC" w:rsidRDefault="00E0175D">
      <w:pPr>
        <w:pStyle w:val="a3"/>
        <w:widowControl/>
        <w:spacing w:beforeAutospacing="0" w:afterAutospacing="0"/>
        <w:jc w:val="both"/>
        <w:rPr>
          <w:sz w:val="18"/>
          <w:szCs w:val="18"/>
        </w:rPr>
      </w:pPr>
      <w:r>
        <w:rPr>
          <w:rStyle w:val="a4"/>
          <w:rFonts w:ascii="宋体" w:hAnsi="宋体" w:cs="宋体" w:hint="eastAsia"/>
          <w:sz w:val="21"/>
          <w:szCs w:val="21"/>
        </w:rPr>
        <w:t>1、无形资产的初始计量</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债务重组取得债务人用以抵债的无形资产，以该无形资产的公允价值为基础确定其入账价值，并将重组债务的账面价值与该用以抵债的无形资产公允价值之间的差额，计入当期损益。</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以同一控制下的企业吸收合并方式取得的无形资产按被合并方的账面价值确定其入账价值；以非同一控制下的企业吸收合并方式取得的无形资产按公允价值确定其入账价值。</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C526AC" w:rsidRDefault="00E0175D">
      <w:pPr>
        <w:pStyle w:val="a3"/>
        <w:widowControl/>
        <w:spacing w:beforeAutospacing="0" w:afterAutospacing="0"/>
        <w:jc w:val="both"/>
        <w:rPr>
          <w:sz w:val="18"/>
          <w:szCs w:val="18"/>
        </w:rPr>
      </w:pPr>
      <w:r>
        <w:rPr>
          <w:rStyle w:val="a4"/>
          <w:rFonts w:ascii="宋体" w:hAnsi="宋体" w:cs="宋体" w:hint="eastAsia"/>
          <w:sz w:val="21"/>
          <w:szCs w:val="21"/>
        </w:rPr>
        <w:t>2、无形资产的后续计量</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本公司在取得无形资产时分析判断其使用寿命，划分为使用寿命有限和使用寿命不确定的无形资产。</w:t>
      </w:r>
    </w:p>
    <w:p w:rsidR="00C526AC" w:rsidRDefault="00E0175D">
      <w:pPr>
        <w:pStyle w:val="a3"/>
        <w:widowControl/>
        <w:spacing w:beforeAutospacing="0" w:afterAutospacing="0"/>
        <w:ind w:firstLine="180"/>
        <w:jc w:val="both"/>
        <w:rPr>
          <w:sz w:val="18"/>
          <w:szCs w:val="18"/>
        </w:rPr>
      </w:pPr>
      <w:r>
        <w:rPr>
          <w:rFonts w:ascii="宋体" w:hAnsi="宋体" w:cs="宋体" w:hint="eastAsia"/>
          <w:sz w:val="18"/>
          <w:szCs w:val="18"/>
        </w:rPr>
        <w:t> （1）使用寿命有限的无形资产</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对于使用寿命有限的无形资产，在为企业带来经济利益的期限内按直线法摊销。使用寿命有限的无形资产预计寿命及依据如下：</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178"/>
        <w:gridCol w:w="2500"/>
        <w:gridCol w:w="4495"/>
      </w:tblGrid>
      <w:tr w:rsidR="00C526AC" w:rsidTr="005777BA">
        <w:trPr>
          <w:jc w:val="center"/>
        </w:trPr>
        <w:tc>
          <w:tcPr>
            <w:tcW w:w="2178"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项目</w:t>
            </w:r>
          </w:p>
        </w:tc>
        <w:tc>
          <w:tcPr>
            <w:tcW w:w="2500"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预计使用寿命</w:t>
            </w:r>
          </w:p>
        </w:tc>
        <w:tc>
          <w:tcPr>
            <w:tcW w:w="4495"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依据</w:t>
            </w:r>
          </w:p>
        </w:tc>
      </w:tr>
      <w:tr w:rsidR="00C526AC" w:rsidTr="005777BA">
        <w:trPr>
          <w:jc w:val="center"/>
        </w:trPr>
        <w:tc>
          <w:tcPr>
            <w:tcW w:w="2178"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软件</w:t>
            </w:r>
          </w:p>
        </w:tc>
        <w:tc>
          <w:tcPr>
            <w:tcW w:w="250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ind w:firstLine="360"/>
              <w:jc w:val="center"/>
              <w:rPr>
                <w:sz w:val="18"/>
                <w:szCs w:val="18"/>
              </w:rPr>
            </w:pPr>
            <w:r>
              <w:rPr>
                <w:sz w:val="18"/>
                <w:szCs w:val="18"/>
              </w:rPr>
              <w:t>5-10</w:t>
            </w:r>
            <w:r>
              <w:rPr>
                <w:rFonts w:ascii="宋体" w:hAnsi="宋体" w:cs="宋体" w:hint="eastAsia"/>
                <w:sz w:val="18"/>
                <w:szCs w:val="18"/>
              </w:rPr>
              <w:t>年</w:t>
            </w:r>
          </w:p>
        </w:tc>
        <w:tc>
          <w:tcPr>
            <w:tcW w:w="449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软件预计使用年限</w:t>
            </w:r>
          </w:p>
        </w:tc>
      </w:tr>
      <w:tr w:rsidR="00C526AC" w:rsidTr="005777BA">
        <w:trPr>
          <w:jc w:val="center"/>
        </w:trPr>
        <w:tc>
          <w:tcPr>
            <w:tcW w:w="2178"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土地使用权</w:t>
            </w:r>
          </w:p>
        </w:tc>
        <w:tc>
          <w:tcPr>
            <w:tcW w:w="250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ind w:firstLine="360"/>
              <w:jc w:val="center"/>
              <w:rPr>
                <w:sz w:val="18"/>
                <w:szCs w:val="18"/>
              </w:rPr>
            </w:pPr>
            <w:r>
              <w:rPr>
                <w:sz w:val="18"/>
                <w:szCs w:val="18"/>
              </w:rPr>
              <w:t>40-50</w:t>
            </w:r>
            <w:r>
              <w:rPr>
                <w:rFonts w:ascii="宋体" w:hAnsi="宋体" w:cs="宋体" w:hint="eastAsia"/>
                <w:sz w:val="18"/>
                <w:szCs w:val="18"/>
              </w:rPr>
              <w:t>年</w:t>
            </w:r>
          </w:p>
        </w:tc>
        <w:tc>
          <w:tcPr>
            <w:tcW w:w="449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土地使用权证规定年限</w:t>
            </w:r>
          </w:p>
        </w:tc>
      </w:tr>
      <w:tr w:rsidR="00C526AC" w:rsidTr="005777BA">
        <w:trPr>
          <w:jc w:val="center"/>
        </w:trPr>
        <w:tc>
          <w:tcPr>
            <w:tcW w:w="2178"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both"/>
              <w:rPr>
                <w:sz w:val="18"/>
                <w:szCs w:val="18"/>
              </w:rPr>
            </w:pPr>
            <w:r>
              <w:rPr>
                <w:rFonts w:ascii="宋体" w:hAnsi="宋体" w:cs="宋体" w:hint="eastAsia"/>
                <w:sz w:val="18"/>
                <w:szCs w:val="18"/>
              </w:rPr>
              <w:t>专利权</w:t>
            </w:r>
          </w:p>
        </w:tc>
        <w:tc>
          <w:tcPr>
            <w:tcW w:w="250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在实际授权使用期间内摊销</w:t>
            </w:r>
          </w:p>
        </w:tc>
        <w:tc>
          <w:tcPr>
            <w:tcW w:w="449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授权使用期限</w:t>
            </w:r>
          </w:p>
        </w:tc>
      </w:tr>
      <w:tr w:rsidR="00C526AC" w:rsidTr="005777BA">
        <w:trPr>
          <w:jc w:val="center"/>
        </w:trPr>
        <w:tc>
          <w:tcPr>
            <w:tcW w:w="2178"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both"/>
              <w:rPr>
                <w:sz w:val="18"/>
                <w:szCs w:val="18"/>
              </w:rPr>
            </w:pPr>
            <w:r>
              <w:rPr>
                <w:rFonts w:ascii="宋体" w:hAnsi="宋体" w:cs="宋体" w:hint="eastAsia"/>
                <w:sz w:val="18"/>
                <w:szCs w:val="18"/>
              </w:rPr>
              <w:t>商标使用权</w:t>
            </w:r>
          </w:p>
        </w:tc>
        <w:tc>
          <w:tcPr>
            <w:tcW w:w="2500"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在实际授权使用期间内摊销</w:t>
            </w:r>
          </w:p>
        </w:tc>
        <w:tc>
          <w:tcPr>
            <w:tcW w:w="449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授权使用期限</w:t>
            </w:r>
          </w:p>
        </w:tc>
      </w:tr>
    </w:tbl>
    <w:p w:rsidR="00C526AC" w:rsidRDefault="00E0175D">
      <w:pPr>
        <w:pStyle w:val="a3"/>
        <w:widowControl/>
        <w:spacing w:beforeAutospacing="0" w:afterAutospacing="0"/>
        <w:ind w:firstLine="420"/>
        <w:rPr>
          <w:sz w:val="18"/>
          <w:szCs w:val="18"/>
        </w:rPr>
      </w:pPr>
      <w:r>
        <w:rPr>
          <w:sz w:val="21"/>
          <w:szCs w:val="21"/>
        </w:rPr>
        <w:t> </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每期末，对使用寿命有限的无形资产的使用寿命及摊销方法进行复核，如与原先估计数存在差异的，进行相应的调整。</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经复核，本期期末无形资产的使用寿命及摊销方法与以前估计未有不同。</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   （2）使用寿命不确定的无形资产</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本公司无使用寿命不确定的无形资产。</w:t>
      </w:r>
    </w:p>
    <w:p w:rsidR="00C526AC" w:rsidRDefault="00E0175D">
      <w:pPr>
        <w:keepNext/>
        <w:keepLines/>
        <w:spacing w:before="300" w:after="300" w:line="280" w:lineRule="exact"/>
        <w:jc w:val="left"/>
        <w:outlineLvl w:val="3"/>
        <w:rPr>
          <w:rFonts w:ascii="宋体" w:hAnsi="宋体" w:cs="宋体"/>
          <w:b/>
          <w:bCs/>
          <w:szCs w:val="21"/>
        </w:rPr>
      </w:pPr>
      <w:bookmarkStart w:id="51" w:name="_Toc989041"/>
      <w:r>
        <w:rPr>
          <w:rFonts w:ascii="宋体" w:hAnsi="宋体" w:cs="宋体"/>
          <w:b/>
          <w:bCs/>
          <w:szCs w:val="21"/>
        </w:rPr>
        <w:t>（2） 内部研究开发支出会计政策</w:t>
      </w:r>
      <w:bookmarkEnd w:id="51"/>
    </w:p>
    <w:p w:rsidR="00C526AC" w:rsidRDefault="00E0175D">
      <w:pPr>
        <w:pStyle w:val="a3"/>
        <w:widowControl/>
        <w:spacing w:beforeAutospacing="0" w:afterAutospacing="0"/>
        <w:jc w:val="both"/>
        <w:rPr>
          <w:sz w:val="18"/>
          <w:szCs w:val="18"/>
        </w:rPr>
      </w:pPr>
      <w:r>
        <w:rPr>
          <w:rStyle w:val="a4"/>
          <w:sz w:val="21"/>
          <w:szCs w:val="21"/>
        </w:rPr>
        <w:t>1.</w:t>
      </w:r>
      <w:r>
        <w:rPr>
          <w:rStyle w:val="a4"/>
          <w:rFonts w:ascii="宋体" w:hAnsi="宋体" w:cs="宋体" w:hint="eastAsia"/>
          <w:sz w:val="21"/>
          <w:szCs w:val="21"/>
        </w:rPr>
        <w:t>划分公司内部研究开发项目的研究阶段和开发阶段具体标准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研究阶段：为获取并理解新的科学或技术知识等而进行的独创性的有计划调查、研究活动的阶段。</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开发阶段：在进行商业性生产或使用前，将研究成果或其他知识应用于某项计划或设计，以生产出新的或具有实质性改进的材料、装置、产品等活动的阶段。</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 xml:space="preserve">内部研究开发项目研究阶段的支出，在发生时计入当期损益。 </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开发阶段支出符合资本化的具体标准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内部研究开发项目开发阶段的支出，同时满足下列条件时确认为无形资产：</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（1）完成该无形资产以使其能够使用或出售在技术上具有可行性；</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（2）具有完成该无形资产并使用或出售的意图；</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（3）无形资产产生经济利益的方式，包括能够证明运用该无形资产生产的产品存在市场或无形资产自身存在市场，无形资产将在内部使用的，能够证明其有用性；</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（4）有足够的技术、财务资源和其他资源支持，以完成该无形资产的开发，并有能力使用或出售该无形资产；</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（5）归属于该无形资产开发阶段的支出能够可靠地计量。</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不满足上述条件的开发阶段的支出，于发生时计入当期损益。以前期间已计入损益的开发支出不在以后期间重新确认为资产。已资本化的开发阶段的支出在资产负债表上列示为开发支出，自该项目达到预定用途之日起转为无形资产。</w:t>
      </w:r>
    </w:p>
    <w:p w:rsidR="00C526AC" w:rsidRDefault="00E0175D">
      <w:pPr>
        <w:keepNext/>
        <w:keepLines/>
        <w:spacing w:before="300" w:after="300" w:line="280" w:lineRule="exact"/>
        <w:jc w:val="left"/>
        <w:outlineLvl w:val="2"/>
        <w:rPr>
          <w:rFonts w:ascii="宋体" w:hAnsi="宋体" w:cs="宋体"/>
          <w:b/>
          <w:bCs/>
          <w:szCs w:val="21"/>
        </w:rPr>
      </w:pPr>
      <w:bookmarkStart w:id="52" w:name="_Toc989042"/>
      <w:r>
        <w:rPr>
          <w:rFonts w:ascii="宋体" w:hAnsi="宋体" w:cs="宋体"/>
          <w:b/>
          <w:bCs/>
          <w:szCs w:val="21"/>
        </w:rPr>
        <w:t>31、长期资产减值</w:t>
      </w:r>
      <w:bookmarkEnd w:id="52"/>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在资产负债表日判断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资产可收回金额的估计，根据其公允价值减去处置费用后的净额与资产预计未来现金流量的现值两者之间较高者确定。</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可收回金额的计量结果表明，长期资产的可收回金额低于其账面价值的，将长期资产的账面价值减记至可收回金额，减记的金额确认为资产减值损失，计入当期损益，同时计提相应的资产减值准备。资产减值损失一经确认，在以后会计期间不得转回。</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资产减值损失确认后，减值资产的折旧或者摊销费用在未来期间作相应调整，以使该资产在剩余使用寿命内，系统地分摊调整后的资产账面价值（扣除预计净残值）。</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因企业合并所形成的商誉和使用寿命不确定的无形资产，无论是否存在减值迹象，每年都进行减值测试。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C526AC" w:rsidRDefault="00E0175D">
      <w:pPr>
        <w:keepNext/>
        <w:keepLines/>
        <w:spacing w:before="300" w:after="300" w:line="280" w:lineRule="exact"/>
        <w:jc w:val="left"/>
        <w:outlineLvl w:val="2"/>
        <w:rPr>
          <w:rFonts w:ascii="宋体" w:hAnsi="宋体" w:cs="宋体"/>
          <w:b/>
          <w:bCs/>
          <w:szCs w:val="21"/>
        </w:rPr>
      </w:pPr>
      <w:bookmarkStart w:id="53" w:name="_Toc989043"/>
      <w:r>
        <w:rPr>
          <w:rFonts w:ascii="宋体" w:hAnsi="宋体" w:cs="宋体"/>
          <w:b/>
          <w:bCs/>
          <w:szCs w:val="21"/>
        </w:rPr>
        <w:t>32、长期待摊费用</w:t>
      </w:r>
      <w:bookmarkEnd w:id="53"/>
    </w:p>
    <w:p w:rsidR="00C526AC" w:rsidRDefault="00E0175D">
      <w:pPr>
        <w:pStyle w:val="a3"/>
        <w:widowControl/>
        <w:spacing w:beforeAutospacing="0" w:afterAutospacing="0"/>
        <w:ind w:right="782"/>
        <w:jc w:val="both"/>
        <w:rPr>
          <w:sz w:val="18"/>
          <w:szCs w:val="18"/>
        </w:rPr>
      </w:pPr>
      <w:r>
        <w:rPr>
          <w:rStyle w:val="a4"/>
          <w:sz w:val="21"/>
          <w:szCs w:val="21"/>
        </w:rPr>
        <w:t>1.</w:t>
      </w:r>
      <w:r>
        <w:rPr>
          <w:rStyle w:val="a4"/>
          <w:rFonts w:ascii="宋体" w:hAnsi="宋体" w:cs="宋体" w:hint="eastAsia"/>
          <w:sz w:val="21"/>
          <w:szCs w:val="21"/>
        </w:rPr>
        <w:t>摊销方法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长期待摊费用，是指本公司已经发生但应由本期和以后各期负担的分摊期限在1年以上的各项费用。长期待摊费用在受益期内按直线法分期摊销。</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摊销年限</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972"/>
        <w:gridCol w:w="5291"/>
      </w:tblGrid>
      <w:tr w:rsidR="00C526AC" w:rsidTr="00ED4EB7">
        <w:trPr>
          <w:jc w:val="center"/>
        </w:trPr>
        <w:tc>
          <w:tcPr>
            <w:tcW w:w="3972"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类别</w:t>
            </w:r>
          </w:p>
        </w:tc>
        <w:tc>
          <w:tcPr>
            <w:tcW w:w="5291"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摊销年限</w:t>
            </w:r>
          </w:p>
        </w:tc>
      </w:tr>
      <w:tr w:rsidR="00C526AC" w:rsidTr="00ED4EB7">
        <w:trPr>
          <w:jc w:val="center"/>
        </w:trPr>
        <w:tc>
          <w:tcPr>
            <w:tcW w:w="3972"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装修费</w:t>
            </w:r>
          </w:p>
        </w:tc>
        <w:tc>
          <w:tcPr>
            <w:tcW w:w="5291"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3-5</w:t>
            </w:r>
            <w:r>
              <w:rPr>
                <w:rFonts w:ascii="宋体" w:hAnsi="宋体" w:cs="宋体" w:hint="eastAsia"/>
                <w:sz w:val="18"/>
                <w:szCs w:val="18"/>
              </w:rPr>
              <w:t>年</w:t>
            </w:r>
          </w:p>
        </w:tc>
      </w:tr>
      <w:tr w:rsidR="00C526AC" w:rsidTr="00ED4EB7">
        <w:trPr>
          <w:jc w:val="center"/>
        </w:trPr>
        <w:tc>
          <w:tcPr>
            <w:tcW w:w="3972"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机物料</w:t>
            </w:r>
          </w:p>
        </w:tc>
        <w:tc>
          <w:tcPr>
            <w:tcW w:w="5291"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3-5</w:t>
            </w:r>
            <w:r>
              <w:rPr>
                <w:rFonts w:ascii="宋体" w:hAnsi="宋体" w:cs="宋体" w:hint="eastAsia"/>
                <w:sz w:val="18"/>
                <w:szCs w:val="18"/>
              </w:rPr>
              <w:t>年</w:t>
            </w:r>
          </w:p>
        </w:tc>
      </w:tr>
      <w:tr w:rsidR="00C526AC" w:rsidTr="00ED4EB7">
        <w:trPr>
          <w:jc w:val="center"/>
        </w:trPr>
        <w:tc>
          <w:tcPr>
            <w:tcW w:w="3972"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其他</w:t>
            </w:r>
          </w:p>
        </w:tc>
        <w:tc>
          <w:tcPr>
            <w:tcW w:w="5291"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sz w:val="18"/>
                <w:szCs w:val="18"/>
              </w:rPr>
              <w:t>2-5</w:t>
            </w:r>
            <w:r>
              <w:rPr>
                <w:rFonts w:ascii="宋体" w:hAnsi="宋体" w:cs="宋体" w:hint="eastAsia"/>
                <w:sz w:val="18"/>
                <w:szCs w:val="18"/>
              </w:rPr>
              <w:t>年</w:t>
            </w:r>
          </w:p>
        </w:tc>
      </w:tr>
    </w:tbl>
    <w:p w:rsidR="00C526AC" w:rsidRDefault="00E0175D">
      <w:pPr>
        <w:keepNext/>
        <w:keepLines/>
        <w:spacing w:before="300" w:after="300" w:line="280" w:lineRule="exact"/>
        <w:jc w:val="left"/>
        <w:outlineLvl w:val="2"/>
        <w:rPr>
          <w:rFonts w:ascii="宋体" w:hAnsi="宋体" w:cs="宋体"/>
          <w:b/>
          <w:bCs/>
          <w:szCs w:val="21"/>
        </w:rPr>
      </w:pPr>
      <w:bookmarkStart w:id="54" w:name="_Toc989044"/>
      <w:r>
        <w:rPr>
          <w:rFonts w:ascii="宋体" w:hAnsi="宋体" w:cs="宋体"/>
          <w:b/>
          <w:bCs/>
          <w:szCs w:val="21"/>
        </w:rPr>
        <w:t>33、合同负债</w:t>
      </w:r>
      <w:bookmarkEnd w:id="54"/>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本公司将已收或应收客户对价而应向客户转让商品的义务部分确认为合同负债。</w:t>
      </w:r>
    </w:p>
    <w:p w:rsidR="00C526AC" w:rsidRDefault="00E0175D">
      <w:pPr>
        <w:keepNext/>
        <w:keepLines/>
        <w:spacing w:before="300" w:after="300" w:line="280" w:lineRule="exact"/>
        <w:jc w:val="left"/>
        <w:outlineLvl w:val="2"/>
        <w:rPr>
          <w:rFonts w:ascii="宋体" w:hAnsi="宋体" w:cs="宋体"/>
          <w:b/>
          <w:bCs/>
          <w:szCs w:val="21"/>
        </w:rPr>
      </w:pPr>
      <w:bookmarkStart w:id="55" w:name="_Toc989045"/>
      <w:r>
        <w:rPr>
          <w:rFonts w:ascii="宋体" w:hAnsi="宋体" w:cs="宋体"/>
          <w:b/>
          <w:bCs/>
          <w:szCs w:val="21"/>
        </w:rPr>
        <w:t>34、职工薪酬</w:t>
      </w:r>
      <w:bookmarkEnd w:id="55"/>
    </w:p>
    <w:p w:rsidR="00C526AC" w:rsidRDefault="00E0175D">
      <w:pPr>
        <w:keepNext/>
        <w:keepLines/>
        <w:spacing w:before="300" w:after="300" w:line="280" w:lineRule="exact"/>
        <w:jc w:val="left"/>
        <w:outlineLvl w:val="3"/>
        <w:rPr>
          <w:rFonts w:ascii="宋体" w:hAnsi="宋体" w:cs="宋体"/>
          <w:b/>
          <w:bCs/>
          <w:szCs w:val="21"/>
        </w:rPr>
      </w:pPr>
      <w:bookmarkStart w:id="56" w:name="_Toc989046"/>
      <w:r>
        <w:rPr>
          <w:rFonts w:ascii="宋体" w:hAnsi="宋体" w:cs="宋体"/>
          <w:b/>
          <w:bCs/>
          <w:szCs w:val="21"/>
        </w:rPr>
        <w:t>（1） 短期薪酬的会计处理方法</w:t>
      </w:r>
      <w:bookmarkEnd w:id="56"/>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C526AC" w:rsidRDefault="00E0175D">
      <w:pPr>
        <w:keepNext/>
        <w:keepLines/>
        <w:spacing w:before="300" w:after="300" w:line="280" w:lineRule="exact"/>
        <w:jc w:val="left"/>
        <w:outlineLvl w:val="3"/>
        <w:rPr>
          <w:rFonts w:ascii="宋体" w:hAnsi="宋体" w:cs="宋体"/>
          <w:b/>
          <w:bCs/>
          <w:szCs w:val="21"/>
        </w:rPr>
      </w:pPr>
      <w:bookmarkStart w:id="57" w:name="_Toc989047"/>
      <w:r>
        <w:rPr>
          <w:rFonts w:ascii="宋体" w:hAnsi="宋体" w:cs="宋体"/>
          <w:b/>
          <w:bCs/>
          <w:szCs w:val="21"/>
        </w:rPr>
        <w:t>（2） 离职后福利的会计处理方法</w:t>
      </w:r>
      <w:bookmarkEnd w:id="57"/>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离职后福利是指本公司为获得职工提供的服务而在职工退休或与企业解除劳动关系后，提供的各种形式的报酬和福利，短期薪酬和辞退福利除外。</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本公司的离职后福利计划分类为设定提存计划和设定受益计划。</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C526AC" w:rsidRDefault="00E0175D">
      <w:pPr>
        <w:pStyle w:val="a3"/>
        <w:widowControl/>
        <w:spacing w:beforeAutospacing="0" w:afterAutospacing="0"/>
        <w:rPr>
          <w:sz w:val="18"/>
          <w:szCs w:val="18"/>
        </w:rPr>
      </w:pPr>
      <w:r>
        <w:rPr>
          <w:rFonts w:ascii="宋体" w:hAnsi="宋体" w:cs="宋体" w:hint="eastAsia"/>
          <w:sz w:val="18"/>
          <w:szCs w:val="18"/>
        </w:rPr>
        <w:t>本公司按照国家规定的标准和年金计划定期缴付上述款项后，不再有其他的支付义务。</w:t>
      </w:r>
    </w:p>
    <w:p w:rsidR="00C526AC" w:rsidRDefault="00E0175D">
      <w:pPr>
        <w:keepNext/>
        <w:keepLines/>
        <w:spacing w:before="300" w:after="300" w:line="280" w:lineRule="exact"/>
        <w:jc w:val="left"/>
        <w:outlineLvl w:val="3"/>
        <w:rPr>
          <w:rFonts w:ascii="宋体" w:hAnsi="宋体" w:cs="宋体"/>
          <w:b/>
          <w:bCs/>
          <w:szCs w:val="21"/>
        </w:rPr>
      </w:pPr>
      <w:bookmarkStart w:id="58" w:name="_Toc989048"/>
      <w:r>
        <w:rPr>
          <w:rFonts w:ascii="宋体" w:hAnsi="宋体" w:cs="宋体"/>
          <w:b/>
          <w:bCs/>
          <w:szCs w:val="21"/>
        </w:rPr>
        <w:t>（3） 辞退福利的会计处理方法</w:t>
      </w:r>
      <w:bookmarkEnd w:id="58"/>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孰早日，确认因解除与职工的劳动关系给予补偿而产生的负债，同时计入当期损益。</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向接受内部退休安排的职工提供内退福利。内退福利是指，向未达到国家规定的退休年龄、经本公司管理层批准自愿退出工作岗位的职工支付的工资及为其缴纳的社会保险费等。本公司自内部退休安排开始之日起至职工达到正常退休年龄止，向内退职工支付内部退养福利。对于内退福利，本公司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C526AC" w:rsidRDefault="00E0175D">
      <w:pPr>
        <w:keepNext/>
        <w:keepLines/>
        <w:spacing w:before="300" w:after="300" w:line="280" w:lineRule="exact"/>
        <w:jc w:val="left"/>
        <w:outlineLvl w:val="3"/>
        <w:rPr>
          <w:rFonts w:ascii="宋体" w:hAnsi="宋体" w:cs="宋体"/>
          <w:b/>
          <w:bCs/>
          <w:szCs w:val="21"/>
        </w:rPr>
      </w:pPr>
      <w:bookmarkStart w:id="59" w:name="_Toc989049"/>
      <w:r>
        <w:rPr>
          <w:rFonts w:ascii="宋体" w:hAnsi="宋体" w:cs="宋体"/>
          <w:b/>
          <w:bCs/>
          <w:szCs w:val="21"/>
        </w:rPr>
        <w:t>（4） 其他长期职工福利的会计处理方法</w:t>
      </w:r>
      <w:bookmarkEnd w:id="59"/>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其他长期职工福利是指除短期薪酬、离职后福利、辞退福利之外的其他所有职工福利。</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符合设定提存计划条件的其他长期职工福利，在职工为本公司提供服务的会计期间，将应缴存金额确认为负债，并计入当期损益或相关资产成本；除上述情形外的其他长期职工福利，在资产负债表日由独立精算师使用预期累计福利单位法进行精算，将设定受益计划产生的福利义务归属于职工提供服务的期间，并计入当期损益或相关资产成本。</w:t>
      </w:r>
    </w:p>
    <w:p w:rsidR="00C526AC" w:rsidRDefault="00E0175D">
      <w:pPr>
        <w:keepNext/>
        <w:keepLines/>
        <w:spacing w:before="300" w:after="300" w:line="280" w:lineRule="exact"/>
        <w:jc w:val="left"/>
        <w:outlineLvl w:val="2"/>
        <w:rPr>
          <w:rFonts w:ascii="宋体" w:hAnsi="宋体" w:cs="宋体"/>
          <w:b/>
          <w:bCs/>
          <w:szCs w:val="21"/>
        </w:rPr>
      </w:pPr>
      <w:bookmarkStart w:id="60" w:name="_Toc989050"/>
      <w:r>
        <w:rPr>
          <w:rFonts w:ascii="宋体" w:hAnsi="宋体" w:cs="宋体"/>
          <w:b/>
          <w:bCs/>
          <w:szCs w:val="21"/>
        </w:rPr>
        <w:t>35、租赁负债</w:t>
      </w:r>
      <w:bookmarkEnd w:id="60"/>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对租赁负债按照租赁期开始日尚未支付的租赁付款额的现值进行初始计量。在计算租赁付款额的现值时，本公司采用租赁内含利率作为折现率；无法确定租赁内含利率的，采用本公司增量借款利率作为折现率。租赁付款额包括：</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扣除租赁激励相关金额后的固定付款额及实质固定付款额；</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取决于指数或比率的可变租赁付款额；</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在本公司合理确定将行使该选择权的情况下，租赁付款额包括购买选择权的行权价格；</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在租赁期反映出本公司将行使终止租赁选择权的情况下，租赁付款额包括行使终止租赁选择权需支付的款项；</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根据本公司提供的担保余值预计应支付的款项。</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本公司按照固定的折现率计算租赁负债在租赁期内各期间的利息费用，并计入当期损益或相关资产成本。</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未纳入租赁负债计量的可变租赁付款额应当在实际发生时计入当期损益或相关资产成本。</w:t>
      </w:r>
    </w:p>
    <w:p w:rsidR="00C526AC" w:rsidRDefault="00E0175D">
      <w:pPr>
        <w:keepNext/>
        <w:keepLines/>
        <w:spacing w:before="300" w:after="300" w:line="280" w:lineRule="exact"/>
        <w:jc w:val="left"/>
        <w:outlineLvl w:val="2"/>
        <w:rPr>
          <w:rFonts w:ascii="宋体" w:hAnsi="宋体" w:cs="宋体"/>
          <w:b/>
          <w:bCs/>
          <w:szCs w:val="21"/>
        </w:rPr>
      </w:pPr>
      <w:bookmarkStart w:id="61" w:name="_Toc989051"/>
      <w:r>
        <w:rPr>
          <w:rFonts w:ascii="宋体" w:hAnsi="宋体" w:cs="宋体"/>
          <w:b/>
          <w:bCs/>
          <w:szCs w:val="21"/>
        </w:rPr>
        <w:t>36、预计负债</w:t>
      </w:r>
      <w:bookmarkEnd w:id="61"/>
    </w:p>
    <w:p w:rsidR="00C526AC" w:rsidRDefault="00E0175D">
      <w:pPr>
        <w:pStyle w:val="a3"/>
        <w:widowControl/>
        <w:spacing w:beforeAutospacing="0" w:afterAutospacing="0"/>
        <w:ind w:right="782"/>
        <w:jc w:val="both"/>
        <w:rPr>
          <w:sz w:val="18"/>
          <w:szCs w:val="18"/>
        </w:rPr>
      </w:pPr>
      <w:r>
        <w:rPr>
          <w:rStyle w:val="a4"/>
          <w:sz w:val="21"/>
          <w:szCs w:val="21"/>
        </w:rPr>
        <w:t> 1.</w:t>
      </w:r>
      <w:r>
        <w:rPr>
          <w:rStyle w:val="a4"/>
          <w:rFonts w:ascii="宋体" w:hAnsi="宋体" w:cs="宋体" w:hint="eastAsia"/>
          <w:sz w:val="21"/>
          <w:szCs w:val="21"/>
        </w:rPr>
        <w:t>预计负债的确认标准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与或有事项相关的义务同时满足下列条件时，本公司确认为预计负债：</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该义务是本公司承担的现时义务；</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履行该义务很可能导致经济利益流出本公司；</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该义务的金额能够可靠地计量。</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预计负债的计量方法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本公司预计负债按履行相关现时义务所需的支出的最佳估计数进行初始计量。</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本公司在确定最佳估计数时，综合考虑与或有事项有关的风险、不确定性和货币时间价值等因素。对于货币时间价值影响重大的，通过对相关未来现金流出进行折现后确定最佳估计数。</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最佳估计数分别以下情况处理：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所需支出存在一个连续范围（或区间），且该范围内各种结果发生的可能性相同的，则最佳估计数按照该范围的中间值即上下限金额的平均数确定。</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本公司清偿预计负债所需支出全部或部分预期由第三方补偿的，补偿金额在基本确定能够收到时，作为资产单独确认，确认的补偿金额不超过预计负债的账面价值。</w:t>
      </w:r>
    </w:p>
    <w:p w:rsidR="00C526AC" w:rsidRDefault="00E0175D">
      <w:pPr>
        <w:keepNext/>
        <w:keepLines/>
        <w:spacing w:before="300" w:after="300" w:line="280" w:lineRule="exact"/>
        <w:jc w:val="left"/>
        <w:outlineLvl w:val="2"/>
        <w:rPr>
          <w:rFonts w:ascii="宋体" w:hAnsi="宋体" w:cs="宋体"/>
          <w:b/>
          <w:bCs/>
          <w:szCs w:val="21"/>
        </w:rPr>
      </w:pPr>
      <w:bookmarkStart w:id="62" w:name="_Toc989052"/>
      <w:r>
        <w:rPr>
          <w:rFonts w:ascii="宋体" w:hAnsi="宋体" w:cs="宋体"/>
          <w:b/>
          <w:bCs/>
          <w:szCs w:val="21"/>
        </w:rPr>
        <w:t>37、股份支付</w:t>
      </w:r>
      <w:bookmarkEnd w:id="62"/>
    </w:p>
    <w:p w:rsidR="00C526AC" w:rsidRDefault="00E0175D">
      <w:pPr>
        <w:pStyle w:val="a3"/>
        <w:widowControl/>
        <w:spacing w:beforeAutospacing="0" w:afterAutospacing="0"/>
        <w:jc w:val="both"/>
        <w:rPr>
          <w:sz w:val="18"/>
          <w:szCs w:val="18"/>
        </w:rPr>
      </w:pPr>
      <w:r>
        <w:rPr>
          <w:rStyle w:val="a4"/>
          <w:sz w:val="21"/>
          <w:szCs w:val="21"/>
        </w:rPr>
        <w:t> 1.</w:t>
      </w:r>
      <w:r>
        <w:rPr>
          <w:rStyle w:val="a4"/>
          <w:rFonts w:ascii="宋体" w:hAnsi="宋体" w:cs="宋体" w:hint="eastAsia"/>
          <w:sz w:val="21"/>
          <w:szCs w:val="21"/>
        </w:rPr>
        <w:t>股份支付的种类</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 本公司的股份支付分为以权益结算的股份支付和以现金结算的股份支付。</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权益工具公允价值的确定方法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于授予的存在活跃市场的期权等权益工具，按照活跃市场中的报价确定其公允价值。对于授予的不存在活跃市场的期权等权益工具，采用期权定价模型等确定其公允价值，选用的期权定价模型考虑以下因素：（1）期权的行权价格；（2）期权的有效期；（3）标的股份的现行价格；（4）股价预计波动率；（5）股份的预计股利；（6）期权有效期内的无风险利率。</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确定权益工具授予日的公允价值时，考虑股份支付协议规定的可行权条件中的市场条件和非可行权条件的影响。股份支付存在非可行权条件的，只要职工或其他方满足了所有可行权条件中的非市场条件（如服务期限等），即确认已得到服务相对应的成本费用。</w:t>
      </w:r>
    </w:p>
    <w:p w:rsidR="00C526AC" w:rsidRDefault="00E0175D">
      <w:pPr>
        <w:pStyle w:val="a3"/>
        <w:widowControl/>
        <w:spacing w:beforeAutospacing="0" w:afterAutospacing="0"/>
        <w:jc w:val="both"/>
        <w:rPr>
          <w:sz w:val="18"/>
          <w:szCs w:val="18"/>
        </w:rPr>
      </w:pPr>
      <w:r>
        <w:rPr>
          <w:rStyle w:val="a4"/>
          <w:sz w:val="21"/>
          <w:szCs w:val="21"/>
        </w:rPr>
        <w:t>    3.</w:t>
      </w:r>
      <w:r>
        <w:rPr>
          <w:rStyle w:val="a4"/>
          <w:rFonts w:ascii="宋体" w:hAnsi="宋体" w:cs="宋体" w:hint="eastAsia"/>
          <w:sz w:val="21"/>
          <w:szCs w:val="21"/>
        </w:rPr>
        <w:t>确定可行权权益工具最佳估计的依据</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等待期内每个资产负债表日，根据最新取得的可行权职工人数变动等后续信息作出最佳估计，修正预计可行权的权益工具数量。在可行权日，最终预计可行权权益工具的数量与实际可行权数量一致。</w:t>
      </w:r>
    </w:p>
    <w:p w:rsidR="00C526AC" w:rsidRDefault="00E0175D">
      <w:pPr>
        <w:pStyle w:val="a3"/>
        <w:widowControl/>
        <w:spacing w:beforeAutospacing="0" w:afterAutospacing="0"/>
        <w:jc w:val="both"/>
        <w:rPr>
          <w:sz w:val="18"/>
          <w:szCs w:val="18"/>
        </w:rPr>
      </w:pPr>
      <w:r>
        <w:rPr>
          <w:rStyle w:val="a4"/>
          <w:sz w:val="21"/>
          <w:szCs w:val="21"/>
        </w:rPr>
        <w:t>    4.</w:t>
      </w:r>
      <w:r>
        <w:rPr>
          <w:rStyle w:val="a4"/>
          <w:rFonts w:ascii="宋体" w:hAnsi="宋体" w:cs="宋体" w:hint="eastAsia"/>
          <w:sz w:val="21"/>
          <w:szCs w:val="21"/>
        </w:rPr>
        <w:t>会计处理方法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以权益结算的股份支付，按授予职工权益工具的公允价值计量。授予后立即可行权的，在授予日按照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权情况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若在等待期内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C526AC" w:rsidRDefault="00E0175D">
      <w:pPr>
        <w:keepNext/>
        <w:keepLines/>
        <w:spacing w:before="300" w:after="300" w:line="280" w:lineRule="exact"/>
        <w:jc w:val="left"/>
        <w:outlineLvl w:val="2"/>
        <w:rPr>
          <w:rFonts w:ascii="宋体" w:hAnsi="宋体" w:cs="宋体"/>
          <w:b/>
          <w:bCs/>
          <w:szCs w:val="21"/>
        </w:rPr>
      </w:pPr>
      <w:bookmarkStart w:id="63" w:name="_Toc989053"/>
      <w:r>
        <w:rPr>
          <w:rFonts w:ascii="宋体" w:hAnsi="宋体" w:cs="宋体"/>
          <w:b/>
          <w:bCs/>
          <w:szCs w:val="21"/>
        </w:rPr>
        <w:t>38、优先股、永续债等其他金融工具</w:t>
      </w:r>
      <w:bookmarkEnd w:id="63"/>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按照金融工具准则的规定，根据所发行优先股、永续债等金融工具的合同条款及其所反映的经济实质而非仅以法律形式，结合金融负债和权益工具的定义，在初始确认时将该金融工具或其组成部分分类为金融负债或权益工具：</w:t>
      </w:r>
    </w:p>
    <w:p w:rsidR="00C526AC" w:rsidRDefault="00E0175D">
      <w:pPr>
        <w:pStyle w:val="a3"/>
        <w:widowControl/>
        <w:spacing w:beforeAutospacing="0" w:afterAutospacing="0"/>
        <w:jc w:val="both"/>
        <w:rPr>
          <w:sz w:val="18"/>
          <w:szCs w:val="18"/>
        </w:rPr>
      </w:pPr>
      <w:r>
        <w:rPr>
          <w:rStyle w:val="a4"/>
          <w:sz w:val="21"/>
          <w:szCs w:val="21"/>
        </w:rPr>
        <w:t>    1.</w:t>
      </w:r>
      <w:r>
        <w:rPr>
          <w:rStyle w:val="a4"/>
          <w:rFonts w:ascii="宋体" w:hAnsi="宋体" w:cs="宋体" w:hint="eastAsia"/>
          <w:sz w:val="21"/>
          <w:szCs w:val="21"/>
        </w:rPr>
        <w:t>符合下列条件之一，将发行的金融工具分类为金融负债：</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（1）向其他方交付现金或其他金融资产的合同义务；</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 xml:space="preserve">（2）在潜在不利条件下，与其他方交换金融资产或金融负债的合同义务； </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（3）将来须用或可用企业自身权益工具进行结算的非衍生工具合同，且企业根据该合同将交付可变数量的自身权益工具；</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（4）将来须用或可用企业自身权益工具进行结算的衍生工具合同，但以固定数量的自身权益工具交换固定金额的现金或其他金融资产的衍生工具合同除外。</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同时满足下列条件的，将发行的金融工具分类为权益工具：</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（1）该金融工具不包括交付现金或其他金融资产给其他方，或在潜在不利条件下与其他方交换金融资产或金融负债的合同义务；</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 xml:space="preserve">（2）将来须用或可用企业自身权益工具结算该金融工具的，如该金融工具为非衍生工具，不包括交付可变数量的自身权益工具进行结算的合同义务；如为衍生工具，企业只能通过以固定数量的自身权益工具交换固定金额的现金或其他金融资产结算该金融工具。   </w:t>
      </w:r>
    </w:p>
    <w:p w:rsidR="00C526AC" w:rsidRDefault="00E0175D">
      <w:pPr>
        <w:pStyle w:val="a3"/>
        <w:widowControl/>
        <w:spacing w:beforeAutospacing="0" w:afterAutospacing="0"/>
        <w:jc w:val="both"/>
        <w:rPr>
          <w:sz w:val="18"/>
          <w:szCs w:val="18"/>
        </w:rPr>
      </w:pPr>
      <w:r>
        <w:rPr>
          <w:rStyle w:val="a4"/>
          <w:sz w:val="21"/>
          <w:szCs w:val="21"/>
        </w:rPr>
        <w:t>    3.</w:t>
      </w:r>
      <w:r>
        <w:rPr>
          <w:rStyle w:val="a4"/>
          <w:rFonts w:ascii="宋体" w:hAnsi="宋体" w:cs="宋体" w:hint="eastAsia"/>
          <w:sz w:val="21"/>
          <w:szCs w:val="21"/>
        </w:rPr>
        <w:t>会计处理方法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对于归类为权益工具的金融工具，其利息支出或股利分配都应当作为发行企业的利润分配，其回购、注销等作为权益的变动处理，手续费、佣金等交易费用从权益中扣除；</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对于归类为金融负债的金融工具，其利息支出或股利分配原则上按照借款费用进行处理，其回购或赎回产生的利得或损失等计入当期损益，手续费、佣金等交易费用计入所发行工具的初始计量金额。</w:t>
      </w:r>
    </w:p>
    <w:p w:rsidR="00C526AC" w:rsidRDefault="00E0175D">
      <w:pPr>
        <w:keepNext/>
        <w:keepLines/>
        <w:spacing w:before="300" w:after="300" w:line="280" w:lineRule="exact"/>
        <w:jc w:val="left"/>
        <w:outlineLvl w:val="2"/>
        <w:rPr>
          <w:rFonts w:ascii="宋体" w:hAnsi="宋体" w:cs="宋体"/>
          <w:b/>
          <w:bCs/>
          <w:szCs w:val="21"/>
        </w:rPr>
      </w:pPr>
      <w:bookmarkStart w:id="64" w:name="_Toc989054"/>
      <w:r>
        <w:rPr>
          <w:rFonts w:ascii="宋体" w:hAnsi="宋体" w:cs="宋体"/>
          <w:b/>
          <w:bCs/>
          <w:szCs w:val="21"/>
        </w:rPr>
        <w:t>39、收入</w:t>
      </w:r>
      <w:bookmarkEnd w:id="64"/>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收入确认和计量所采用的会计政策</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同类业务采用不同经营模式导致收入确认会计政策存在差异的情况</w:t>
      </w:r>
    </w:p>
    <w:p w:rsidR="00C526AC" w:rsidRDefault="00E0175D">
      <w:pPr>
        <w:keepNext/>
        <w:keepLines/>
        <w:spacing w:before="300" w:after="300" w:line="280" w:lineRule="exact"/>
        <w:jc w:val="left"/>
        <w:outlineLvl w:val="2"/>
        <w:rPr>
          <w:rFonts w:ascii="宋体" w:hAnsi="宋体" w:cs="宋体"/>
          <w:b/>
          <w:bCs/>
          <w:szCs w:val="21"/>
        </w:rPr>
      </w:pPr>
      <w:bookmarkStart w:id="65" w:name="_Toc989055"/>
      <w:r>
        <w:rPr>
          <w:rFonts w:ascii="宋体" w:hAnsi="宋体" w:cs="宋体"/>
          <w:b/>
          <w:bCs/>
          <w:szCs w:val="21"/>
        </w:rPr>
        <w:t>40、政府补助</w:t>
      </w:r>
      <w:bookmarkEnd w:id="65"/>
    </w:p>
    <w:p w:rsidR="00C526AC" w:rsidRDefault="00E0175D">
      <w:pPr>
        <w:pStyle w:val="a3"/>
        <w:widowControl/>
        <w:spacing w:beforeAutospacing="0" w:afterAutospacing="0"/>
        <w:ind w:right="782"/>
        <w:jc w:val="both"/>
        <w:rPr>
          <w:sz w:val="18"/>
          <w:szCs w:val="18"/>
        </w:rPr>
      </w:pPr>
      <w:r>
        <w:rPr>
          <w:rStyle w:val="a4"/>
          <w:sz w:val="21"/>
          <w:szCs w:val="21"/>
        </w:rPr>
        <w:t> 1.</w:t>
      </w:r>
      <w:r>
        <w:rPr>
          <w:rStyle w:val="a4"/>
          <w:rFonts w:ascii="宋体" w:hAnsi="宋体" w:cs="宋体" w:hint="eastAsia"/>
          <w:sz w:val="21"/>
          <w:szCs w:val="21"/>
        </w:rPr>
        <w:t>类型</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政府补助，是本公司从政府无偿取得的货币性资产与非货币性资产。根据相关政府文件规定的补助对象，将政府补助划分为与资产相关的政府补助和与收益相关的政府补助。</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于政府文件未明确补助对象的政府补助，公司根据实际补助对象划分为与资产相关的政府补助或与收益相关的政府补助，相关判断依据说明详见本财务报表附注六、注释【35.递延收益】/【注释54.营业外收入】。</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与资产相关的政府补助，是指本公司取得的、用于购建或以其他方式形成长期资产的政府补助。与收益相关的政府补助，是指除与资产相关的政府补助之外的政府补助。</w:t>
      </w:r>
    </w:p>
    <w:p w:rsidR="00C526AC" w:rsidRDefault="00E0175D">
      <w:pPr>
        <w:pStyle w:val="a3"/>
        <w:widowControl/>
        <w:spacing w:beforeAutospacing="0" w:afterAutospacing="0"/>
        <w:ind w:right="782"/>
        <w:jc w:val="both"/>
        <w:rPr>
          <w:sz w:val="18"/>
          <w:szCs w:val="18"/>
        </w:rPr>
      </w:pPr>
      <w:r>
        <w:rPr>
          <w:rStyle w:val="a4"/>
          <w:sz w:val="21"/>
          <w:szCs w:val="21"/>
        </w:rPr>
        <w:t>    2.</w:t>
      </w:r>
      <w:r>
        <w:rPr>
          <w:rStyle w:val="a4"/>
          <w:rFonts w:ascii="宋体" w:hAnsi="宋体" w:cs="宋体" w:hint="eastAsia"/>
          <w:sz w:val="21"/>
          <w:szCs w:val="21"/>
        </w:rPr>
        <w:t>政府补助的确认</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对期末有证据表明公司能够符合财政扶持政策规定的相关条件且预计能够收到财政扶持资金的，按应收金额确认政府补助。除此之外，政府补助均在实际收到时确认。</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政府补助为货币性资产的，按照收到或应收的金额计量。政府补助为非货币性资产的，按照公允价值计量；公允价值不能够可靠取得的，按照名义金额（人民币1元）计量。按照名义金额计量的政府补助，直接计入当期损益。</w:t>
      </w:r>
    </w:p>
    <w:p w:rsidR="00C526AC" w:rsidRDefault="00E0175D">
      <w:pPr>
        <w:pStyle w:val="a3"/>
        <w:widowControl/>
        <w:spacing w:beforeAutospacing="0" w:afterAutospacing="0"/>
        <w:jc w:val="both"/>
        <w:rPr>
          <w:sz w:val="18"/>
          <w:szCs w:val="18"/>
        </w:rPr>
      </w:pPr>
      <w:r>
        <w:rPr>
          <w:rStyle w:val="a4"/>
          <w:sz w:val="21"/>
          <w:szCs w:val="21"/>
        </w:rPr>
        <w:t>    3.</w:t>
      </w:r>
      <w:r>
        <w:rPr>
          <w:rStyle w:val="a4"/>
          <w:rFonts w:ascii="宋体" w:hAnsi="宋体" w:cs="宋体" w:hint="eastAsia"/>
          <w:sz w:val="21"/>
          <w:szCs w:val="21"/>
        </w:rPr>
        <w:t>会计处理方法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本公司根据经济业务的实质，确定某一类政府补助业务应当采用总额法还是净额法进行会计处理。通常情况下，本公司对于同类或类似政府补助业务只选用一种方法，且对该业务一贯地运用该方法。</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与资产相关的政府补助，应当冲减相关资产的账面价值或确认为递延收益。与资产相关的政府补助确认为递延收益的，在所建造或购买资产使用寿命内按照合理、系统的方法分期计入损益。</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与收益相关的政府补助，用于补偿企业以后期间的相关费用或损失的，确认为递延收益，在确认相关费用或损失的期间计入当期损益或冲减相关成本；用于补偿企业已发生的相关费用或损失的，取得时直接计入当期损益或冲减相关成本。</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与企业日常活动相关的政府补助计入其他收益或冲减相关成本费用；与企业日常活动无关的政府补助计入营业外收支。</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C526AC" w:rsidRDefault="00E0175D">
      <w:pPr>
        <w:keepNext/>
        <w:keepLines/>
        <w:spacing w:before="300" w:after="300" w:line="280" w:lineRule="exact"/>
        <w:jc w:val="left"/>
        <w:outlineLvl w:val="2"/>
        <w:rPr>
          <w:rFonts w:ascii="宋体" w:hAnsi="宋体" w:cs="宋体"/>
          <w:b/>
          <w:bCs/>
          <w:szCs w:val="21"/>
        </w:rPr>
      </w:pPr>
      <w:bookmarkStart w:id="66" w:name="_Toc989056"/>
      <w:r>
        <w:rPr>
          <w:rFonts w:ascii="宋体" w:hAnsi="宋体" w:cs="宋体"/>
          <w:b/>
          <w:bCs/>
          <w:szCs w:val="21"/>
        </w:rPr>
        <w:t>41、递延所得税资产/递延所得税负债</w:t>
      </w:r>
      <w:bookmarkEnd w:id="66"/>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递延所得税资产和递延所得税负债根据资产和负债的计税基础与其账面价值的差额(暂时性差异)计算确认。于资产负债表日，递延所得税资产和递延所得税负债，按照预期收回该资产或清偿该负债期间的适用税率计量。</w:t>
      </w:r>
    </w:p>
    <w:p w:rsidR="00C526AC" w:rsidRDefault="00E0175D">
      <w:pPr>
        <w:pStyle w:val="a3"/>
        <w:widowControl/>
        <w:spacing w:beforeAutospacing="0" w:afterAutospacing="0"/>
        <w:jc w:val="both"/>
        <w:rPr>
          <w:sz w:val="18"/>
          <w:szCs w:val="18"/>
        </w:rPr>
      </w:pPr>
      <w:r>
        <w:rPr>
          <w:rStyle w:val="a4"/>
          <w:rFonts w:ascii="宋体" w:hAnsi="宋体" w:cs="宋体" w:hint="eastAsia"/>
          <w:sz w:val="21"/>
          <w:szCs w:val="21"/>
        </w:rPr>
        <w:t>1、确认递延所得税资产的依据</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1）该交易不是企业合并；（2）交易发生时既不影响会计利润也不影响应纳税所得额或可抵扣亏损。</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C526AC" w:rsidRDefault="00E0175D">
      <w:pPr>
        <w:pStyle w:val="a3"/>
        <w:widowControl/>
        <w:spacing w:beforeAutospacing="0" w:afterAutospacing="0"/>
        <w:jc w:val="both"/>
        <w:rPr>
          <w:sz w:val="18"/>
          <w:szCs w:val="18"/>
        </w:rPr>
      </w:pPr>
      <w:r>
        <w:rPr>
          <w:rStyle w:val="a4"/>
          <w:rFonts w:ascii="宋体" w:hAnsi="宋体" w:cs="宋体" w:hint="eastAsia"/>
          <w:sz w:val="21"/>
          <w:szCs w:val="21"/>
        </w:rPr>
        <w:t>2、确认递延所得税负债的依据</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公司将当期与以前期间应交未交的应纳税暂时性差异确认为递延所得税负债。但不包括：</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（1）商誉的初始确认所形成的暂时性差异；</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（2）非企业合并形成的交易或事项，且该交易或事项发生时既不影响会计利润，也不影响应纳税所得额（或可抵扣亏损）所形成的暂时性差异；</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（3）对于与子公司、联营企业投资相关的应纳税暂时性差异，该暂时性差异转回的时间能够控制并且该暂时性差异在可预见的未来很可能不会转回。</w:t>
      </w:r>
    </w:p>
    <w:p w:rsidR="00C526AC" w:rsidRDefault="00E0175D">
      <w:pPr>
        <w:pStyle w:val="a3"/>
        <w:widowControl/>
        <w:spacing w:beforeAutospacing="0" w:afterAutospacing="0"/>
        <w:jc w:val="both"/>
        <w:rPr>
          <w:sz w:val="18"/>
          <w:szCs w:val="18"/>
        </w:rPr>
      </w:pPr>
      <w:r>
        <w:rPr>
          <w:rStyle w:val="a4"/>
          <w:rFonts w:ascii="宋体" w:hAnsi="宋体" w:cs="宋体" w:hint="eastAsia"/>
          <w:sz w:val="21"/>
          <w:szCs w:val="21"/>
        </w:rPr>
        <w:t>3、同时满足下列条件时，将递延所得税资产及递延所得税负债以抵销后的净额列示</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（1）企业拥有以净额结算当期所得税资产及当期所得税负债的法定权利；</w:t>
      </w:r>
    </w:p>
    <w:p w:rsidR="00C526AC" w:rsidRDefault="00E0175D">
      <w:pPr>
        <w:pStyle w:val="a3"/>
        <w:widowControl/>
      </w:pPr>
      <w:r>
        <w:rPr>
          <w:rFonts w:ascii="宋体" w:hAnsi="宋体" w:cs="宋体" w:hint="eastAsia"/>
          <w:sz w:val="18"/>
          <w:szCs w:val="18"/>
        </w:rPr>
        <w:t>（2）递延所得税资产和递延所得税负债是与同一税收征管部门对同一纳税主体征收的所得税相关或者对不同的纳税主体相关，但在未来每一具有重要性的递延所得税资产和递延所得税负债转回的期间内，涉及的纳税主体体意图以净额结算当期所得税资产及当期所得税负债或是同时取得资产、清偿债务。</w:t>
      </w:r>
    </w:p>
    <w:p w:rsidR="00C526AC" w:rsidRDefault="00E0175D">
      <w:pPr>
        <w:keepNext/>
        <w:keepLines/>
        <w:spacing w:before="300" w:after="300" w:line="280" w:lineRule="exact"/>
        <w:jc w:val="left"/>
        <w:outlineLvl w:val="2"/>
        <w:rPr>
          <w:rFonts w:ascii="宋体" w:hAnsi="宋体" w:cs="宋体"/>
          <w:b/>
          <w:bCs/>
          <w:szCs w:val="21"/>
        </w:rPr>
      </w:pPr>
      <w:bookmarkStart w:id="67" w:name="_Toc989057"/>
      <w:r>
        <w:rPr>
          <w:rFonts w:ascii="宋体" w:hAnsi="宋体" w:cs="宋体"/>
          <w:b/>
          <w:bCs/>
          <w:szCs w:val="21"/>
        </w:rPr>
        <w:t>42、租赁</w:t>
      </w:r>
      <w:bookmarkEnd w:id="67"/>
    </w:p>
    <w:p w:rsidR="00C526AC" w:rsidRDefault="00E0175D">
      <w:pPr>
        <w:keepNext/>
        <w:keepLines/>
        <w:spacing w:before="300" w:after="300" w:line="280" w:lineRule="exact"/>
        <w:jc w:val="left"/>
        <w:outlineLvl w:val="3"/>
        <w:rPr>
          <w:rFonts w:ascii="宋体" w:hAnsi="宋体" w:cs="宋体"/>
          <w:b/>
          <w:bCs/>
          <w:szCs w:val="21"/>
        </w:rPr>
      </w:pPr>
      <w:bookmarkStart w:id="68" w:name="_Toc989058"/>
      <w:r>
        <w:rPr>
          <w:rFonts w:ascii="宋体" w:hAnsi="宋体" w:cs="宋体"/>
          <w:b/>
          <w:bCs/>
          <w:szCs w:val="21"/>
        </w:rPr>
        <w:t>（1） 经营租赁的会计处理方法</w:t>
      </w:r>
      <w:bookmarkEnd w:id="68"/>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在合同开始日，本公司评估合同是否为租赁或者包含租赁。如果合同中一方让渡了在一定期间内控制一项或多项已识别资产使用的权利以换取对价，则该合同为租赁或者包含租赁。</w:t>
      </w:r>
    </w:p>
    <w:p w:rsidR="00C526AC" w:rsidRDefault="00E0175D">
      <w:pPr>
        <w:pStyle w:val="a3"/>
        <w:widowControl/>
        <w:spacing w:beforeAutospacing="0" w:afterAutospacing="0"/>
        <w:jc w:val="both"/>
        <w:rPr>
          <w:sz w:val="18"/>
          <w:szCs w:val="18"/>
        </w:rPr>
      </w:pPr>
      <w:r>
        <w:rPr>
          <w:rStyle w:val="a4"/>
          <w:sz w:val="21"/>
          <w:szCs w:val="21"/>
        </w:rPr>
        <w:t>    1.</w:t>
      </w:r>
      <w:r>
        <w:rPr>
          <w:rStyle w:val="a4"/>
          <w:rFonts w:ascii="宋体" w:hAnsi="宋体" w:cs="宋体" w:hint="eastAsia"/>
          <w:sz w:val="21"/>
          <w:szCs w:val="21"/>
        </w:rPr>
        <w:t>租赁合同的分拆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当合同中同时包含多项单独租赁的，本公司将合同予以分拆，并分别各项单独租赁进行会计处理。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当合同中同时包含租赁和非租赁部分的，本公司将租赁和非租赁部分进行分拆，租赁部分按照租赁准则进行会计处理，非租赁部分应当按照其他适用的企业会计准则进行会计处理。</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租赁合同的合并</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本公司与同一交易方或其关联方在同一时间或相近时间订立的两份或多份包含租赁的合同符合下列条件之一时，合并为一份合同进行会计处理：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（1）该两份或多份合同基于总体商业目的而订立并构成一揽子交易，若不作为整体考虑则无法理解其总体商业目的。</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（2）该两份或多份合同中的某份合同的对价金额取决于其他合同的定价或履行情况。</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（3）该两份或多份合同让渡的资产使用权合起来构成一项单独租赁。</w:t>
      </w:r>
    </w:p>
    <w:p w:rsidR="00C526AC" w:rsidRDefault="00E0175D">
      <w:pPr>
        <w:pStyle w:val="a3"/>
        <w:widowControl/>
        <w:spacing w:beforeAutospacing="0" w:afterAutospacing="0"/>
        <w:jc w:val="both"/>
        <w:rPr>
          <w:sz w:val="18"/>
          <w:szCs w:val="18"/>
        </w:rPr>
      </w:pPr>
      <w:r>
        <w:rPr>
          <w:rStyle w:val="a4"/>
          <w:sz w:val="21"/>
          <w:szCs w:val="21"/>
        </w:rPr>
        <w:t>    3.</w:t>
      </w:r>
      <w:r>
        <w:rPr>
          <w:rStyle w:val="a4"/>
          <w:rFonts w:ascii="宋体" w:hAnsi="宋体" w:cs="宋体" w:hint="eastAsia"/>
          <w:sz w:val="21"/>
          <w:szCs w:val="21"/>
        </w:rPr>
        <w:t>本公司作为承租人的会计处理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在租赁期开始日，除应用简化处理的短期租赁和低价值资产租赁外，本公司对租赁确认使用权资产和租赁负债。</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（1）短期租赁和低价值资产租赁</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短期租赁是指不包含购买选择权且租赁期不超过12个月的租赁。低价值资产租赁是指单项租赁资产为全新资产时价值较低的租赁，主要包括……。</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本公司对以下短期租赁和低价值资产租赁不确认使用权资产和租赁负债，相关租赁付款额在租赁期内各个期间按照直线法或其他系统合理的方法计入相关资产成本或当期损益。</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843"/>
        <w:gridCol w:w="7465"/>
      </w:tblGrid>
      <w:tr w:rsidR="00C526AC" w:rsidTr="007775F3">
        <w:trPr>
          <w:jc w:val="center"/>
        </w:trPr>
        <w:tc>
          <w:tcPr>
            <w:tcW w:w="1843" w:type="dxa"/>
            <w:tcBorders>
              <w:top w:val="single" w:sz="8" w:space="0" w:color="auto"/>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项目</w:t>
            </w:r>
          </w:p>
        </w:tc>
        <w:tc>
          <w:tcPr>
            <w:tcW w:w="7465" w:type="dxa"/>
            <w:tcBorders>
              <w:top w:val="single" w:sz="8" w:space="0" w:color="auto"/>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采用简化处理的租赁资产类别</w:t>
            </w:r>
          </w:p>
        </w:tc>
      </w:tr>
      <w:tr w:rsidR="00C526AC" w:rsidTr="007775F3">
        <w:trPr>
          <w:jc w:val="center"/>
        </w:trPr>
        <w:tc>
          <w:tcPr>
            <w:tcW w:w="1843"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短期租赁</w:t>
            </w:r>
          </w:p>
        </w:tc>
        <w:tc>
          <w:tcPr>
            <w:tcW w:w="746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center"/>
              <w:rPr>
                <w:sz w:val="18"/>
                <w:szCs w:val="18"/>
              </w:rPr>
            </w:pPr>
            <w:r>
              <w:rPr>
                <w:rFonts w:ascii="宋体" w:hAnsi="宋体" w:cs="宋体" w:hint="eastAsia"/>
                <w:sz w:val="18"/>
                <w:szCs w:val="18"/>
              </w:rPr>
              <w:t>租赁期在</w:t>
            </w:r>
            <w:r>
              <w:rPr>
                <w:sz w:val="18"/>
                <w:szCs w:val="18"/>
              </w:rPr>
              <w:t>1</w:t>
            </w:r>
            <w:r>
              <w:rPr>
                <w:rFonts w:ascii="宋体" w:hAnsi="宋体" w:cs="宋体" w:hint="eastAsia"/>
                <w:sz w:val="18"/>
                <w:szCs w:val="18"/>
              </w:rPr>
              <w:t>年及以下的租赁</w:t>
            </w:r>
          </w:p>
        </w:tc>
      </w:tr>
      <w:tr w:rsidR="00C526AC" w:rsidTr="007775F3">
        <w:trPr>
          <w:jc w:val="center"/>
        </w:trPr>
        <w:tc>
          <w:tcPr>
            <w:tcW w:w="1843" w:type="dxa"/>
            <w:tcBorders>
              <w:top w:val="nil"/>
              <w:left w:val="single" w:sz="8" w:space="0" w:color="auto"/>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rPr>
                <w:sz w:val="18"/>
                <w:szCs w:val="18"/>
              </w:rPr>
            </w:pPr>
            <w:r>
              <w:rPr>
                <w:rFonts w:ascii="宋体" w:hAnsi="宋体" w:cs="宋体" w:hint="eastAsia"/>
                <w:sz w:val="18"/>
                <w:szCs w:val="18"/>
              </w:rPr>
              <w:t>低价值资产租赁</w:t>
            </w:r>
          </w:p>
        </w:tc>
        <w:tc>
          <w:tcPr>
            <w:tcW w:w="7465" w:type="dxa"/>
            <w:tcBorders>
              <w:top w:val="nil"/>
              <w:left w:val="nil"/>
              <w:bottom w:val="single" w:sz="8" w:space="0" w:color="auto"/>
              <w:right w:val="single" w:sz="8" w:space="0" w:color="auto"/>
            </w:tcBorders>
            <w:shd w:val="clear" w:color="auto" w:fill="auto"/>
            <w:tcMar>
              <w:top w:w="10" w:type="dxa"/>
              <w:left w:w="10" w:type="dxa"/>
              <w:bottom w:w="10" w:type="dxa"/>
              <w:right w:w="10" w:type="dxa"/>
            </w:tcMar>
          </w:tcPr>
          <w:p w:rsidR="00C526AC" w:rsidRDefault="00E0175D">
            <w:pPr>
              <w:pStyle w:val="a3"/>
              <w:widowControl/>
              <w:spacing w:beforeAutospacing="0" w:afterAutospacing="0"/>
              <w:jc w:val="right"/>
              <w:rPr>
                <w:sz w:val="18"/>
                <w:szCs w:val="18"/>
              </w:rPr>
            </w:pPr>
            <w:r>
              <w:rPr>
                <w:sz w:val="18"/>
                <w:szCs w:val="18"/>
              </w:rPr>
              <w:t> </w:t>
            </w:r>
          </w:p>
        </w:tc>
      </w:tr>
    </w:tbl>
    <w:p w:rsidR="00C526AC" w:rsidRDefault="00E0175D">
      <w:pPr>
        <w:pStyle w:val="a3"/>
        <w:widowControl/>
        <w:spacing w:beforeAutospacing="0" w:afterAutospacing="0"/>
        <w:ind w:firstLine="420"/>
        <w:rPr>
          <w:sz w:val="18"/>
          <w:szCs w:val="18"/>
        </w:rPr>
      </w:pPr>
      <w:r>
        <w:rPr>
          <w:sz w:val="21"/>
          <w:szCs w:val="21"/>
        </w:rPr>
        <w:t> </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本公司对除上述以外的短期租赁和低价值资产租赁确认使用权资产和租赁负债。</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（2）使用权资产和租赁负债的会计政策详见本附注。</w:t>
      </w:r>
    </w:p>
    <w:p w:rsidR="00C526AC" w:rsidRDefault="00E0175D">
      <w:pPr>
        <w:pStyle w:val="a3"/>
        <w:widowControl/>
        <w:spacing w:beforeAutospacing="0" w:afterAutospacing="0"/>
        <w:jc w:val="both"/>
        <w:rPr>
          <w:sz w:val="18"/>
          <w:szCs w:val="18"/>
        </w:rPr>
      </w:pPr>
      <w:r>
        <w:rPr>
          <w:rStyle w:val="a4"/>
          <w:sz w:val="21"/>
          <w:szCs w:val="21"/>
        </w:rPr>
        <w:t>    4.</w:t>
      </w:r>
      <w:r>
        <w:rPr>
          <w:rStyle w:val="a4"/>
          <w:rFonts w:ascii="宋体" w:hAnsi="宋体" w:cs="宋体" w:hint="eastAsia"/>
          <w:sz w:val="21"/>
          <w:szCs w:val="21"/>
        </w:rPr>
        <w:t>本公司作为出租人的会计处理</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（1）租赁的分类</w:t>
      </w:r>
    </w:p>
    <w:p w:rsidR="00C526AC" w:rsidRDefault="00E0175D">
      <w:pPr>
        <w:pStyle w:val="a3"/>
        <w:widowControl/>
        <w:spacing w:beforeAutospacing="0" w:afterAutospacing="0"/>
        <w:ind w:firstLine="420"/>
        <w:jc w:val="both"/>
        <w:rPr>
          <w:sz w:val="18"/>
          <w:szCs w:val="18"/>
        </w:rPr>
      </w:pPr>
      <w:r>
        <w:rPr>
          <w:rFonts w:ascii="宋体" w:hAnsi="宋体" w:cs="宋体" w:hint="eastAsia"/>
          <w:sz w:val="18"/>
          <w:szCs w:val="18"/>
        </w:rPr>
        <w:t>本公司在租赁开始日将租赁分为融资租赁和经营租赁。融资租赁是指实质上转移了与租赁资产所有权有关的几乎全部风险和报酬的租赁，其所有权最终可能转移，也可能不转移。经营租赁是指除融资租赁以</w:t>
      </w:r>
      <w:r>
        <w:rPr>
          <w:rFonts w:ascii="宋体" w:hAnsi="宋体" w:cs="宋体" w:hint="eastAsia"/>
          <w:sz w:val="21"/>
          <w:szCs w:val="21"/>
        </w:rPr>
        <w:t>外的其他租赁。</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一项租赁存在下列一种或多种情形的，本公司通常分类为融资租赁：</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1）在租赁期届满时，租赁资产的所有权转移给承租人。</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2）承租人有购买租赁资产的选择权，所订立的购买价款与预计行使选择权时租赁资产的公允价值相比足够低，因而在租赁开始日就可以合理确定承租人将行使该选择权。</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3）资产的所有权虽然不转移，但租赁期占租赁资产使用寿命的大部分。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4）在租赁开始日，租赁收款额的现值几乎相当于租赁资产的公允价值。</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5）租赁资产性质特殊，如果不作较大改造，只有承租人才能使用。</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一项租赁存在下列一项或多项迹象的，本公司也可能分类为融资租赁：</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1）若承租人撤销租赁，撤销租赁对出租人造成的损失由承租人承担。</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2）资产余值的公允价值波动所产生的利得或损失归属于承租人。</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3）承租人有能力以远低于市场水平的租金继续租赁至下一期间。</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（2）对融资租赁的会计处理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在租赁期开始日，本公司对融资租赁确认应收融资租赁款，并终止确认融资租赁资产。</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应收融资租赁款初始计量时，以未担保余值和租赁期开始日尚未收到的租赁收款额按照租赁内含利率折现的现值之和作为应收融资租赁款的入账价值。租赁收款额包括：</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1）扣除租赁激励相关金额后的固定付款额及实质固定付款额；</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2）取决于指数或比率的可变租赁付款额；</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3）合理确定承租人将行使购买选择权的情况下，租赁收款额包括购买选择权的行权价格；</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4）租赁期反映出承租人将行使终止租赁选择权的情况下，租赁收款额包括承租人行使终止租赁选择权需支付的款项；</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5）由承租人、与承租人有关的一方以及有经济能力履行担保义务的独立第三方向出租人提供的担保余值。</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本公司按照固定的租赁内含利率计算并确认租赁期内各个期间的利息收入，所取得的未纳入租赁投资净额计量的可变租赁付款额在实际发生时计入当期损益。</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（3）对经营租赁的会计处理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本公司在租赁期内各个期间采用直线法或其他系统合理的方法，将经营租赁的租赁收款额确认为租金收入；发生的与经营租赁有关的初始直接费用资本化，在租赁期内按照与租金收入确认相同的基础进行分摊，分期计入当期损益；取得的与经营租赁有关的未计入租赁收款额的可变租赁付款额，在实际发生时计入当期损益。</w:t>
      </w:r>
    </w:p>
    <w:p w:rsidR="00C526AC" w:rsidRDefault="00E0175D">
      <w:pPr>
        <w:pStyle w:val="a3"/>
        <w:widowControl/>
        <w:spacing w:beforeAutospacing="0" w:afterAutospacing="0"/>
        <w:jc w:val="both"/>
        <w:rPr>
          <w:sz w:val="18"/>
          <w:szCs w:val="18"/>
        </w:rPr>
      </w:pPr>
      <w:r>
        <w:rPr>
          <w:rStyle w:val="a4"/>
          <w:sz w:val="21"/>
          <w:szCs w:val="21"/>
        </w:rPr>
        <w:t>    5.</w:t>
      </w:r>
      <w:r>
        <w:rPr>
          <w:rStyle w:val="a4"/>
          <w:rFonts w:ascii="宋体" w:hAnsi="宋体" w:cs="宋体" w:hint="eastAsia"/>
          <w:sz w:val="21"/>
          <w:szCs w:val="21"/>
        </w:rPr>
        <w:t>售后租回交易</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售后租回交易中的资产转让属于销售的，本公司按原资产账面价值中与租回获得的使用权有关的部分，计量售后租回所形成的使用权资产，并仅就转让至出租人的权利确认相关利得或损失。如果销售对价的公允价值与资产的公允价值不同，或者出租人未按市场价格收取租金，本公司将销售对价低于市场价格的款项作为预付租金进行会计处理，将高于市场价格的款项作为出租人向承租人提供的额外融资进行会计处理；同时按照公允价值调整相关销售利得或损失。</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售后租回交易中的资产转让不属于销售的，本公司继续确认被转让资产，同时确认一项与转让收入等额的金融负债。</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售后租回交易中的资产转让属于销售的，本公司按照资产购买进行相应会计处理，并根据租赁准则对资产出租进行会计处理。如果销售对价的公允价值与资产的公允价值不同，或者本公司未按市场价格收取租金，本公司将销售对价低于市场价格的款项作为预收租金进行会计处理，将高于市场价格的款项作为本公司向承租人提供的额外融资进行会计处理；同时按市场价格调整租金收入。</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售后租回交易中的资产转让不属于销售的，本公司确认一项与转让收入等额的金融资产。</w:t>
      </w:r>
    </w:p>
    <w:p w:rsidR="00C526AC" w:rsidRDefault="00E0175D">
      <w:pPr>
        <w:keepNext/>
        <w:keepLines/>
        <w:spacing w:before="300" w:after="300" w:line="280" w:lineRule="exact"/>
        <w:jc w:val="left"/>
        <w:outlineLvl w:val="3"/>
        <w:rPr>
          <w:rFonts w:ascii="宋体" w:hAnsi="宋体" w:cs="宋体"/>
          <w:b/>
          <w:bCs/>
          <w:szCs w:val="21"/>
        </w:rPr>
      </w:pPr>
      <w:bookmarkStart w:id="69" w:name="_Toc989059"/>
      <w:r>
        <w:rPr>
          <w:rFonts w:ascii="宋体" w:hAnsi="宋体" w:cs="宋体"/>
          <w:b/>
          <w:bCs/>
          <w:szCs w:val="21"/>
        </w:rPr>
        <w:t>（2） 融资租赁的会计处理方法</w:t>
      </w:r>
      <w:bookmarkEnd w:id="69"/>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70" w:name="_Toc989060"/>
      <w:r>
        <w:rPr>
          <w:rFonts w:ascii="宋体" w:hAnsi="宋体" w:cs="宋体"/>
          <w:b/>
          <w:bCs/>
          <w:szCs w:val="21"/>
        </w:rPr>
        <w:t>43、其他重要的会计政策和会计估计</w:t>
      </w:r>
      <w:bookmarkEnd w:id="70"/>
    </w:p>
    <w:p w:rsidR="00C526AC" w:rsidRDefault="00E0175D">
      <w:pPr>
        <w:pStyle w:val="a3"/>
        <w:widowControl/>
        <w:spacing w:before="120" w:beforeAutospacing="0" w:afterAutospacing="0"/>
        <w:jc w:val="both"/>
        <w:rPr>
          <w:sz w:val="18"/>
          <w:szCs w:val="18"/>
        </w:rPr>
      </w:pPr>
      <w:r>
        <w:rPr>
          <w:rStyle w:val="a4"/>
          <w:rFonts w:ascii="宋体" w:hAnsi="宋体" w:cs="宋体" w:hint="eastAsia"/>
          <w:sz w:val="21"/>
          <w:szCs w:val="21"/>
        </w:rPr>
        <w:t>一、终止经营</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本公司将满足下列条件之一的，且该组成部分已经处置或划归为持有待售类别的、能够单独区分的组成部分确认为终止经营组成部分：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（1）该组成部分代表一项独立的主要业务或一个单独的主要经营地区。</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（2）该组成部分是拟对一项独立的主要业务或一个单独的主要经营地区进行处置的一项相关联计划的一部分。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（3）该组成部分是专为转售而取得的子公司。</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终止经营的减值损失和转回金额等经营损益及处置损益作为终止经营损益在利润表中列示。</w:t>
      </w:r>
    </w:p>
    <w:p w:rsidR="00C526AC" w:rsidRDefault="00E0175D">
      <w:pPr>
        <w:pStyle w:val="a3"/>
        <w:widowControl/>
        <w:spacing w:before="120" w:beforeAutospacing="0" w:afterAutospacing="0"/>
        <w:jc w:val="both"/>
        <w:rPr>
          <w:sz w:val="18"/>
          <w:szCs w:val="18"/>
        </w:rPr>
      </w:pPr>
      <w:r>
        <w:rPr>
          <w:rStyle w:val="a4"/>
          <w:rFonts w:ascii="宋体" w:hAnsi="宋体" w:cs="宋体" w:hint="eastAsia"/>
          <w:sz w:val="21"/>
          <w:szCs w:val="21"/>
        </w:rPr>
        <w:t>二、套期会计</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本公司按照套期关系，将套期保值划分为公允价值套期、现金流量套期和境外净投资套期。</w:t>
      </w:r>
    </w:p>
    <w:p w:rsidR="00C526AC" w:rsidRDefault="00E0175D">
      <w:pPr>
        <w:pStyle w:val="a3"/>
        <w:widowControl/>
        <w:spacing w:beforeAutospacing="0" w:afterAutospacing="0"/>
        <w:jc w:val="both"/>
        <w:rPr>
          <w:sz w:val="18"/>
          <w:szCs w:val="18"/>
        </w:rPr>
      </w:pPr>
      <w:r>
        <w:rPr>
          <w:rStyle w:val="a4"/>
          <w:sz w:val="21"/>
          <w:szCs w:val="21"/>
        </w:rPr>
        <w:t>    1.</w:t>
      </w:r>
      <w:r>
        <w:rPr>
          <w:rStyle w:val="a4"/>
          <w:rFonts w:ascii="宋体" w:hAnsi="宋体" w:cs="宋体" w:hint="eastAsia"/>
          <w:sz w:val="21"/>
          <w:szCs w:val="21"/>
        </w:rPr>
        <w:t>对于同时满足下列条件的套期工具，运用套期会计方法进行处理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（1）套期关系仅由符合条件的套期工具和被套期项目组成。</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（2）在套期开始时，本公司正式指定了套期工具和被套期项目，并准备了关于套期关系和从事套期的风险管理策略和风险管理目标的书面文件。</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（3）套期关系符合套期有效性要求。</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套期同时满足下列条件的，认定套期关系符合套期有效性要求：</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1）被套期项目和套期工具之间存在经济关系。该经济关系使得套期工具和被套期项目的价值因面临相同的被套期风险而发生方向相反的变动。</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2）被套期项目和套期工具经济关系产生的价值变动中，信用风险的影响不占主导地位。</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套期关系的套期比率，等于公司实际套期的被套期项目数量与对其进行套期的套期工具实际数量之比，但不反映被套期项目和套期工具相对权重的失衡，这种失衡会导致套期无效，并可能产生与套期会计目标不一致的会计结果。</w:t>
      </w:r>
    </w:p>
    <w:p w:rsidR="00C526AC" w:rsidRDefault="00E0175D">
      <w:pPr>
        <w:pStyle w:val="a3"/>
        <w:widowControl/>
        <w:spacing w:beforeAutospacing="0" w:afterAutospacing="0"/>
        <w:jc w:val="both"/>
        <w:rPr>
          <w:sz w:val="18"/>
          <w:szCs w:val="18"/>
        </w:rPr>
      </w:pPr>
      <w:r>
        <w:rPr>
          <w:rStyle w:val="a4"/>
          <w:sz w:val="21"/>
          <w:szCs w:val="21"/>
        </w:rPr>
        <w:t>    2.</w:t>
      </w:r>
      <w:r>
        <w:rPr>
          <w:rStyle w:val="a4"/>
          <w:rFonts w:ascii="宋体" w:hAnsi="宋体" w:cs="宋体" w:hint="eastAsia"/>
          <w:sz w:val="21"/>
          <w:szCs w:val="21"/>
        </w:rPr>
        <w:t>公允价值套期会计处理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套期工具产生的利得或损失计入当期损益。如果套期工具是对选择以公允价值计量且其变动计入其他综合收益的非交易性权益工具投资（或其组成部分）进行套期的，套期工具产生的利得或损失计入其他综合收益。</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被套期项目因被套期风险敞口形成的利得或损失计入当期损益，同时调整未以公允价值计量的已确认被套期项目的账面价值。被套期项目为以公允价值计量且其变动计入其他综合收益的金融资产（或其组成部分）的，其因被套期风险敞口形成的利得或损失计入当期损益，其账面价值已经按公允价值计量，不需要调整；被套期项目为公司选择以公允价值计量且其变动计入其他综合收益的非交易性权益工具投资（或其组成部分）的，其因被套期风险敞口形成的利得或损失计入其他综合收益，其账面价值已经按公允价值计量，不需要调整。</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被套期项目为尚未确认的确定承诺（或其组成部分）的，其在套期关系指定后因被套期风险引起的公允价值累计变动额确认为一项资产或负债，相关的利得或损失计入各相关期间损益。当履行确定承诺而取得资产或承担负债时，调整该资产或负债的初始确认金额，以包括已确认的被套期项目的公允价值累计变动额。</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被套期项目为以摊余成本计量的金融工具（或其组成部分）的，对被套期项目账面价值所作的调整按照开始摊销日重新计算的实际利率进行摊销，并计入当期损益。该摊销可以自调整日开始，但不晚于对被套期项目终止进行套期利得和损失调整的时点。被套期项目为以公允价值计量且其变动计入其他综合收益的金融资产（或其组成部分）的，则按照相同的方式对累计已确认的套期利得或损失进行摊销，并计入当期损益，但不调整金融资产（或其组成部分）的账面价值。</w:t>
      </w:r>
    </w:p>
    <w:p w:rsidR="00C526AC" w:rsidRDefault="00E0175D">
      <w:pPr>
        <w:pStyle w:val="a3"/>
        <w:widowControl/>
        <w:spacing w:beforeAutospacing="0" w:afterAutospacing="0"/>
        <w:jc w:val="both"/>
        <w:rPr>
          <w:sz w:val="18"/>
          <w:szCs w:val="18"/>
        </w:rPr>
      </w:pPr>
      <w:r>
        <w:rPr>
          <w:rStyle w:val="a4"/>
          <w:sz w:val="21"/>
          <w:szCs w:val="21"/>
        </w:rPr>
        <w:t>    3.</w:t>
      </w:r>
      <w:r>
        <w:rPr>
          <w:rStyle w:val="a4"/>
          <w:rFonts w:ascii="宋体" w:hAnsi="宋体" w:cs="宋体" w:hint="eastAsia"/>
          <w:sz w:val="21"/>
          <w:szCs w:val="21"/>
        </w:rPr>
        <w:t>现金流量套期会计处理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（1）套期工具产生的利得或损失中属于套期有效的部分，作为现金流量套期储备，计入其他综合收益。现金流量套期储备的金额，按照下列两项的绝对额中较低者确定：</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1）套期工具自套期开始的累计利得或损失；</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2）被套期项目自套期开始的预计未来现金流量现值的累计变动额。每期计入其他综合收益的现金流量套期储备的金额为当期现金流量套期储备的变动额。</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（2）套期工具产生的利得或损失中属于套期无效的部分（即扣除计入其他综合收益后的其他利得或损失），计入当期损益。</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（3）现金流量套期储备的金额，按照下列规定处理：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被套期项目为预期交易，且该预期交易使公司随后确认一项非金融资产或非金融负债的，或者非金融资产或非金融负债的预期交易形成一项适用于公允价值套期会计的确定承诺时，则将原在其他综合收益中确认的现金流量套期储备金额转出，计入该资产或负债的初始确认金额。</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2）对于不属于前一条涉及的现金流量套期，在被套期的预期现金流量影响损益的相同期间，将原在其他综合收益中确认的现金流量套期储备金额转出，计入当期损益。</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3）如果在其他综合收益中确认的现金流量套期储备金额是一项损失，且该损失全部或部分预计在未来会计期间不能弥补的，则在预计不能弥补时，将预计不能弥补的部分从其他综合收益中转出，计入当期损益。</w:t>
      </w:r>
    </w:p>
    <w:p w:rsidR="00C526AC" w:rsidRDefault="00E0175D">
      <w:pPr>
        <w:pStyle w:val="a3"/>
        <w:widowControl/>
        <w:spacing w:beforeAutospacing="0" w:afterAutospacing="0"/>
        <w:jc w:val="both"/>
        <w:rPr>
          <w:sz w:val="18"/>
          <w:szCs w:val="18"/>
        </w:rPr>
      </w:pPr>
      <w:r>
        <w:rPr>
          <w:rStyle w:val="a4"/>
          <w:sz w:val="21"/>
          <w:szCs w:val="21"/>
        </w:rPr>
        <w:t>    4.</w:t>
      </w:r>
      <w:r>
        <w:rPr>
          <w:rStyle w:val="a4"/>
          <w:rFonts w:ascii="宋体" w:hAnsi="宋体" w:cs="宋体" w:hint="eastAsia"/>
          <w:sz w:val="21"/>
          <w:szCs w:val="21"/>
        </w:rPr>
        <w:t>境外经营净投资套期</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对境外经营净投资的套期，包括对作为净投资的一部分进行会计处理的货币性项目的套期，本公司按照类似于现金流量套期会计的规定处理:</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    (1)套期工具形成的利得或损失中属于套期有效的部分，应当计入其他综合收益。</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全部或部分处置境外经营时，上述计入其他综合收益的套期工具利得或损失应当相应转出，计入当期损益。</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    (2)套期工具形成的利得或损失中属于套期无效的部分，应当计入当期损益。</w:t>
      </w:r>
    </w:p>
    <w:p w:rsidR="00C526AC" w:rsidRDefault="00E0175D">
      <w:pPr>
        <w:pStyle w:val="a3"/>
        <w:widowControl/>
        <w:spacing w:beforeAutospacing="0" w:afterAutospacing="0"/>
        <w:jc w:val="both"/>
        <w:rPr>
          <w:sz w:val="18"/>
          <w:szCs w:val="18"/>
        </w:rPr>
      </w:pPr>
      <w:r>
        <w:rPr>
          <w:rStyle w:val="a4"/>
          <w:sz w:val="21"/>
          <w:szCs w:val="21"/>
        </w:rPr>
        <w:t>   5.</w:t>
      </w:r>
      <w:r>
        <w:rPr>
          <w:rStyle w:val="a4"/>
          <w:rFonts w:ascii="宋体" w:hAnsi="宋体" w:cs="宋体" w:hint="eastAsia"/>
          <w:sz w:val="21"/>
          <w:szCs w:val="21"/>
        </w:rPr>
        <w:t>终止运用套期会计</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对于发生下列情形之一的，则终止运用套期会计：</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（1）因风险管理目标发生变化，导致套期关系不再满足风险管理目标。</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（2）套期工具已到期、被出售、合同终止或已行使。</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（3）被套期项目与套期工具之间不再存在经济关系，或者被套期项目和套期工具经济关系产生的价值变动中，信用风险的影响开始占主导地位。</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4）套期关系不再满足本准则所规定的运用套期会计方法的其他条件。在适用套期关系再平衡的情况下，企业应当首先考虑套期关系再平衡，然后评估套期关系是否满足本准则所规定的运用套期会计方法的条件。</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终止套期会计可能会影响套期关系的整体或其中一部分，在仅影响其中一部分时，剩余未受影响的部分仍适用套期会计。</w:t>
      </w:r>
    </w:p>
    <w:p w:rsidR="00C526AC" w:rsidRDefault="00E0175D">
      <w:pPr>
        <w:pStyle w:val="a3"/>
        <w:widowControl/>
        <w:spacing w:beforeAutospacing="0" w:afterAutospacing="0"/>
        <w:jc w:val="both"/>
        <w:rPr>
          <w:sz w:val="18"/>
          <w:szCs w:val="18"/>
        </w:rPr>
      </w:pPr>
      <w:r>
        <w:rPr>
          <w:rStyle w:val="a4"/>
          <w:sz w:val="21"/>
          <w:szCs w:val="21"/>
        </w:rPr>
        <w:t>    6.</w:t>
      </w:r>
      <w:r>
        <w:rPr>
          <w:rStyle w:val="a4"/>
          <w:rFonts w:ascii="宋体" w:hAnsi="宋体" w:cs="宋体" w:hint="eastAsia"/>
          <w:sz w:val="21"/>
          <w:szCs w:val="21"/>
        </w:rPr>
        <w:t>信用风险敞口的公允价值选择</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当使用以公允价值计量且其变动计入当期损益的信用衍生工具管理金融工具（或其组成部分）的信用风险敞口时，可以在该金融工具（或其组成部分）初始确认时、后续计量中或尚未确认时，将其指定为以公允价值计量且其变动计入当期损益的金融工具，并同时作出书面记录，但应同时满足下列条件：</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（1）金融工具信用风险敞口的主体（如借款人或贷款承诺持有人）与信用衍生工具涉及的主体相一致；</w:t>
      </w:r>
    </w:p>
    <w:p w:rsidR="00C526AC" w:rsidRDefault="004D4867">
      <w:pPr>
        <w:pStyle w:val="a3"/>
        <w:widowControl/>
      </w:pPr>
      <w:r>
        <w:rPr>
          <w:rFonts w:ascii="宋体" w:hAnsi="宋体" w:cs="宋体" w:hint="eastAsia"/>
          <w:sz w:val="18"/>
          <w:szCs w:val="18"/>
        </w:rPr>
        <w:t xml:space="preserve">     </w:t>
      </w:r>
      <w:r w:rsidR="00E0175D">
        <w:rPr>
          <w:rFonts w:ascii="宋体" w:hAnsi="宋体" w:cs="宋体" w:hint="eastAsia"/>
          <w:sz w:val="18"/>
          <w:szCs w:val="18"/>
        </w:rPr>
        <w:t>（2）金融工具的偿付级次与根据信用衍生工具条款须交付的工具的偿付级次相一致。</w:t>
      </w:r>
    </w:p>
    <w:p w:rsidR="00C526AC" w:rsidRDefault="00E0175D">
      <w:pPr>
        <w:keepNext/>
        <w:keepLines/>
        <w:spacing w:before="300" w:after="300" w:line="280" w:lineRule="exact"/>
        <w:jc w:val="left"/>
        <w:outlineLvl w:val="2"/>
        <w:rPr>
          <w:rFonts w:ascii="宋体" w:hAnsi="宋体" w:cs="宋体"/>
          <w:b/>
          <w:bCs/>
          <w:szCs w:val="21"/>
        </w:rPr>
      </w:pPr>
      <w:bookmarkStart w:id="71" w:name="_Toc989061"/>
      <w:r>
        <w:rPr>
          <w:rFonts w:ascii="宋体" w:hAnsi="宋体" w:cs="宋体"/>
          <w:b/>
          <w:bCs/>
          <w:szCs w:val="21"/>
        </w:rPr>
        <w:t>44、重要会计政策和会计估计变更</w:t>
      </w:r>
      <w:bookmarkEnd w:id="71"/>
    </w:p>
    <w:p w:rsidR="00C526AC" w:rsidRDefault="00E0175D">
      <w:pPr>
        <w:keepNext/>
        <w:keepLines/>
        <w:spacing w:before="300" w:after="300" w:line="280" w:lineRule="exact"/>
        <w:jc w:val="left"/>
        <w:outlineLvl w:val="3"/>
        <w:rPr>
          <w:rFonts w:ascii="宋体" w:hAnsi="宋体" w:cs="宋体"/>
          <w:b/>
          <w:bCs/>
          <w:sz w:val="18"/>
          <w:szCs w:val="18"/>
        </w:rPr>
      </w:pPr>
      <w:bookmarkStart w:id="72" w:name="_Toc989062"/>
      <w:r>
        <w:rPr>
          <w:rFonts w:ascii="宋体" w:hAnsi="宋体" w:cs="宋体"/>
          <w:b/>
          <w:bCs/>
          <w:sz w:val="18"/>
          <w:szCs w:val="18"/>
        </w:rPr>
        <w:t>（1） 重要会计政策变更</w:t>
      </w:r>
      <w:bookmarkEnd w:id="72"/>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 w:val="18"/>
          <w:szCs w:val="18"/>
        </w:rPr>
      </w:pPr>
      <w:bookmarkStart w:id="73" w:name="_Toc989063"/>
      <w:r>
        <w:rPr>
          <w:rFonts w:ascii="宋体" w:hAnsi="宋体" w:cs="宋体"/>
          <w:b/>
          <w:bCs/>
          <w:sz w:val="18"/>
          <w:szCs w:val="18"/>
        </w:rPr>
        <w:t>（2） 重要会计估计变更</w:t>
      </w:r>
      <w:bookmarkEnd w:id="73"/>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74" w:name="_Toc989064"/>
      <w:r>
        <w:rPr>
          <w:rFonts w:ascii="宋体" w:hAnsi="宋体" w:cs="宋体"/>
          <w:b/>
          <w:bCs/>
          <w:szCs w:val="21"/>
        </w:rPr>
        <w:t>45、其他</w:t>
      </w:r>
      <w:bookmarkEnd w:id="74"/>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75" w:name="_Toc989065"/>
      <w:r>
        <w:rPr>
          <w:rFonts w:ascii="宋体" w:hAnsi="宋体" w:cs="宋体"/>
          <w:b/>
          <w:bCs/>
          <w:sz w:val="24"/>
          <w:szCs w:val="24"/>
        </w:rPr>
        <w:t>六、税项</w:t>
      </w:r>
      <w:bookmarkEnd w:id="75"/>
    </w:p>
    <w:p w:rsidR="00C526AC" w:rsidRDefault="00E0175D">
      <w:pPr>
        <w:keepNext/>
        <w:keepLines/>
        <w:spacing w:before="300" w:after="300" w:line="280" w:lineRule="exact"/>
        <w:jc w:val="left"/>
        <w:outlineLvl w:val="2"/>
        <w:rPr>
          <w:rFonts w:ascii="宋体" w:hAnsi="宋体" w:cs="宋体"/>
          <w:b/>
          <w:bCs/>
          <w:szCs w:val="21"/>
        </w:rPr>
      </w:pPr>
      <w:bookmarkStart w:id="76" w:name="_Toc989066"/>
      <w:r>
        <w:rPr>
          <w:rFonts w:ascii="宋体" w:hAnsi="宋体" w:cs="宋体"/>
          <w:b/>
          <w:bCs/>
          <w:szCs w:val="21"/>
        </w:rPr>
        <w:t>1、主要税种及税率</w:t>
      </w:r>
      <w:bookmarkEnd w:id="7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税种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税率</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销售货物、应税劳务收入和应税服务收入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13%、10%、9%、6%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实缴流转税税额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7%、5%、3%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实缴流转税税额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地方教育费附加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实缴流转税税额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水利基金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0.1%</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存在不同企业所得税税率纳税主体的，披露情况说明</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所得税税率</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本公司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香港华孚贸易</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16.5%</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香港华孚有限(1)</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16.5%</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香港天成</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16.5%</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新加坡耀佳</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17.0%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浙江色纺</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阿克苏华孚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新疆天宏新八棉</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石河子标配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新疆华孚集团</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阿克苏标信</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澳门华孚(2)</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顺道实业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越南英鸿</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伽师棉业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岳普湖棉业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泽普棉业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叶城棉业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阿瓦提银花</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库车银花</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沙雅银花</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新和银花</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库车纵横</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库车恒丰</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呼图壁宏盛</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华孚恒丰</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石河子宏盛棉业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九江中浩</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胡杨河宏盛棉业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阿瓦提华孚（3）</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10.0%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平湖华孚</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诸暨广昊</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卡拉美拉</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15.0%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25.0%</w:t>
            </w:r>
          </w:p>
        </w:tc>
      </w:tr>
    </w:tbl>
    <w:p w:rsidR="00C526AC" w:rsidRDefault="00E0175D">
      <w:pPr>
        <w:keepNext/>
        <w:keepLines/>
        <w:spacing w:before="300" w:after="300" w:line="280" w:lineRule="exact"/>
        <w:jc w:val="left"/>
        <w:outlineLvl w:val="2"/>
        <w:rPr>
          <w:rFonts w:ascii="宋体" w:hAnsi="宋体" w:cs="宋体"/>
          <w:b/>
          <w:bCs/>
          <w:szCs w:val="21"/>
        </w:rPr>
      </w:pPr>
      <w:bookmarkStart w:id="77" w:name="_Toc989067"/>
      <w:r>
        <w:rPr>
          <w:rFonts w:ascii="宋体" w:hAnsi="宋体" w:cs="宋体"/>
          <w:b/>
          <w:bCs/>
          <w:szCs w:val="21"/>
        </w:rPr>
        <w:t>2、税收优惠</w:t>
      </w:r>
      <w:bookmarkEnd w:id="77"/>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(1)香港华孚有限自2012年1月1日起被国家税务总局认定为居民企业，相关股利分红的税收制度享受居民企业待遇。</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澳门华孚取得了澳门贸易投资促进局核发的离岸业务牌照，在满足以下3个条件，可豁免澳门所得补充税：1）只采用非澳门币为交易及结算之货币；2）只针对非澳门特区居民为销售对象；3）只针对非澳门特区市场。</w:t>
      </w:r>
    </w:p>
    <w:p w:rsidR="00C526AC" w:rsidRDefault="00E0175D">
      <w:pPr>
        <w:widowControl/>
        <w:numPr>
          <w:ilvl w:val="0"/>
          <w:numId w:val="5"/>
        </w:numPr>
        <w:spacing w:beforeAutospacing="1" w:afterAutospacing="1"/>
      </w:pPr>
      <w:r>
        <w:rPr>
          <w:rStyle w:val="a4"/>
          <w:rFonts w:ascii="宋体" w:hAnsi="宋体" w:cs="宋体" w:hint="eastAsia"/>
          <w:szCs w:val="21"/>
        </w:rPr>
        <w:t>税收优惠政策及依据</w:t>
      </w:r>
    </w:p>
    <w:p w:rsidR="00C526AC" w:rsidRDefault="00E0175D">
      <w:pPr>
        <w:pStyle w:val="a3"/>
        <w:widowControl/>
        <w:spacing w:beforeAutospacing="0" w:afterAutospacing="0"/>
        <w:ind w:firstLine="420"/>
        <w:rPr>
          <w:sz w:val="18"/>
          <w:szCs w:val="18"/>
        </w:rPr>
      </w:pPr>
      <w:r>
        <w:rPr>
          <w:sz w:val="18"/>
          <w:szCs w:val="18"/>
        </w:rPr>
        <w:t>1</w:t>
      </w:r>
      <w:r>
        <w:rPr>
          <w:rFonts w:ascii="宋体" w:hAnsi="宋体" w:cs="宋体" w:hint="eastAsia"/>
          <w:sz w:val="18"/>
          <w:szCs w:val="18"/>
        </w:rPr>
        <w:t>、本公司取得了安徽省科学技术厅、安徽省财政厅、国家税务总局安徽省税务局于</w:t>
      </w:r>
      <w:r>
        <w:rPr>
          <w:sz w:val="18"/>
          <w:szCs w:val="18"/>
        </w:rPr>
        <w:t>2021</w:t>
      </w:r>
      <w:r>
        <w:rPr>
          <w:rFonts w:ascii="宋体" w:hAnsi="宋体" w:cs="宋体" w:hint="eastAsia"/>
          <w:sz w:val="18"/>
          <w:szCs w:val="18"/>
        </w:rPr>
        <w:t>年</w:t>
      </w:r>
      <w:r>
        <w:rPr>
          <w:sz w:val="18"/>
          <w:szCs w:val="18"/>
        </w:rPr>
        <w:t>9</w:t>
      </w:r>
      <w:r>
        <w:rPr>
          <w:rFonts w:ascii="宋体" w:hAnsi="宋体" w:cs="宋体" w:hint="eastAsia"/>
          <w:sz w:val="18"/>
          <w:szCs w:val="18"/>
        </w:rPr>
        <w:t>月</w:t>
      </w:r>
      <w:r>
        <w:rPr>
          <w:sz w:val="18"/>
          <w:szCs w:val="18"/>
        </w:rPr>
        <w:t>18</w:t>
      </w:r>
      <w:r>
        <w:rPr>
          <w:rFonts w:ascii="宋体" w:hAnsi="宋体" w:cs="宋体" w:hint="eastAsia"/>
          <w:sz w:val="18"/>
          <w:szCs w:val="18"/>
        </w:rPr>
        <w:t>日联合颁发的证书编号GR202134002871的《高新技术企业证书》，有效期为3年。本公司自2021年度起享受高新技术企业税收优惠税率，即享受15%的企业所得税优惠税率。</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2、根据2021年12月16日浙江省科学技术厅、浙江省财政厅、国家税务总局浙江省税务局联合颁发的证书编号GR202133001040的《高新技术企业证书》，有效期为3年。浙江色纺自2021年度起享受高新技术企业税收优惠税率，即享受15%的企业所得税优惠税率。</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3、根据财政部公告2020年第23号文件《财政部 税务总局 国家发展改革委关于延续西部大开发企业所得税政策的公告》的规定，对符合[西部地区鼓励类产业目录]第二十大类中的第六项的新疆自治区境内的纺织企业，自2020年至2030年，对设在西部地区的鼓励类产业企业减按15%的税率征收企业所得税。据此，本公司之子公司阿克苏华孚、奎屯锦孚纺织、新疆六孚纺织、阿克苏标信享受15%的企业所得税率。</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 xml:space="preserve">4、根据越南现行的78/2014/TT-BTC 和96/2015/TT-BTC 法规以及57/2021/ND-CP 和 218/2013/ND-CP补充条例的规定，对符合越南国家发展战略需求的制造工业支持产品的投资项目实行一定的企业所得税优惠激励措施。2021年根据越南相关政策规定，顺道实业又获得政府部门批准的“四免九减半”企业所得税优惠政策，据此，按照新税收优惠政策，顺道实业2021年免征纱线产品自产自销业务的企业所得税。 </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5、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阿瓦提银花、库车银花、沙雅银花、新和银花、库车纵横、库车恒丰、呼图壁宏盛、华孚恒丰、石河子宏盛棉业、胡杨河宏盛棉业免征企业所得税。</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6、根据2019年12月4日浙江省科学技术厅、浙江省财政厅、国家税务总局浙江省税务局联合颁发的证书编号GR201933005482的《高新技术企业证书》，有效期为3年。平湖华孚自2019年度起享受高新技术企业税收优惠税率，即享受15%的企业所得税优惠税率。</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7、新加坡注册企业首1万新币利润，减免税务75%，税率为4.25%；企业后续19万新币利润，享有减免税务50%；企业超出20万新币的利润部分，按照17%的税率正常征收。</w:t>
      </w:r>
    </w:p>
    <w:p w:rsidR="00C526AC" w:rsidRDefault="00E0175D">
      <w:pPr>
        <w:pStyle w:val="a3"/>
        <w:widowControl/>
        <w:spacing w:beforeAutospacing="0" w:afterAutospacing="0"/>
        <w:ind w:firstLine="420"/>
        <w:rPr>
          <w:sz w:val="18"/>
          <w:szCs w:val="18"/>
        </w:rPr>
      </w:pPr>
      <w:r>
        <w:rPr>
          <w:rFonts w:ascii="宋体" w:hAnsi="宋体" w:cs="宋体" w:hint="eastAsia"/>
          <w:sz w:val="18"/>
          <w:szCs w:val="18"/>
        </w:rPr>
        <w:t>8、根据2019年12月4日浙江省科学技术厅、浙江省财政厅、国家税务总局浙江省税务局联合颁发的证书编号GR201933006069的《高新技术企业证书》，有效期为3年。卡拉美拉自2019年度起享受高新技术企业税收优惠税率，即享受15%的企业所得税优惠税率。</w:t>
      </w:r>
    </w:p>
    <w:p w:rsidR="00C526AC" w:rsidRDefault="00E0175D">
      <w:pPr>
        <w:pStyle w:val="a3"/>
        <w:widowControl/>
      </w:pPr>
      <w:r>
        <w:rPr>
          <w:rFonts w:ascii="宋体" w:hAnsi="宋体" w:cs="宋体" w:hint="eastAsia"/>
          <w:sz w:val="18"/>
          <w:szCs w:val="18"/>
        </w:rPr>
        <w:t>9、根据《财政部 2021年第12号）的规定，自2021年1月1日至2022年12月31日，对小型微利企业年应纳税所得额不超过100万元的部分，减按12.5%计入应纳税所得额，按20%的税率缴纳企业所得税。根据《关于实施小微企业普惠性税收减免政策的通知》，对年应纳税所得额超过100万元但不超过300万元的部分，减按50%计入应纳税所得额，按20%的税率缴纳企业所得税。本公司存在乌什阿大、诸暨广昊、新疆阿大、阿大纺织等子公司按照政策适用该税收优惠政策。</w:t>
      </w:r>
    </w:p>
    <w:p w:rsidR="00C526AC" w:rsidRDefault="00E0175D">
      <w:pPr>
        <w:keepNext/>
        <w:keepLines/>
        <w:spacing w:before="300" w:after="300" w:line="280" w:lineRule="exact"/>
        <w:jc w:val="left"/>
        <w:outlineLvl w:val="2"/>
        <w:rPr>
          <w:rFonts w:ascii="宋体" w:hAnsi="宋体" w:cs="宋体"/>
          <w:b/>
          <w:bCs/>
          <w:szCs w:val="21"/>
        </w:rPr>
      </w:pPr>
      <w:bookmarkStart w:id="78" w:name="_Toc989068"/>
      <w:r>
        <w:rPr>
          <w:rFonts w:ascii="宋体" w:hAnsi="宋体" w:cs="宋体"/>
          <w:b/>
          <w:bCs/>
          <w:szCs w:val="21"/>
        </w:rPr>
        <w:t>3、其他</w:t>
      </w:r>
      <w:bookmarkEnd w:id="78"/>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79" w:name="_Toc989069"/>
      <w:r>
        <w:rPr>
          <w:rFonts w:ascii="宋体" w:hAnsi="宋体" w:cs="宋体"/>
          <w:b/>
          <w:bCs/>
          <w:sz w:val="24"/>
          <w:szCs w:val="24"/>
        </w:rPr>
        <w:t>七、合并财务报表项目注释</w:t>
      </w:r>
      <w:bookmarkEnd w:id="79"/>
    </w:p>
    <w:p w:rsidR="00C526AC" w:rsidRDefault="00E0175D">
      <w:pPr>
        <w:keepNext/>
        <w:keepLines/>
        <w:spacing w:before="300" w:after="300" w:line="280" w:lineRule="exact"/>
        <w:jc w:val="left"/>
        <w:outlineLvl w:val="2"/>
        <w:rPr>
          <w:rFonts w:ascii="宋体" w:hAnsi="宋体" w:cs="宋体"/>
          <w:b/>
          <w:bCs/>
          <w:szCs w:val="21"/>
        </w:rPr>
      </w:pPr>
      <w:bookmarkStart w:id="80" w:name="_Toc989070"/>
      <w:r>
        <w:rPr>
          <w:rFonts w:ascii="宋体" w:hAnsi="宋体" w:cs="宋体"/>
          <w:b/>
          <w:bCs/>
          <w:szCs w:val="21"/>
        </w:rPr>
        <w:t>1、货币资金</w:t>
      </w:r>
      <w:bookmarkEnd w:id="8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392,943.07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300,346.99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1,379,747,876.45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2,198,042,646.85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1,865,343,471.41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1,173,704,457.88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3,245,484,290.93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3,372,047,451.72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其中：存放在境外的款项总额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248,219,419.08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326,591,999.51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因抵押、质押或冻结等对使用有限制的款项总额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1,598,137,301.74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970,007,445.51</w:t>
            </w:r>
          </w:p>
        </w:tc>
      </w:tr>
    </w:tbl>
    <w:p w:rsidR="00C526AC" w:rsidRPr="004D4867" w:rsidRDefault="00E0175D" w:rsidP="004D4867">
      <w:pPr>
        <w:spacing w:before="100" w:after="100" w:line="240" w:lineRule="exact"/>
        <w:jc w:val="left"/>
        <w:rPr>
          <w:rFonts w:ascii="宋体" w:hAnsi="宋体" w:cs="宋体"/>
          <w:sz w:val="18"/>
          <w:szCs w:val="18"/>
        </w:rPr>
      </w:pPr>
      <w:r>
        <w:rPr>
          <w:rFonts w:ascii="宋体" w:hAnsi="宋体" w:cs="宋体"/>
          <w:sz w:val="18"/>
          <w:szCs w:val="18"/>
        </w:rPr>
        <w:t>其他说明</w:t>
      </w:r>
      <w:r w:rsidR="004D4867">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81" w:name="_Toc989071"/>
      <w:r>
        <w:rPr>
          <w:rFonts w:ascii="宋体" w:hAnsi="宋体" w:cs="宋体"/>
          <w:b/>
          <w:bCs/>
          <w:szCs w:val="21"/>
        </w:rPr>
        <w:t>2、交易性金融资产</w:t>
      </w:r>
      <w:bookmarkEnd w:id="8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538,194,302.48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616,725,654.58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187,988,152.70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169,829,095.27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350,206,149.78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446,896,559.31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538,194,302.48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616,725,654.58</w:t>
            </w:r>
          </w:p>
        </w:tc>
      </w:tr>
    </w:tbl>
    <w:p w:rsidR="00C526AC" w:rsidRDefault="00E0175D">
      <w:pPr>
        <w:keepNext/>
        <w:keepLines/>
        <w:spacing w:before="300" w:after="300" w:line="280" w:lineRule="exact"/>
        <w:jc w:val="left"/>
        <w:outlineLvl w:val="2"/>
        <w:rPr>
          <w:rFonts w:ascii="宋体" w:hAnsi="宋体" w:cs="宋体"/>
          <w:b/>
          <w:bCs/>
          <w:szCs w:val="21"/>
        </w:rPr>
      </w:pPr>
      <w:bookmarkStart w:id="82" w:name="_Toc989072"/>
      <w:r>
        <w:rPr>
          <w:rFonts w:ascii="宋体" w:hAnsi="宋体" w:cs="宋体"/>
          <w:b/>
          <w:bCs/>
          <w:szCs w:val="21"/>
        </w:rPr>
        <w:t>3、衍生金融资产</w:t>
      </w:r>
      <w:bookmarkEnd w:id="82"/>
    </w:p>
    <w:p w:rsidR="00C526AC" w:rsidRPr="007775F3" w:rsidRDefault="00E0175D" w:rsidP="007775F3">
      <w:pPr>
        <w:spacing w:before="100" w:after="100" w:line="240" w:lineRule="exact"/>
        <w:jc w:val="left"/>
        <w:rPr>
          <w:rFonts w:ascii="宋体" w:hAnsi="宋体" w:cs="宋体"/>
          <w:sz w:val="18"/>
          <w:szCs w:val="18"/>
        </w:rPr>
      </w:pPr>
      <w:r>
        <w:rPr>
          <w:rFonts w:ascii="宋体" w:hAnsi="宋体" w:cs="宋体"/>
          <w:sz w:val="18"/>
          <w:szCs w:val="18"/>
        </w:rPr>
        <w:t>其他说明</w:t>
      </w:r>
      <w:r w:rsidR="007775F3">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83" w:name="_Toc989073"/>
      <w:r>
        <w:rPr>
          <w:rFonts w:ascii="宋体" w:hAnsi="宋体" w:cs="宋体"/>
          <w:b/>
          <w:bCs/>
          <w:szCs w:val="21"/>
        </w:rPr>
        <w:t>4、应收票据</w:t>
      </w:r>
      <w:bookmarkEnd w:id="83"/>
    </w:p>
    <w:p w:rsidR="00C526AC" w:rsidRDefault="00E0175D">
      <w:pPr>
        <w:keepNext/>
        <w:keepLines/>
        <w:spacing w:before="300" w:after="300" w:line="280" w:lineRule="exact"/>
        <w:jc w:val="left"/>
        <w:outlineLvl w:val="3"/>
        <w:rPr>
          <w:rFonts w:ascii="宋体" w:hAnsi="宋体" w:cs="宋体"/>
          <w:b/>
          <w:bCs/>
          <w:szCs w:val="21"/>
        </w:rPr>
      </w:pPr>
      <w:bookmarkStart w:id="84" w:name="_Toc989074"/>
      <w:r>
        <w:rPr>
          <w:rFonts w:ascii="宋体" w:hAnsi="宋体" w:cs="宋体"/>
          <w:b/>
          <w:bCs/>
          <w:szCs w:val="21"/>
        </w:rPr>
        <w:t>（1） 应收票据分类列示</w:t>
      </w:r>
      <w:bookmarkEnd w:id="8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67,396,356.35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68,162,871.75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7,295,275.15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8,263,793.50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74,691,631.50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76,426,665.25</w:t>
            </w:r>
          </w:p>
        </w:tc>
      </w:tr>
    </w:tbl>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C526AC">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r>
      <w:tr w:rsidR="00C526AC">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按组合计提坏账准备的应收票据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75,075,593.35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383,961.85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0.51%</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74,691,631.50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76,861,601.75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434,936.50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0.57%</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76,426,665.25</w:t>
            </w: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银行承兑汇票组合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67,396,356.35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89.77%</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67,396,356.35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68,162,871.75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88.68%</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68,162,871.75</w:t>
            </w: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商业承兑汇票组合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7,679,237.00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10.23%</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383,961.85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7,295,275.15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8,698,730.00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11.32%</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434,936.50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8,263,793.50</w:t>
            </w: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75,075,593.35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383,961.85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0.51%</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74,691,631.50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76,861,601.75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434,936.50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0.57%</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76,426,665.25</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按组合计提坏账准备：</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商业承兑汇票组合</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7,679,237.00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383,961.85</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7,679,237.00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383,961.85</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Pr="007775F3" w:rsidRDefault="00E0175D" w:rsidP="007775F3">
      <w:pPr>
        <w:spacing w:before="100" w:after="100" w:line="240" w:lineRule="exact"/>
        <w:jc w:val="left"/>
        <w:rPr>
          <w:rFonts w:ascii="宋体" w:hAnsi="宋体" w:cs="宋体"/>
          <w:sz w:val="18"/>
          <w:szCs w:val="18"/>
        </w:rPr>
      </w:pPr>
      <w:r>
        <w:rPr>
          <w:rFonts w:ascii="宋体" w:hAnsi="宋体" w:cs="宋体"/>
          <w:sz w:val="18"/>
          <w:szCs w:val="18"/>
        </w:rPr>
        <w:t>确定该组合依据的说明：</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如是按照预期信用损失一般模型计提应收票据坏账准备，请参照其他应收款的披露方式披露坏账准备的相关信息：</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Cs w:val="21"/>
        </w:rPr>
      </w:pPr>
      <w:bookmarkStart w:id="85" w:name="_Toc989075"/>
      <w:r>
        <w:rPr>
          <w:rFonts w:ascii="宋体" w:hAnsi="宋体" w:cs="宋体"/>
          <w:b/>
          <w:bCs/>
          <w:szCs w:val="21"/>
        </w:rPr>
        <w:t>（2） 本期计提、收回或转回的坏账准备情况</w:t>
      </w:r>
      <w:bookmarkEnd w:id="85"/>
    </w:p>
    <w:p w:rsidR="00C526AC" w:rsidRDefault="00E0175D">
      <w:pPr>
        <w:spacing w:line="240" w:lineRule="exact"/>
        <w:jc w:val="left"/>
        <w:rPr>
          <w:rFonts w:ascii="宋体" w:hAnsi="宋体" w:cs="宋体"/>
          <w:sz w:val="18"/>
          <w:szCs w:val="18"/>
        </w:rPr>
      </w:pPr>
      <w:r>
        <w:rPr>
          <w:rFonts w:ascii="宋体" w:hAnsi="宋体" w:cs="宋体"/>
          <w:sz w:val="18"/>
          <w:szCs w:val="18"/>
        </w:rPr>
        <w:t>本期计提坏账准备情况：</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商业承兑汇票组合</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434,936.50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50,974.65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383,961.85</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434,936.50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50,974.65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383,961.85</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其中本期坏账准备收回或转回金额重要的：</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Cs w:val="21"/>
        </w:rPr>
      </w:pPr>
      <w:bookmarkStart w:id="86" w:name="_Toc989076"/>
      <w:r>
        <w:rPr>
          <w:rFonts w:ascii="宋体" w:hAnsi="宋体" w:cs="宋体"/>
          <w:b/>
          <w:bCs/>
          <w:szCs w:val="21"/>
        </w:rPr>
        <w:t>（3） 期末公司已质押的应收票据</w:t>
      </w:r>
      <w:bookmarkEnd w:id="8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期末已质押金额</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48,550,738.16</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48,550,738.16</w:t>
            </w:r>
          </w:p>
        </w:tc>
      </w:tr>
    </w:tbl>
    <w:p w:rsidR="00C526AC" w:rsidRDefault="00E0175D">
      <w:pPr>
        <w:keepNext/>
        <w:keepLines/>
        <w:spacing w:before="300" w:after="300" w:line="280" w:lineRule="exact"/>
        <w:jc w:val="left"/>
        <w:outlineLvl w:val="3"/>
        <w:rPr>
          <w:rFonts w:ascii="宋体" w:hAnsi="宋体" w:cs="宋体"/>
          <w:b/>
          <w:bCs/>
          <w:szCs w:val="21"/>
        </w:rPr>
      </w:pPr>
      <w:bookmarkStart w:id="87" w:name="_Toc989077"/>
      <w:r>
        <w:rPr>
          <w:rFonts w:ascii="宋体" w:hAnsi="宋体" w:cs="宋体"/>
          <w:b/>
          <w:bCs/>
          <w:szCs w:val="21"/>
        </w:rPr>
        <w:t>（4） 期末公司已背书或贴现且在资产负债表日尚未到期的应收票据</w:t>
      </w:r>
      <w:bookmarkEnd w:id="8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786"/>
        <w:gridCol w:w="2426"/>
        <w:gridCol w:w="2427"/>
      </w:tblGrid>
      <w:tr w:rsidR="00C526AC" w:rsidTr="007775F3">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242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期末终止确认金额</w:t>
            </w:r>
          </w:p>
        </w:tc>
        <w:tc>
          <w:tcPr>
            <w:tcW w:w="242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期末未终止确认金额</w:t>
            </w:r>
          </w:p>
        </w:tc>
      </w:tr>
      <w:tr w:rsidR="00C526AC" w:rsidTr="007775F3">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银行承兑票据</w:t>
            </w:r>
          </w:p>
        </w:tc>
        <w:tc>
          <w:tcPr>
            <w:tcW w:w="242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2,985,710,351.47</w:t>
            </w:r>
          </w:p>
        </w:tc>
        <w:tc>
          <w:tcPr>
            <w:tcW w:w="242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r>
      <w:tr w:rsidR="00C526AC" w:rsidTr="007775F3">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商业承兑票据</w:t>
            </w:r>
          </w:p>
        </w:tc>
        <w:tc>
          <w:tcPr>
            <w:tcW w:w="242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2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r>
      <w:tr w:rsidR="00C526AC" w:rsidTr="007775F3">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2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2,985,710,351.47</w:t>
            </w:r>
          </w:p>
        </w:tc>
        <w:tc>
          <w:tcPr>
            <w:tcW w:w="242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r>
    </w:tbl>
    <w:p w:rsidR="00C526AC" w:rsidRDefault="00E0175D">
      <w:pPr>
        <w:keepNext/>
        <w:keepLines/>
        <w:spacing w:before="300" w:after="300" w:line="280" w:lineRule="exact"/>
        <w:jc w:val="left"/>
        <w:outlineLvl w:val="3"/>
        <w:rPr>
          <w:rFonts w:ascii="宋体" w:hAnsi="宋体" w:cs="宋体"/>
          <w:b/>
          <w:bCs/>
          <w:szCs w:val="21"/>
        </w:rPr>
      </w:pPr>
      <w:bookmarkStart w:id="88" w:name="_Toc989078"/>
      <w:r>
        <w:rPr>
          <w:rFonts w:ascii="宋体" w:hAnsi="宋体" w:cs="宋体"/>
          <w:b/>
          <w:bCs/>
          <w:szCs w:val="21"/>
        </w:rPr>
        <w:t>（5） 期末公司因出票人未履约而将其转应收账款的票据</w:t>
      </w:r>
      <w:bookmarkEnd w:id="88"/>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p>
    <w:tbl>
      <w:tblPr>
        <w:tblW w:w="9508" w:type="dxa"/>
        <w:tblCellMar>
          <w:left w:w="0" w:type="dxa"/>
          <w:right w:w="0" w:type="dxa"/>
        </w:tblCellMar>
        <w:tblLook w:val="04A0" w:firstRow="1" w:lastRow="0" w:firstColumn="1" w:lastColumn="0" w:noHBand="0" w:noVBand="1"/>
      </w:tblPr>
      <w:tblGrid>
        <w:gridCol w:w="1480"/>
        <w:gridCol w:w="2080"/>
        <w:gridCol w:w="5948"/>
      </w:tblGrid>
      <w:tr w:rsidR="00C526AC" w:rsidTr="007775F3">
        <w:trPr>
          <w:trHeight w:val="300"/>
        </w:trPr>
        <w:tc>
          <w:tcPr>
            <w:tcW w:w="950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C526AC" w:rsidRDefault="00E0175D">
            <w:pPr>
              <w:widowControl/>
              <w:jc w:val="left"/>
              <w:textAlignment w:val="center"/>
              <w:rPr>
                <w:rFonts w:ascii="宋体" w:hAnsi="宋体" w:cs="宋体"/>
                <w:b/>
                <w:bCs/>
                <w:sz w:val="20"/>
                <w:szCs w:val="20"/>
              </w:rPr>
            </w:pPr>
            <w:r>
              <w:rPr>
                <w:rFonts w:ascii="宋体" w:hAnsi="宋体" w:cs="宋体" w:hint="eastAsia"/>
                <w:b/>
                <w:bCs/>
                <w:sz w:val="20"/>
                <w:szCs w:val="20"/>
                <w:lang w:bidi="ar"/>
              </w:rPr>
              <w:t> （3）期末公司已背书或贴现且资产负债表日尚未到期的应收票据 </w:t>
            </w:r>
          </w:p>
        </w:tc>
      </w:tr>
      <w:tr w:rsidR="00C526AC" w:rsidTr="007775F3">
        <w:trPr>
          <w:trHeight w:val="285"/>
        </w:trPr>
        <w:tc>
          <w:tcPr>
            <w:tcW w:w="1480"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center"/>
              <w:textAlignment w:val="center"/>
              <w:rPr>
                <w:sz w:val="18"/>
                <w:szCs w:val="18"/>
              </w:rPr>
            </w:pPr>
            <w:r>
              <w:rPr>
                <w:sz w:val="18"/>
                <w:szCs w:val="18"/>
                <w:lang w:bidi="ar"/>
              </w:rPr>
              <w:t> </w:t>
            </w:r>
            <w:r>
              <w:rPr>
                <w:sz w:val="18"/>
                <w:szCs w:val="18"/>
                <w:lang w:bidi="ar"/>
              </w:rPr>
              <w:t>项目</w:t>
            </w:r>
            <w:r>
              <w:rPr>
                <w:sz w:val="18"/>
                <w:szCs w:val="18"/>
                <w:lang w:bidi="ar"/>
              </w:rPr>
              <w:t> </w:t>
            </w:r>
          </w:p>
        </w:tc>
        <w:tc>
          <w:tcPr>
            <w:tcW w:w="2080" w:type="dxa"/>
            <w:tcBorders>
              <w:top w:val="nil"/>
              <w:left w:val="nil"/>
              <w:bottom w:val="single" w:sz="8" w:space="0" w:color="auto"/>
              <w:right w:val="single" w:sz="8" w:space="0" w:color="auto"/>
            </w:tcBorders>
            <w:shd w:val="clear" w:color="auto" w:fill="auto"/>
            <w:vAlign w:val="center"/>
          </w:tcPr>
          <w:p w:rsidR="00C526AC" w:rsidRDefault="00E0175D">
            <w:pPr>
              <w:widowControl/>
              <w:jc w:val="center"/>
              <w:textAlignment w:val="center"/>
              <w:rPr>
                <w:sz w:val="18"/>
                <w:szCs w:val="18"/>
              </w:rPr>
            </w:pPr>
            <w:r>
              <w:rPr>
                <w:sz w:val="18"/>
                <w:szCs w:val="18"/>
                <w:lang w:bidi="ar"/>
              </w:rPr>
              <w:t> </w:t>
            </w:r>
            <w:r>
              <w:rPr>
                <w:sz w:val="18"/>
                <w:szCs w:val="18"/>
                <w:lang w:bidi="ar"/>
              </w:rPr>
              <w:t>期末终止确认金额</w:t>
            </w:r>
            <w:r>
              <w:rPr>
                <w:sz w:val="18"/>
                <w:szCs w:val="18"/>
                <w:lang w:bidi="ar"/>
              </w:rPr>
              <w:t> </w:t>
            </w:r>
          </w:p>
        </w:tc>
        <w:tc>
          <w:tcPr>
            <w:tcW w:w="5948" w:type="dxa"/>
            <w:tcBorders>
              <w:top w:val="nil"/>
              <w:left w:val="nil"/>
              <w:bottom w:val="single" w:sz="8" w:space="0" w:color="auto"/>
              <w:right w:val="single" w:sz="8" w:space="0" w:color="auto"/>
            </w:tcBorders>
            <w:shd w:val="clear" w:color="auto" w:fill="auto"/>
            <w:vAlign w:val="center"/>
          </w:tcPr>
          <w:p w:rsidR="00C526AC" w:rsidRDefault="00E0175D">
            <w:pPr>
              <w:widowControl/>
              <w:jc w:val="center"/>
              <w:textAlignment w:val="center"/>
              <w:rPr>
                <w:sz w:val="18"/>
                <w:szCs w:val="18"/>
              </w:rPr>
            </w:pPr>
            <w:r>
              <w:rPr>
                <w:sz w:val="18"/>
                <w:szCs w:val="18"/>
                <w:lang w:bidi="ar"/>
              </w:rPr>
              <w:t> </w:t>
            </w:r>
            <w:r>
              <w:rPr>
                <w:sz w:val="18"/>
                <w:szCs w:val="18"/>
                <w:lang w:bidi="ar"/>
              </w:rPr>
              <w:t>备注</w:t>
            </w:r>
            <w:r>
              <w:rPr>
                <w:sz w:val="18"/>
                <w:szCs w:val="18"/>
                <w:lang w:bidi="ar"/>
              </w:rPr>
              <w:t> </w:t>
            </w:r>
          </w:p>
        </w:tc>
      </w:tr>
      <w:tr w:rsidR="00C526AC" w:rsidTr="007775F3">
        <w:trPr>
          <w:trHeight w:val="60"/>
        </w:trPr>
        <w:tc>
          <w:tcPr>
            <w:tcW w:w="1480"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sz w:val="18"/>
                <w:szCs w:val="18"/>
              </w:rPr>
            </w:pPr>
            <w:r>
              <w:rPr>
                <w:sz w:val="18"/>
                <w:szCs w:val="18"/>
                <w:lang w:bidi="ar"/>
              </w:rPr>
              <w:t> </w:t>
            </w:r>
            <w:r>
              <w:rPr>
                <w:sz w:val="18"/>
                <w:szCs w:val="18"/>
                <w:lang w:bidi="ar"/>
              </w:rPr>
              <w:t>银行承兑汇票</w:t>
            </w:r>
            <w:r>
              <w:rPr>
                <w:sz w:val="18"/>
                <w:szCs w:val="18"/>
                <w:lang w:bidi="ar"/>
              </w:rPr>
              <w:t> </w:t>
            </w:r>
          </w:p>
        </w:tc>
        <w:tc>
          <w:tcPr>
            <w:tcW w:w="2080" w:type="dxa"/>
            <w:tcBorders>
              <w:top w:val="nil"/>
              <w:left w:val="nil"/>
              <w:bottom w:val="single" w:sz="8" w:space="0" w:color="auto"/>
              <w:right w:val="single" w:sz="8" w:space="0" w:color="auto"/>
            </w:tcBorders>
            <w:shd w:val="clear" w:color="auto" w:fill="auto"/>
            <w:vAlign w:val="center"/>
          </w:tcPr>
          <w:p w:rsidR="00C526AC" w:rsidRDefault="00E0175D">
            <w:pPr>
              <w:widowControl/>
              <w:jc w:val="right"/>
              <w:textAlignment w:val="center"/>
              <w:rPr>
                <w:sz w:val="18"/>
                <w:szCs w:val="18"/>
              </w:rPr>
            </w:pPr>
            <w:r>
              <w:rPr>
                <w:sz w:val="18"/>
                <w:szCs w:val="18"/>
                <w:lang w:bidi="ar"/>
              </w:rPr>
              <w:t>               1,149,210,351.47</w:t>
            </w:r>
          </w:p>
        </w:tc>
        <w:tc>
          <w:tcPr>
            <w:tcW w:w="5948" w:type="dxa"/>
            <w:tcBorders>
              <w:top w:val="nil"/>
              <w:left w:val="nil"/>
              <w:bottom w:val="single" w:sz="8" w:space="0" w:color="auto"/>
              <w:right w:val="single" w:sz="8" w:space="0" w:color="auto"/>
            </w:tcBorders>
            <w:shd w:val="clear" w:color="auto" w:fill="auto"/>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 期末已背书未到期的银行承兑票据 </w:t>
            </w:r>
          </w:p>
        </w:tc>
      </w:tr>
      <w:tr w:rsidR="00C526AC" w:rsidTr="007775F3">
        <w:trPr>
          <w:trHeight w:val="60"/>
        </w:trPr>
        <w:tc>
          <w:tcPr>
            <w:tcW w:w="1480"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left"/>
              <w:textAlignment w:val="center"/>
              <w:rPr>
                <w:sz w:val="18"/>
                <w:szCs w:val="18"/>
              </w:rPr>
            </w:pPr>
            <w:r>
              <w:rPr>
                <w:sz w:val="18"/>
                <w:szCs w:val="18"/>
                <w:lang w:bidi="ar"/>
              </w:rPr>
              <w:t> </w:t>
            </w:r>
            <w:r>
              <w:rPr>
                <w:sz w:val="18"/>
                <w:szCs w:val="18"/>
                <w:lang w:bidi="ar"/>
              </w:rPr>
              <w:t>银行承兑汇票</w:t>
            </w:r>
            <w:r>
              <w:rPr>
                <w:sz w:val="18"/>
                <w:szCs w:val="18"/>
                <w:lang w:bidi="ar"/>
              </w:rPr>
              <w:t> </w:t>
            </w:r>
          </w:p>
        </w:tc>
        <w:tc>
          <w:tcPr>
            <w:tcW w:w="2080" w:type="dxa"/>
            <w:tcBorders>
              <w:top w:val="nil"/>
              <w:left w:val="nil"/>
              <w:bottom w:val="single" w:sz="8" w:space="0" w:color="auto"/>
              <w:right w:val="single" w:sz="8" w:space="0" w:color="auto"/>
            </w:tcBorders>
            <w:shd w:val="clear" w:color="auto" w:fill="auto"/>
            <w:vAlign w:val="center"/>
          </w:tcPr>
          <w:p w:rsidR="00C526AC" w:rsidRDefault="00E0175D">
            <w:pPr>
              <w:widowControl/>
              <w:jc w:val="right"/>
              <w:textAlignment w:val="center"/>
              <w:rPr>
                <w:sz w:val="18"/>
                <w:szCs w:val="18"/>
              </w:rPr>
            </w:pPr>
            <w:r>
              <w:rPr>
                <w:sz w:val="18"/>
                <w:szCs w:val="18"/>
                <w:lang w:bidi="ar"/>
              </w:rPr>
              <w:t>               1,836,500,000.00</w:t>
            </w:r>
          </w:p>
        </w:tc>
        <w:tc>
          <w:tcPr>
            <w:tcW w:w="5948" w:type="dxa"/>
            <w:tcBorders>
              <w:top w:val="nil"/>
              <w:left w:val="nil"/>
              <w:bottom w:val="single" w:sz="8" w:space="0" w:color="auto"/>
              <w:right w:val="single" w:sz="8" w:space="0" w:color="auto"/>
            </w:tcBorders>
            <w:shd w:val="clear" w:color="auto" w:fill="auto"/>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 期末已贴现未到期的银行承兑票据（含合并抵消1836500000元） </w:t>
            </w:r>
          </w:p>
        </w:tc>
      </w:tr>
      <w:tr w:rsidR="00C526AC" w:rsidTr="007775F3">
        <w:trPr>
          <w:trHeight w:val="60"/>
        </w:trPr>
        <w:tc>
          <w:tcPr>
            <w:tcW w:w="1480" w:type="dxa"/>
            <w:tcBorders>
              <w:top w:val="nil"/>
              <w:left w:val="single" w:sz="8" w:space="0" w:color="auto"/>
              <w:bottom w:val="single" w:sz="8" w:space="0" w:color="auto"/>
              <w:right w:val="single" w:sz="8" w:space="0" w:color="auto"/>
            </w:tcBorders>
            <w:shd w:val="clear" w:color="auto" w:fill="auto"/>
            <w:vAlign w:val="center"/>
          </w:tcPr>
          <w:p w:rsidR="00C526AC" w:rsidRDefault="00E0175D">
            <w:pPr>
              <w:widowControl/>
              <w:jc w:val="center"/>
              <w:textAlignment w:val="center"/>
              <w:rPr>
                <w:sz w:val="18"/>
                <w:szCs w:val="18"/>
              </w:rPr>
            </w:pPr>
            <w:r>
              <w:rPr>
                <w:sz w:val="18"/>
                <w:szCs w:val="18"/>
                <w:lang w:bidi="ar"/>
              </w:rPr>
              <w:t> </w:t>
            </w:r>
            <w:r>
              <w:rPr>
                <w:sz w:val="18"/>
                <w:szCs w:val="18"/>
                <w:lang w:bidi="ar"/>
              </w:rPr>
              <w:t>合计</w:t>
            </w:r>
            <w:r>
              <w:rPr>
                <w:sz w:val="18"/>
                <w:szCs w:val="18"/>
                <w:lang w:bidi="ar"/>
              </w:rPr>
              <w:t> </w:t>
            </w:r>
          </w:p>
        </w:tc>
        <w:tc>
          <w:tcPr>
            <w:tcW w:w="2080" w:type="dxa"/>
            <w:tcBorders>
              <w:top w:val="nil"/>
              <w:left w:val="nil"/>
              <w:bottom w:val="single" w:sz="8" w:space="0" w:color="auto"/>
              <w:right w:val="single" w:sz="8" w:space="0" w:color="auto"/>
            </w:tcBorders>
            <w:shd w:val="clear" w:color="auto" w:fill="auto"/>
            <w:vAlign w:val="center"/>
          </w:tcPr>
          <w:p w:rsidR="00C526AC" w:rsidRDefault="00E0175D">
            <w:pPr>
              <w:widowControl/>
              <w:jc w:val="right"/>
              <w:textAlignment w:val="center"/>
              <w:rPr>
                <w:sz w:val="18"/>
                <w:szCs w:val="18"/>
              </w:rPr>
            </w:pPr>
            <w:r>
              <w:rPr>
                <w:sz w:val="18"/>
                <w:szCs w:val="18"/>
                <w:lang w:bidi="ar"/>
              </w:rPr>
              <w:t>               2,985,710,351.47</w:t>
            </w:r>
          </w:p>
        </w:tc>
        <w:tc>
          <w:tcPr>
            <w:tcW w:w="5948" w:type="dxa"/>
            <w:tcBorders>
              <w:top w:val="nil"/>
              <w:left w:val="nil"/>
              <w:bottom w:val="single" w:sz="8" w:space="0" w:color="auto"/>
              <w:right w:val="single" w:sz="8" w:space="0" w:color="auto"/>
            </w:tcBorders>
            <w:shd w:val="clear" w:color="auto" w:fill="auto"/>
            <w:vAlign w:val="center"/>
          </w:tcPr>
          <w:p w:rsidR="00C526AC" w:rsidRDefault="00E0175D">
            <w:pPr>
              <w:widowControl/>
              <w:jc w:val="right"/>
              <w:textAlignment w:val="center"/>
              <w:rPr>
                <w:sz w:val="18"/>
                <w:szCs w:val="18"/>
              </w:rPr>
            </w:pPr>
            <w:r>
              <w:rPr>
                <w:sz w:val="18"/>
                <w:szCs w:val="18"/>
                <w:lang w:bidi="ar"/>
              </w:rPr>
              <w:t> --- </w:t>
            </w:r>
          </w:p>
        </w:tc>
      </w:tr>
    </w:tbl>
    <w:p w:rsidR="00C526AC" w:rsidRDefault="00E0175D">
      <w:pPr>
        <w:keepNext/>
        <w:keepLines/>
        <w:spacing w:before="300" w:after="300" w:line="280" w:lineRule="exact"/>
        <w:jc w:val="left"/>
        <w:outlineLvl w:val="3"/>
        <w:rPr>
          <w:rFonts w:ascii="宋体" w:hAnsi="宋体" w:cs="宋体"/>
          <w:b/>
          <w:bCs/>
          <w:szCs w:val="21"/>
        </w:rPr>
      </w:pPr>
      <w:bookmarkStart w:id="89" w:name="_Toc989079"/>
      <w:r>
        <w:rPr>
          <w:rFonts w:ascii="宋体" w:hAnsi="宋体" w:cs="宋体"/>
          <w:b/>
          <w:bCs/>
          <w:szCs w:val="21"/>
        </w:rPr>
        <w:t>（6） 本期实际核销的应收票据情况</w:t>
      </w:r>
      <w:bookmarkEnd w:id="89"/>
    </w:p>
    <w:p w:rsidR="00C526AC" w:rsidRPr="007775F3" w:rsidRDefault="00E0175D" w:rsidP="007775F3">
      <w:pPr>
        <w:spacing w:before="100" w:after="100" w:line="240" w:lineRule="exact"/>
        <w:jc w:val="left"/>
        <w:rPr>
          <w:rFonts w:ascii="宋体" w:hAnsi="宋体" w:cs="宋体"/>
          <w:sz w:val="18"/>
          <w:szCs w:val="18"/>
        </w:rPr>
      </w:pPr>
      <w:r>
        <w:rPr>
          <w:rFonts w:ascii="宋体" w:hAnsi="宋体" w:cs="宋体"/>
          <w:sz w:val="18"/>
          <w:szCs w:val="18"/>
        </w:rPr>
        <w:t>应收票据核销说明：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90" w:name="_Toc989080"/>
      <w:r>
        <w:rPr>
          <w:rFonts w:ascii="宋体" w:hAnsi="宋体" w:cs="宋体"/>
          <w:b/>
          <w:bCs/>
          <w:szCs w:val="21"/>
        </w:rPr>
        <w:t>5、应收账款</w:t>
      </w:r>
      <w:bookmarkEnd w:id="90"/>
    </w:p>
    <w:p w:rsidR="00C526AC" w:rsidRDefault="00E0175D">
      <w:pPr>
        <w:keepNext/>
        <w:keepLines/>
        <w:spacing w:before="300" w:after="300" w:line="280" w:lineRule="exact"/>
        <w:jc w:val="left"/>
        <w:outlineLvl w:val="3"/>
        <w:rPr>
          <w:rFonts w:ascii="宋体" w:hAnsi="宋体" w:cs="宋体"/>
          <w:b/>
          <w:bCs/>
          <w:szCs w:val="21"/>
        </w:rPr>
      </w:pPr>
      <w:bookmarkStart w:id="91" w:name="_Toc989081"/>
      <w:r>
        <w:rPr>
          <w:rFonts w:ascii="宋体" w:hAnsi="宋体" w:cs="宋体"/>
          <w:b/>
          <w:bCs/>
          <w:szCs w:val="21"/>
        </w:rPr>
        <w:t>（1） 应收账款分类披露</w:t>
      </w:r>
      <w:bookmarkEnd w:id="9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C526AC">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r>
      <w:tr w:rsidR="00C526AC">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127,042,540.68</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8.97%</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127,042,540.68</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126,015,819.79</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126,015,819.79</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1,288,708,928.98</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91.03%</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67,138,429.44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5.21%</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1,221,570,499.54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974,136,728.47</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88.55%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52,220,073.28</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5.36%</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921,916,655.19</w:t>
            </w: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1,255,564,581.37</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88.69%</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67,138,429.44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5.35%</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1,188,426,151.93</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960,324,272.18</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87.29%</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52,220,073.28</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908,104,198.90</w:t>
            </w: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33,144,347.61</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33,144,347.61</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13,812,456.29</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13,812,456.29</w:t>
            </w: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1,415,751,469.66</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194,180,970.12</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13.72%</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1,221,570,499.54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1,100,152,548.26</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178,235,893.07</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16.20%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921,916,655.19</w:t>
            </w:r>
          </w:p>
        </w:tc>
      </w:tr>
    </w:tbl>
    <w:p w:rsidR="007775F3" w:rsidRDefault="00E0175D">
      <w:pPr>
        <w:spacing w:before="100" w:after="100" w:line="240" w:lineRule="exact"/>
        <w:jc w:val="left"/>
        <w:rPr>
          <w:rFonts w:ascii="宋体" w:hAnsi="宋体" w:cs="宋体"/>
          <w:sz w:val="18"/>
          <w:szCs w:val="18"/>
        </w:rPr>
      </w:pPr>
      <w:r>
        <w:rPr>
          <w:rFonts w:ascii="宋体" w:hAnsi="宋体" w:cs="宋体"/>
          <w:sz w:val="18"/>
          <w:szCs w:val="18"/>
        </w:rPr>
        <w:t xml:space="preserve">按组合计提坏账准备： </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 xml:space="preserve">（1） 组合中，按预期信用风险组合计提坏账准备的应收账款 </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1,235,238,803.36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61,761,940.17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1-2年</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5,175,177.92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517,517.79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2-3年</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11,436,981.41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2,287,396.28</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3-4年</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1,539,611.79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769,805.90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4-5年</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1,861,187.97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1,488,950.38</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5年以上</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312,818.92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312,818.92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1,255,564,581.37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67,138,429.44</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Pr="007775F3" w:rsidRDefault="00E0175D" w:rsidP="007775F3">
      <w:pPr>
        <w:spacing w:before="100" w:after="100" w:line="240" w:lineRule="exact"/>
        <w:jc w:val="left"/>
        <w:rPr>
          <w:rFonts w:ascii="宋体" w:hAnsi="宋体" w:cs="宋体"/>
          <w:sz w:val="18"/>
          <w:szCs w:val="18"/>
        </w:rPr>
      </w:pPr>
      <w:r>
        <w:rPr>
          <w:rFonts w:ascii="宋体" w:hAnsi="宋体" w:cs="宋体"/>
          <w:sz w:val="18"/>
          <w:szCs w:val="18"/>
        </w:rPr>
        <w:t>确定该组合依据的说明：</w:t>
      </w:r>
      <w:r>
        <w:rPr>
          <w:rFonts w:ascii="宋体" w:hAnsi="宋体" w:cs="宋体" w:hint="eastAsia"/>
          <w:sz w:val="18"/>
          <w:szCs w:val="18"/>
        </w:rPr>
        <w:t>无。</w:t>
      </w:r>
    </w:p>
    <w:p w:rsidR="007775F3" w:rsidRDefault="00E0175D">
      <w:pPr>
        <w:spacing w:before="100" w:after="100" w:line="240" w:lineRule="exact"/>
        <w:jc w:val="left"/>
        <w:rPr>
          <w:rFonts w:ascii="宋体" w:hAnsi="宋体" w:cs="宋体"/>
          <w:sz w:val="18"/>
          <w:szCs w:val="18"/>
        </w:rPr>
      </w:pPr>
      <w:r>
        <w:rPr>
          <w:rFonts w:ascii="宋体" w:hAnsi="宋体" w:cs="宋体"/>
          <w:sz w:val="18"/>
          <w:szCs w:val="18"/>
        </w:rPr>
        <w:t xml:space="preserve">按组合计提坏账准备： </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 xml:space="preserve">（2） 性质组合的应收账款 </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以信用证结算的销售货款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33,144,347.61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33,144,347.61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确定该组合依据的说明：</w:t>
      </w:r>
    </w:p>
    <w:p w:rsidR="00C526AC" w:rsidRDefault="00E0175D">
      <w:pPr>
        <w:pStyle w:val="a3"/>
        <w:widowControl/>
      </w:pPr>
      <w:r>
        <w:rPr>
          <w:rFonts w:ascii="宋体" w:hAnsi="宋体" w:cs="宋体" w:hint="eastAsia"/>
          <w:sz w:val="18"/>
          <w:szCs w:val="18"/>
        </w:rPr>
        <w:t>本公司以信用证结算销售货款余额账龄均在一年以内，该部分欠款购买了商业保险，回款正常，本公司经过单项测试，认为不存在信用风险，因此，未对期末信用证结算的销售货款计提坏账准备。</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如是按照预期信用损失一般模型计提应收账款坏账准备，请参照其他应收款的披露方式披露坏账准备的相关信息：</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按账龄披露</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1,359,394,658.31</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31,949,972.06</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20,461,936.74</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3,944,902.55</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1,770,895.66</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1,861,187.97</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312,818.92</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1,415,751,469.66</w:t>
            </w:r>
          </w:p>
        </w:tc>
      </w:tr>
    </w:tbl>
    <w:p w:rsidR="00C526AC" w:rsidRDefault="00E0175D">
      <w:pPr>
        <w:keepNext/>
        <w:keepLines/>
        <w:spacing w:before="300" w:after="300" w:line="280" w:lineRule="exact"/>
        <w:jc w:val="left"/>
        <w:outlineLvl w:val="3"/>
        <w:rPr>
          <w:rFonts w:ascii="宋体" w:hAnsi="宋体" w:cs="宋体"/>
          <w:b/>
          <w:bCs/>
          <w:szCs w:val="21"/>
        </w:rPr>
      </w:pPr>
      <w:bookmarkStart w:id="92" w:name="_Toc989082"/>
      <w:r>
        <w:rPr>
          <w:rFonts w:ascii="宋体" w:hAnsi="宋体" w:cs="宋体"/>
          <w:b/>
          <w:bCs/>
          <w:szCs w:val="21"/>
        </w:rPr>
        <w:t>（2） 本期计提、收回或转回的坏账准备情况</w:t>
      </w:r>
      <w:bookmarkEnd w:id="92"/>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本期计提坏账准备情况：</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566"/>
        <w:gridCol w:w="1418"/>
        <w:gridCol w:w="1276"/>
        <w:gridCol w:w="992"/>
        <w:gridCol w:w="1417"/>
        <w:gridCol w:w="1593"/>
      </w:tblGrid>
      <w:tr w:rsidR="00C526AC" w:rsidTr="007B6DF4">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156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510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本期变动金额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7B6DF4">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tc>
        <w:tc>
          <w:tcPr>
            <w:tcW w:w="156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收回或转回</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核销</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单项计提预期信用损失的应收账款</w:t>
            </w:r>
          </w:p>
        </w:tc>
        <w:tc>
          <w:tcPr>
            <w:tcW w:w="156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126,015,819.79</w:t>
            </w:r>
          </w:p>
        </w:tc>
        <w:tc>
          <w:tcPr>
            <w:tcW w:w="141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6,417.34</w:t>
            </w:r>
          </w:p>
        </w:tc>
        <w:tc>
          <w:tcPr>
            <w:tcW w:w="992"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1,033,138.24</w:t>
            </w:r>
          </w:p>
        </w:tc>
        <w:tc>
          <w:tcPr>
            <w:tcW w:w="159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127,042,540.69</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预期信用风险组合</w:t>
            </w:r>
          </w:p>
        </w:tc>
        <w:tc>
          <w:tcPr>
            <w:tcW w:w="156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52,220,073.28</w:t>
            </w:r>
          </w:p>
        </w:tc>
        <w:tc>
          <w:tcPr>
            <w:tcW w:w="141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14,767,715.22</w:t>
            </w:r>
          </w:p>
        </w:tc>
        <w:tc>
          <w:tcPr>
            <w:tcW w:w="12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8,256.61</w:t>
            </w:r>
          </w:p>
        </w:tc>
        <w:tc>
          <w:tcPr>
            <w:tcW w:w="141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158,897.54</w:t>
            </w:r>
          </w:p>
        </w:tc>
        <w:tc>
          <w:tcPr>
            <w:tcW w:w="159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67,138,429.43</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56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178,235,893.07</w:t>
            </w:r>
          </w:p>
        </w:tc>
        <w:tc>
          <w:tcPr>
            <w:tcW w:w="141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14,767,715.22</w:t>
            </w:r>
          </w:p>
        </w:tc>
        <w:tc>
          <w:tcPr>
            <w:tcW w:w="12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6,417.34</w:t>
            </w:r>
          </w:p>
        </w:tc>
        <w:tc>
          <w:tcPr>
            <w:tcW w:w="99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8,256.61</w:t>
            </w:r>
          </w:p>
        </w:tc>
        <w:tc>
          <w:tcPr>
            <w:tcW w:w="141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1,192,035.78</w:t>
            </w:r>
          </w:p>
        </w:tc>
        <w:tc>
          <w:tcPr>
            <w:tcW w:w="159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194,180,970.12</w:t>
            </w:r>
          </w:p>
        </w:tc>
      </w:tr>
    </w:tbl>
    <w:p w:rsidR="00C526AC" w:rsidRPr="007775F3" w:rsidRDefault="00E0175D" w:rsidP="007775F3">
      <w:pPr>
        <w:spacing w:before="100" w:after="100" w:line="240" w:lineRule="exact"/>
        <w:jc w:val="left"/>
        <w:rPr>
          <w:rFonts w:ascii="宋体" w:hAnsi="宋体" w:cs="宋体"/>
          <w:sz w:val="18"/>
          <w:szCs w:val="18"/>
        </w:rPr>
      </w:pPr>
      <w:r>
        <w:rPr>
          <w:rFonts w:ascii="宋体" w:hAnsi="宋体" w:cs="宋体"/>
          <w:sz w:val="18"/>
          <w:szCs w:val="18"/>
        </w:rPr>
        <w:t>其中本期坏账准备收回或转回金额重要的：</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93" w:name="_Toc989083"/>
      <w:r>
        <w:rPr>
          <w:rFonts w:ascii="宋体" w:hAnsi="宋体" w:cs="宋体"/>
          <w:b/>
          <w:bCs/>
          <w:szCs w:val="21"/>
        </w:rPr>
        <w:t>（3） 本期实际核销的应收账款情况</w:t>
      </w:r>
      <w:bookmarkEnd w:id="93"/>
    </w:p>
    <w:p w:rsidR="00C526AC" w:rsidRPr="007775F3" w:rsidRDefault="00E0175D" w:rsidP="007775F3">
      <w:pPr>
        <w:spacing w:before="100" w:after="100" w:line="240" w:lineRule="exact"/>
        <w:jc w:val="left"/>
        <w:rPr>
          <w:rFonts w:ascii="宋体" w:hAnsi="宋体" w:cs="宋体"/>
          <w:sz w:val="18"/>
          <w:szCs w:val="18"/>
        </w:rPr>
      </w:pPr>
      <w:r>
        <w:rPr>
          <w:rFonts w:ascii="宋体" w:hAnsi="宋体" w:cs="宋体"/>
          <w:sz w:val="18"/>
          <w:szCs w:val="18"/>
        </w:rPr>
        <w:t>应收账款核销说明：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94" w:name="_Toc989084"/>
      <w:r>
        <w:rPr>
          <w:rFonts w:ascii="宋体" w:hAnsi="宋体" w:cs="宋体"/>
          <w:b/>
          <w:bCs/>
          <w:szCs w:val="21"/>
        </w:rPr>
        <w:t>（4） 按欠款方归集的期末余额前五名的应收账款情况</w:t>
      </w:r>
      <w:bookmarkEnd w:id="9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坏账准备期末余额</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第一名</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345,549,208.69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24.41%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17,277,460.43</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第二名</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288,854,011.84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20.40%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14,442,700.59</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第三名</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56,984,786.45</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56,984,786.45</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第四名</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31,387,556.57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1,569,377.83</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第五名</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24,794,465.68</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1.75%</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24,794,465.68</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747,570,029.23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52.81%</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Default="00E0175D">
      <w:pPr>
        <w:keepNext/>
        <w:keepLines/>
        <w:spacing w:before="300" w:after="300" w:line="280" w:lineRule="exact"/>
        <w:jc w:val="left"/>
        <w:outlineLvl w:val="3"/>
        <w:rPr>
          <w:rFonts w:ascii="宋体" w:hAnsi="宋体" w:cs="宋体"/>
          <w:b/>
          <w:bCs/>
          <w:szCs w:val="21"/>
        </w:rPr>
      </w:pPr>
      <w:bookmarkStart w:id="95" w:name="_Toc989085"/>
      <w:r>
        <w:rPr>
          <w:rFonts w:ascii="宋体" w:hAnsi="宋体" w:cs="宋体"/>
          <w:b/>
          <w:bCs/>
          <w:szCs w:val="21"/>
        </w:rPr>
        <w:t>（5） 因金融资产转移而终止确认的应收账款</w:t>
      </w:r>
      <w:bookmarkEnd w:id="95"/>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96" w:name="_Toc989086"/>
      <w:r>
        <w:rPr>
          <w:rFonts w:ascii="宋体" w:hAnsi="宋体" w:cs="宋体"/>
          <w:b/>
          <w:bCs/>
          <w:szCs w:val="21"/>
        </w:rPr>
        <w:t>（6） 转移应收账款且继续涉入形成的资产、负债金额</w:t>
      </w:r>
      <w:bookmarkEnd w:id="96"/>
    </w:p>
    <w:p w:rsidR="00C526AC" w:rsidRDefault="00E0175D">
      <w:pPr>
        <w:pStyle w:val="a3"/>
        <w:widowControl/>
      </w:pP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97" w:name="_Toc989087"/>
      <w:r>
        <w:rPr>
          <w:rFonts w:ascii="宋体" w:hAnsi="宋体" w:cs="宋体"/>
          <w:b/>
          <w:bCs/>
          <w:szCs w:val="21"/>
        </w:rPr>
        <w:t>6、应收款项融资</w:t>
      </w:r>
      <w:bookmarkEnd w:id="97"/>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应收款项融资本期增减变动及公允价值变动情况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如是按照预期信用损失一般模型计提应收款项融资减值准备，请参照其他应收款的披露方式披露减值准备的相关信息：</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98" w:name="_Toc989088"/>
      <w:r>
        <w:rPr>
          <w:rFonts w:ascii="宋体" w:hAnsi="宋体" w:cs="宋体"/>
          <w:b/>
          <w:bCs/>
          <w:szCs w:val="21"/>
        </w:rPr>
        <w:t>7、预付款项</w:t>
      </w:r>
      <w:bookmarkEnd w:id="98"/>
    </w:p>
    <w:p w:rsidR="00C526AC" w:rsidRDefault="00E0175D">
      <w:pPr>
        <w:keepNext/>
        <w:keepLines/>
        <w:spacing w:before="300" w:after="300" w:line="280" w:lineRule="exact"/>
        <w:jc w:val="left"/>
        <w:outlineLvl w:val="3"/>
        <w:rPr>
          <w:rFonts w:ascii="宋体" w:hAnsi="宋体" w:cs="宋体"/>
          <w:b/>
          <w:bCs/>
          <w:szCs w:val="21"/>
        </w:rPr>
      </w:pPr>
      <w:bookmarkStart w:id="99" w:name="_Toc989089"/>
      <w:r>
        <w:rPr>
          <w:rFonts w:ascii="宋体" w:hAnsi="宋体" w:cs="宋体"/>
          <w:b/>
          <w:bCs/>
          <w:szCs w:val="21"/>
        </w:rPr>
        <w:t>（1） 预付款项按账龄列示</w:t>
      </w:r>
      <w:bookmarkEnd w:id="9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632,410,719.17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99.92%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604,536,607.49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99.61%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334,672.79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1,319,182.12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0.22%</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27,428.99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703,598.96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0.12%</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145,462.98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273,560.61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0.05%</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632,918,283.93</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606,832,949.18</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账龄超过1年且金额重要的预付款项未及时结算原因的说明：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100" w:name="_Toc989090"/>
      <w:r>
        <w:rPr>
          <w:rFonts w:ascii="宋体" w:hAnsi="宋体" w:cs="宋体"/>
          <w:b/>
          <w:bCs/>
          <w:szCs w:val="21"/>
        </w:rPr>
        <w:t>（2） 按预付对象归集的期末余额前五名的预付款情况</w:t>
      </w:r>
      <w:bookmarkEnd w:id="100"/>
    </w:p>
    <w:tbl>
      <w:tblPr>
        <w:tblW w:w="9823" w:type="dxa"/>
        <w:jc w:val="center"/>
        <w:tblCellMar>
          <w:left w:w="0" w:type="dxa"/>
          <w:right w:w="0" w:type="dxa"/>
        </w:tblCellMar>
        <w:tblLook w:val="04A0" w:firstRow="1" w:lastRow="0" w:firstColumn="1" w:lastColumn="0" w:noHBand="0" w:noVBand="1"/>
      </w:tblPr>
      <w:tblGrid>
        <w:gridCol w:w="1285"/>
        <w:gridCol w:w="2143"/>
        <w:gridCol w:w="3124"/>
        <w:gridCol w:w="1353"/>
        <w:gridCol w:w="1918"/>
      </w:tblGrid>
      <w:tr w:rsidR="00C526AC" w:rsidTr="004D4867">
        <w:trPr>
          <w:trHeight w:val="165"/>
          <w:jc w:val="center"/>
        </w:trPr>
        <w:tc>
          <w:tcPr>
            <w:tcW w:w="1285" w:type="dxa"/>
            <w:tcBorders>
              <w:top w:val="single" w:sz="8" w:space="0" w:color="auto"/>
              <w:left w:val="single" w:sz="8" w:space="0" w:color="auto"/>
              <w:bottom w:val="single" w:sz="8" w:space="0" w:color="auto"/>
              <w:right w:val="single" w:sz="8" w:space="0" w:color="auto"/>
            </w:tcBorders>
            <w:shd w:val="clear" w:color="auto" w:fill="auto"/>
            <w:vAlign w:val="center"/>
          </w:tcPr>
          <w:p w:rsidR="00C526AC" w:rsidRDefault="00E0175D" w:rsidP="004D4867">
            <w:pPr>
              <w:widowControl/>
              <w:textAlignment w:val="center"/>
              <w:rPr>
                <w:rFonts w:ascii="宋体" w:hAnsi="宋体" w:cs="宋体"/>
                <w:sz w:val="18"/>
                <w:szCs w:val="18"/>
              </w:rPr>
            </w:pPr>
            <w:r>
              <w:rPr>
                <w:rFonts w:ascii="宋体" w:hAnsi="宋体" w:cs="宋体" w:hint="eastAsia"/>
                <w:sz w:val="18"/>
                <w:szCs w:val="18"/>
                <w:lang w:bidi="ar"/>
              </w:rPr>
              <w:t> 单位名称 </w:t>
            </w:r>
          </w:p>
        </w:tc>
        <w:tc>
          <w:tcPr>
            <w:tcW w:w="2143" w:type="dxa"/>
            <w:tcBorders>
              <w:top w:val="single" w:sz="8" w:space="0" w:color="auto"/>
              <w:left w:val="nil"/>
              <w:bottom w:val="single" w:sz="8" w:space="0" w:color="auto"/>
              <w:right w:val="single" w:sz="8" w:space="0" w:color="auto"/>
            </w:tcBorders>
            <w:shd w:val="clear" w:color="auto" w:fill="auto"/>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 期末余额 </w:t>
            </w:r>
          </w:p>
        </w:tc>
        <w:tc>
          <w:tcPr>
            <w:tcW w:w="3124" w:type="dxa"/>
            <w:tcBorders>
              <w:top w:val="single" w:sz="8" w:space="0" w:color="auto"/>
              <w:left w:val="nil"/>
              <w:bottom w:val="single" w:sz="8" w:space="0" w:color="auto"/>
              <w:right w:val="single" w:sz="8" w:space="0" w:color="auto"/>
            </w:tcBorders>
            <w:shd w:val="clear" w:color="auto" w:fill="auto"/>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 占预付账款期末余额的比例(%) </w:t>
            </w:r>
          </w:p>
        </w:tc>
        <w:tc>
          <w:tcPr>
            <w:tcW w:w="1353" w:type="dxa"/>
            <w:tcBorders>
              <w:top w:val="single" w:sz="8" w:space="0" w:color="auto"/>
              <w:left w:val="nil"/>
              <w:bottom w:val="single" w:sz="8" w:space="0" w:color="auto"/>
              <w:right w:val="single" w:sz="8" w:space="0" w:color="auto"/>
            </w:tcBorders>
            <w:shd w:val="clear" w:color="auto" w:fill="auto"/>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 账龄 </w:t>
            </w:r>
          </w:p>
        </w:tc>
        <w:tc>
          <w:tcPr>
            <w:tcW w:w="1918" w:type="dxa"/>
            <w:tcBorders>
              <w:top w:val="single" w:sz="8" w:space="0" w:color="auto"/>
              <w:left w:val="nil"/>
              <w:bottom w:val="single" w:sz="8" w:space="0" w:color="auto"/>
              <w:right w:val="single" w:sz="8" w:space="0" w:color="auto"/>
            </w:tcBorders>
            <w:shd w:val="clear" w:color="auto" w:fill="auto"/>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 未结算原因 </w:t>
            </w:r>
          </w:p>
        </w:tc>
      </w:tr>
      <w:tr w:rsidR="00ED4EB7" w:rsidTr="004D4867">
        <w:trPr>
          <w:trHeight w:val="300"/>
          <w:jc w:val="center"/>
        </w:trPr>
        <w:tc>
          <w:tcPr>
            <w:tcW w:w="1285" w:type="dxa"/>
            <w:tcBorders>
              <w:top w:val="nil"/>
              <w:left w:val="single" w:sz="8" w:space="0" w:color="auto"/>
              <w:bottom w:val="single" w:sz="8" w:space="0" w:color="auto"/>
              <w:right w:val="single" w:sz="8" w:space="0" w:color="auto"/>
            </w:tcBorders>
            <w:shd w:val="clear" w:color="auto" w:fill="auto"/>
            <w:vAlign w:val="center"/>
          </w:tcPr>
          <w:p w:rsidR="00ED4EB7" w:rsidRDefault="00ED4EB7">
            <w:pPr>
              <w:widowControl/>
              <w:textAlignment w:val="center"/>
              <w:rPr>
                <w:rFonts w:ascii="宋体" w:hAnsi="宋体" w:cs="宋体"/>
                <w:sz w:val="18"/>
                <w:szCs w:val="18"/>
              </w:rPr>
            </w:pPr>
            <w:r>
              <w:rPr>
                <w:rFonts w:ascii="宋体" w:hAnsi="宋体" w:cs="宋体" w:hint="eastAsia"/>
                <w:sz w:val="18"/>
                <w:szCs w:val="18"/>
                <w:lang w:bidi="ar"/>
              </w:rPr>
              <w:t> 第一名 </w:t>
            </w:r>
          </w:p>
        </w:tc>
        <w:tc>
          <w:tcPr>
            <w:tcW w:w="2143"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sidRPr="00ED4EB7">
              <w:rPr>
                <w:rFonts w:ascii="宋体" w:hAnsi="宋体" w:cs="宋体"/>
                <w:sz w:val="18"/>
                <w:szCs w:val="18"/>
              </w:rPr>
              <w:t>166,209,330.43</w:t>
            </w:r>
          </w:p>
        </w:tc>
        <w:tc>
          <w:tcPr>
            <w:tcW w:w="3124"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sidRPr="00ED4EB7">
              <w:rPr>
                <w:rFonts w:ascii="宋体" w:hAnsi="宋体" w:cs="宋体"/>
                <w:sz w:val="18"/>
                <w:szCs w:val="18"/>
              </w:rPr>
              <w:t xml:space="preserve">              26.26</w:t>
            </w:r>
          </w:p>
        </w:tc>
        <w:tc>
          <w:tcPr>
            <w:tcW w:w="1353"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一年以内 </w:t>
            </w:r>
          </w:p>
        </w:tc>
        <w:tc>
          <w:tcPr>
            <w:tcW w:w="1918"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合同未执行完毕 </w:t>
            </w:r>
          </w:p>
        </w:tc>
      </w:tr>
      <w:tr w:rsidR="00ED4EB7" w:rsidTr="004D4867">
        <w:trPr>
          <w:trHeight w:val="300"/>
          <w:jc w:val="center"/>
        </w:trPr>
        <w:tc>
          <w:tcPr>
            <w:tcW w:w="1285" w:type="dxa"/>
            <w:tcBorders>
              <w:top w:val="nil"/>
              <w:left w:val="single" w:sz="8" w:space="0" w:color="auto"/>
              <w:bottom w:val="single" w:sz="8" w:space="0" w:color="auto"/>
              <w:right w:val="single" w:sz="8" w:space="0" w:color="auto"/>
            </w:tcBorders>
            <w:shd w:val="clear" w:color="auto" w:fill="auto"/>
            <w:vAlign w:val="center"/>
          </w:tcPr>
          <w:p w:rsidR="00ED4EB7" w:rsidRDefault="00ED4EB7">
            <w:pPr>
              <w:widowControl/>
              <w:textAlignment w:val="center"/>
              <w:rPr>
                <w:rFonts w:ascii="宋体" w:hAnsi="宋体" w:cs="宋体"/>
                <w:sz w:val="18"/>
                <w:szCs w:val="18"/>
              </w:rPr>
            </w:pPr>
            <w:r>
              <w:rPr>
                <w:rFonts w:ascii="宋体" w:hAnsi="宋体" w:cs="宋体" w:hint="eastAsia"/>
                <w:sz w:val="18"/>
                <w:szCs w:val="18"/>
                <w:lang w:bidi="ar"/>
              </w:rPr>
              <w:t> 第二名 </w:t>
            </w:r>
          </w:p>
        </w:tc>
        <w:tc>
          <w:tcPr>
            <w:tcW w:w="2143"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152,330,487.29</w:t>
            </w:r>
          </w:p>
        </w:tc>
        <w:tc>
          <w:tcPr>
            <w:tcW w:w="3124"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 xml:space="preserve"> 24.07</w:t>
            </w:r>
          </w:p>
        </w:tc>
        <w:tc>
          <w:tcPr>
            <w:tcW w:w="1353"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一年以内 </w:t>
            </w:r>
          </w:p>
        </w:tc>
        <w:tc>
          <w:tcPr>
            <w:tcW w:w="1918"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合同未执行完毕 </w:t>
            </w:r>
          </w:p>
        </w:tc>
      </w:tr>
      <w:tr w:rsidR="00ED4EB7" w:rsidTr="004D4867">
        <w:trPr>
          <w:trHeight w:val="300"/>
          <w:jc w:val="center"/>
        </w:trPr>
        <w:tc>
          <w:tcPr>
            <w:tcW w:w="1285" w:type="dxa"/>
            <w:tcBorders>
              <w:top w:val="nil"/>
              <w:left w:val="single" w:sz="8" w:space="0" w:color="auto"/>
              <w:bottom w:val="single" w:sz="8" w:space="0" w:color="auto"/>
              <w:right w:val="single" w:sz="8" w:space="0" w:color="auto"/>
            </w:tcBorders>
            <w:shd w:val="clear" w:color="auto" w:fill="auto"/>
            <w:vAlign w:val="center"/>
          </w:tcPr>
          <w:p w:rsidR="00ED4EB7" w:rsidRDefault="00ED4EB7">
            <w:pPr>
              <w:widowControl/>
              <w:textAlignment w:val="center"/>
              <w:rPr>
                <w:rFonts w:ascii="宋体" w:hAnsi="宋体" w:cs="宋体"/>
                <w:sz w:val="18"/>
                <w:szCs w:val="18"/>
              </w:rPr>
            </w:pPr>
            <w:r>
              <w:rPr>
                <w:rFonts w:ascii="宋体" w:hAnsi="宋体" w:cs="宋体" w:hint="eastAsia"/>
                <w:sz w:val="18"/>
                <w:szCs w:val="18"/>
                <w:lang w:bidi="ar"/>
              </w:rPr>
              <w:t> 第三名 </w:t>
            </w:r>
          </w:p>
        </w:tc>
        <w:tc>
          <w:tcPr>
            <w:tcW w:w="2143"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114,169,352.00</w:t>
            </w:r>
          </w:p>
        </w:tc>
        <w:tc>
          <w:tcPr>
            <w:tcW w:w="3124"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 xml:space="preserve"> 18.04</w:t>
            </w:r>
          </w:p>
        </w:tc>
        <w:tc>
          <w:tcPr>
            <w:tcW w:w="1353"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一年以内 </w:t>
            </w:r>
          </w:p>
        </w:tc>
        <w:tc>
          <w:tcPr>
            <w:tcW w:w="1918"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合同未执行完毕 </w:t>
            </w:r>
          </w:p>
        </w:tc>
      </w:tr>
      <w:tr w:rsidR="00ED4EB7" w:rsidTr="004D4867">
        <w:trPr>
          <w:trHeight w:val="300"/>
          <w:jc w:val="center"/>
        </w:trPr>
        <w:tc>
          <w:tcPr>
            <w:tcW w:w="1285" w:type="dxa"/>
            <w:tcBorders>
              <w:top w:val="nil"/>
              <w:left w:val="single" w:sz="8" w:space="0" w:color="auto"/>
              <w:bottom w:val="single" w:sz="8" w:space="0" w:color="auto"/>
              <w:right w:val="single" w:sz="8" w:space="0" w:color="auto"/>
            </w:tcBorders>
            <w:shd w:val="clear" w:color="auto" w:fill="auto"/>
            <w:vAlign w:val="center"/>
          </w:tcPr>
          <w:p w:rsidR="00ED4EB7" w:rsidRDefault="00ED4EB7">
            <w:pPr>
              <w:widowControl/>
              <w:textAlignment w:val="center"/>
              <w:rPr>
                <w:rFonts w:ascii="宋体" w:hAnsi="宋体" w:cs="宋体"/>
                <w:sz w:val="18"/>
                <w:szCs w:val="18"/>
              </w:rPr>
            </w:pPr>
            <w:r>
              <w:rPr>
                <w:rFonts w:ascii="宋体" w:hAnsi="宋体" w:cs="宋体" w:hint="eastAsia"/>
                <w:sz w:val="18"/>
                <w:szCs w:val="18"/>
                <w:lang w:bidi="ar"/>
              </w:rPr>
              <w:t> 第四名 </w:t>
            </w:r>
          </w:p>
        </w:tc>
        <w:tc>
          <w:tcPr>
            <w:tcW w:w="2143"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98,820,000.00</w:t>
            </w:r>
          </w:p>
        </w:tc>
        <w:tc>
          <w:tcPr>
            <w:tcW w:w="3124"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 xml:space="preserve">  15.61</w:t>
            </w:r>
          </w:p>
        </w:tc>
        <w:tc>
          <w:tcPr>
            <w:tcW w:w="1353"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一年以内 </w:t>
            </w:r>
          </w:p>
        </w:tc>
        <w:tc>
          <w:tcPr>
            <w:tcW w:w="1918"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合同未执行完毕 </w:t>
            </w:r>
          </w:p>
        </w:tc>
      </w:tr>
      <w:tr w:rsidR="00ED4EB7" w:rsidTr="004D4867">
        <w:trPr>
          <w:trHeight w:val="300"/>
          <w:jc w:val="center"/>
        </w:trPr>
        <w:tc>
          <w:tcPr>
            <w:tcW w:w="1285" w:type="dxa"/>
            <w:tcBorders>
              <w:top w:val="nil"/>
              <w:left w:val="single" w:sz="8" w:space="0" w:color="auto"/>
              <w:bottom w:val="single" w:sz="8" w:space="0" w:color="auto"/>
              <w:right w:val="single" w:sz="8" w:space="0" w:color="auto"/>
            </w:tcBorders>
            <w:shd w:val="clear" w:color="auto" w:fill="auto"/>
            <w:vAlign w:val="center"/>
          </w:tcPr>
          <w:p w:rsidR="00ED4EB7" w:rsidRDefault="00ED4EB7">
            <w:pPr>
              <w:widowControl/>
              <w:textAlignment w:val="center"/>
              <w:rPr>
                <w:rFonts w:ascii="宋体" w:hAnsi="宋体" w:cs="宋体"/>
                <w:sz w:val="18"/>
                <w:szCs w:val="18"/>
              </w:rPr>
            </w:pPr>
            <w:r>
              <w:rPr>
                <w:rFonts w:ascii="宋体" w:hAnsi="宋体" w:cs="宋体" w:hint="eastAsia"/>
                <w:sz w:val="18"/>
                <w:szCs w:val="18"/>
                <w:lang w:bidi="ar"/>
              </w:rPr>
              <w:t> 第五名 </w:t>
            </w:r>
          </w:p>
        </w:tc>
        <w:tc>
          <w:tcPr>
            <w:tcW w:w="2143"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76,983,000.00</w:t>
            </w:r>
          </w:p>
        </w:tc>
        <w:tc>
          <w:tcPr>
            <w:tcW w:w="3124"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12.16</w:t>
            </w:r>
          </w:p>
        </w:tc>
        <w:tc>
          <w:tcPr>
            <w:tcW w:w="1353"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一年以内 </w:t>
            </w:r>
          </w:p>
        </w:tc>
        <w:tc>
          <w:tcPr>
            <w:tcW w:w="1918" w:type="dxa"/>
            <w:tcBorders>
              <w:top w:val="nil"/>
              <w:left w:val="nil"/>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合同未执行完毕 </w:t>
            </w:r>
          </w:p>
        </w:tc>
      </w:tr>
      <w:tr w:rsidR="00ED4EB7" w:rsidTr="004D4867">
        <w:trPr>
          <w:trHeight w:val="63"/>
          <w:jc w:val="center"/>
        </w:trPr>
        <w:tc>
          <w:tcPr>
            <w:tcW w:w="1285" w:type="dxa"/>
            <w:tcBorders>
              <w:top w:val="nil"/>
              <w:left w:val="single" w:sz="8" w:space="0" w:color="auto"/>
              <w:bottom w:val="single" w:sz="8" w:space="0" w:color="auto"/>
              <w:right w:val="single" w:sz="8" w:space="0" w:color="auto"/>
            </w:tcBorders>
            <w:shd w:val="clear" w:color="auto" w:fill="auto"/>
            <w:vAlign w:val="center"/>
          </w:tcPr>
          <w:p w:rsidR="00ED4EB7" w:rsidRDefault="00ED4EB7">
            <w:pPr>
              <w:widowControl/>
              <w:jc w:val="center"/>
              <w:textAlignment w:val="center"/>
              <w:rPr>
                <w:rFonts w:ascii="宋体" w:hAnsi="宋体" w:cs="宋体"/>
                <w:sz w:val="18"/>
                <w:szCs w:val="18"/>
              </w:rPr>
            </w:pPr>
            <w:r>
              <w:rPr>
                <w:rFonts w:ascii="宋体" w:hAnsi="宋体" w:cs="宋体" w:hint="eastAsia"/>
                <w:sz w:val="18"/>
                <w:szCs w:val="18"/>
                <w:lang w:bidi="ar"/>
              </w:rPr>
              <w:t> 合计 </w:t>
            </w:r>
          </w:p>
        </w:tc>
        <w:tc>
          <w:tcPr>
            <w:tcW w:w="2143"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608,512,169.72</w:t>
            </w:r>
          </w:p>
        </w:tc>
        <w:tc>
          <w:tcPr>
            <w:tcW w:w="3124" w:type="dxa"/>
            <w:tcBorders>
              <w:top w:val="nil"/>
              <w:left w:val="nil"/>
              <w:bottom w:val="single" w:sz="8" w:space="0" w:color="auto"/>
              <w:right w:val="single" w:sz="8" w:space="0" w:color="auto"/>
            </w:tcBorders>
            <w:shd w:val="clear" w:color="auto" w:fill="auto"/>
            <w:vAlign w:val="center"/>
          </w:tcPr>
          <w:p w:rsidR="00ED4EB7" w:rsidRPr="00ED4EB7" w:rsidRDefault="00ED4EB7" w:rsidP="00ED4EB7">
            <w:pPr>
              <w:spacing w:line="240" w:lineRule="exact"/>
              <w:jc w:val="right"/>
              <w:rPr>
                <w:rFonts w:ascii="宋体" w:hAnsi="宋体" w:cs="宋体"/>
                <w:sz w:val="18"/>
                <w:szCs w:val="18"/>
              </w:rPr>
            </w:pPr>
            <w:r>
              <w:rPr>
                <w:rFonts w:ascii="宋体" w:hAnsi="宋体" w:cs="宋体"/>
                <w:sz w:val="18"/>
                <w:szCs w:val="18"/>
              </w:rPr>
              <w:t xml:space="preserve">      </w:t>
            </w:r>
            <w:r w:rsidRPr="00ED4EB7">
              <w:rPr>
                <w:rFonts w:ascii="宋体" w:hAnsi="宋体" w:cs="宋体"/>
                <w:sz w:val="18"/>
                <w:szCs w:val="18"/>
              </w:rPr>
              <w:t xml:space="preserve"> 96.14</w:t>
            </w:r>
          </w:p>
        </w:tc>
        <w:tc>
          <w:tcPr>
            <w:tcW w:w="1353" w:type="dxa"/>
            <w:tcBorders>
              <w:top w:val="nil"/>
              <w:left w:val="nil"/>
              <w:bottom w:val="single" w:sz="8" w:space="0" w:color="auto"/>
              <w:right w:val="single" w:sz="8" w:space="0" w:color="auto"/>
            </w:tcBorders>
            <w:shd w:val="clear" w:color="auto" w:fill="auto"/>
            <w:vAlign w:val="center"/>
          </w:tcPr>
          <w:p w:rsidR="00ED4EB7" w:rsidRDefault="00ED4EB7">
            <w:pPr>
              <w:widowControl/>
              <w:textAlignment w:val="center"/>
              <w:rPr>
                <w:rFonts w:ascii="Arial Narrow" w:eastAsia="Arial Narrow" w:hAnsi="Arial Narrow" w:cs="Arial Narrow"/>
                <w:sz w:val="18"/>
                <w:szCs w:val="18"/>
              </w:rPr>
            </w:pPr>
            <w:r>
              <w:rPr>
                <w:rFonts w:ascii="Arial Narrow" w:eastAsia="Arial Narrow" w:hAnsi="Arial Narrow" w:cs="Arial Narrow"/>
                <w:sz w:val="18"/>
                <w:szCs w:val="18"/>
                <w:lang w:bidi="ar"/>
              </w:rPr>
              <w:t xml:space="preserve">　</w:t>
            </w:r>
          </w:p>
        </w:tc>
        <w:tc>
          <w:tcPr>
            <w:tcW w:w="1918" w:type="dxa"/>
            <w:tcBorders>
              <w:top w:val="nil"/>
              <w:left w:val="nil"/>
              <w:bottom w:val="single" w:sz="8" w:space="0" w:color="auto"/>
              <w:right w:val="single" w:sz="8" w:space="0" w:color="auto"/>
            </w:tcBorders>
            <w:shd w:val="clear" w:color="auto" w:fill="auto"/>
            <w:noWrap/>
            <w:vAlign w:val="center"/>
          </w:tcPr>
          <w:p w:rsidR="00ED4EB7" w:rsidRDefault="00ED4EB7">
            <w:pPr>
              <w:widowControl/>
              <w:textAlignment w:val="center"/>
              <w:rPr>
                <w:rFonts w:ascii="Arial Narrow" w:eastAsia="Arial Narrow" w:hAnsi="Arial Narrow" w:cs="Arial Narrow"/>
                <w:sz w:val="22"/>
              </w:rPr>
            </w:pPr>
            <w:r>
              <w:rPr>
                <w:rFonts w:ascii="宋体" w:hAnsi="宋体" w:cs="宋体" w:hint="eastAsia"/>
                <w:sz w:val="22"/>
                <w:lang w:bidi="ar"/>
              </w:rPr>
              <w:t xml:space="preserve">　</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01" w:name="_Toc989091"/>
      <w:r>
        <w:rPr>
          <w:rFonts w:ascii="宋体" w:hAnsi="宋体" w:cs="宋体"/>
          <w:b/>
          <w:bCs/>
          <w:szCs w:val="21"/>
        </w:rPr>
        <w:t>8、其他应收款</w:t>
      </w:r>
      <w:bookmarkEnd w:id="10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258,371,840.39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403,377,393.22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258,371,840.39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403,377,393.22</w:t>
            </w:r>
          </w:p>
        </w:tc>
      </w:tr>
    </w:tbl>
    <w:p w:rsidR="00C526AC" w:rsidRDefault="00E0175D">
      <w:pPr>
        <w:keepNext/>
        <w:keepLines/>
        <w:spacing w:before="300" w:after="300" w:line="280" w:lineRule="exact"/>
        <w:jc w:val="left"/>
        <w:outlineLvl w:val="3"/>
        <w:rPr>
          <w:rFonts w:ascii="宋体" w:hAnsi="宋体" w:cs="宋体"/>
          <w:b/>
          <w:bCs/>
          <w:szCs w:val="21"/>
        </w:rPr>
      </w:pPr>
      <w:bookmarkStart w:id="102" w:name="_Toc989092"/>
      <w:r>
        <w:rPr>
          <w:rFonts w:ascii="宋体" w:hAnsi="宋体" w:cs="宋体"/>
          <w:b/>
          <w:bCs/>
          <w:szCs w:val="21"/>
        </w:rPr>
        <w:t>（1） 应收利息</w:t>
      </w:r>
      <w:bookmarkEnd w:id="102"/>
    </w:p>
    <w:p w:rsidR="00C526AC" w:rsidRDefault="00E0175D">
      <w:pPr>
        <w:keepNext/>
        <w:keepLines/>
        <w:spacing w:before="300" w:after="300" w:line="280" w:lineRule="exact"/>
        <w:jc w:val="left"/>
        <w:outlineLvl w:val="4"/>
        <w:rPr>
          <w:rFonts w:ascii="宋体" w:hAnsi="宋体" w:cs="宋体"/>
          <w:b/>
          <w:bCs/>
          <w:szCs w:val="21"/>
        </w:rPr>
      </w:pPr>
      <w:bookmarkStart w:id="103" w:name="_Toc989093"/>
      <w:r>
        <w:rPr>
          <w:rFonts w:ascii="宋体" w:hAnsi="宋体" w:cs="宋体"/>
          <w:b/>
          <w:bCs/>
          <w:szCs w:val="21"/>
        </w:rPr>
        <w:t>1） 应收利息分类</w:t>
      </w:r>
      <w:bookmarkEnd w:id="103"/>
    </w:p>
    <w:p w:rsidR="00C526AC" w:rsidRDefault="00E0175D">
      <w:pPr>
        <w:keepNext/>
        <w:keepLines/>
        <w:spacing w:before="300" w:after="300" w:line="280" w:lineRule="exact"/>
        <w:jc w:val="left"/>
        <w:outlineLvl w:val="4"/>
        <w:rPr>
          <w:rFonts w:ascii="宋体" w:hAnsi="宋体" w:cs="宋体"/>
          <w:b/>
          <w:bCs/>
          <w:szCs w:val="21"/>
        </w:rPr>
      </w:pPr>
      <w:bookmarkStart w:id="104" w:name="_Toc989094"/>
      <w:r>
        <w:rPr>
          <w:rFonts w:ascii="宋体" w:hAnsi="宋体" w:cs="宋体"/>
          <w:b/>
          <w:bCs/>
          <w:szCs w:val="21"/>
        </w:rPr>
        <w:t>2） 重要逾期利息</w:t>
      </w:r>
      <w:bookmarkEnd w:id="104"/>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Cs w:val="21"/>
        </w:rPr>
      </w:pPr>
      <w:bookmarkStart w:id="105" w:name="_Toc989095"/>
      <w:r>
        <w:rPr>
          <w:rFonts w:ascii="宋体" w:hAnsi="宋体" w:cs="宋体"/>
          <w:b/>
          <w:bCs/>
          <w:szCs w:val="21"/>
        </w:rPr>
        <w:t>3） 坏账准备计提情况</w:t>
      </w:r>
      <w:bookmarkEnd w:id="105"/>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Cs w:val="21"/>
        </w:rPr>
      </w:pPr>
      <w:bookmarkStart w:id="106" w:name="_Toc989096"/>
      <w:r>
        <w:rPr>
          <w:rFonts w:ascii="宋体" w:hAnsi="宋体" w:cs="宋体"/>
          <w:b/>
          <w:bCs/>
          <w:szCs w:val="21"/>
        </w:rPr>
        <w:t>（2） 应收股利</w:t>
      </w:r>
      <w:bookmarkEnd w:id="106"/>
    </w:p>
    <w:p w:rsidR="00C526AC" w:rsidRDefault="00E0175D">
      <w:pPr>
        <w:keepNext/>
        <w:keepLines/>
        <w:spacing w:before="300" w:after="300" w:line="280" w:lineRule="exact"/>
        <w:jc w:val="left"/>
        <w:outlineLvl w:val="4"/>
        <w:rPr>
          <w:rFonts w:ascii="宋体" w:hAnsi="宋体" w:cs="宋体"/>
          <w:b/>
          <w:bCs/>
          <w:szCs w:val="21"/>
        </w:rPr>
      </w:pPr>
      <w:bookmarkStart w:id="107" w:name="_Toc989097"/>
      <w:r>
        <w:rPr>
          <w:rFonts w:ascii="宋体" w:hAnsi="宋体" w:cs="宋体"/>
          <w:b/>
          <w:bCs/>
          <w:szCs w:val="21"/>
        </w:rPr>
        <w:t>1） 应收股利分类</w:t>
      </w:r>
      <w:bookmarkEnd w:id="107"/>
    </w:p>
    <w:p w:rsidR="00C526AC" w:rsidRDefault="00E0175D">
      <w:pPr>
        <w:keepNext/>
        <w:keepLines/>
        <w:spacing w:before="300" w:after="300" w:line="280" w:lineRule="exact"/>
        <w:jc w:val="left"/>
        <w:outlineLvl w:val="4"/>
        <w:rPr>
          <w:rFonts w:ascii="宋体" w:hAnsi="宋体" w:cs="宋体"/>
          <w:b/>
          <w:bCs/>
          <w:szCs w:val="21"/>
        </w:rPr>
      </w:pPr>
      <w:bookmarkStart w:id="108" w:name="_Toc989098"/>
      <w:r>
        <w:rPr>
          <w:rFonts w:ascii="宋体" w:hAnsi="宋体" w:cs="宋体"/>
          <w:b/>
          <w:bCs/>
          <w:szCs w:val="21"/>
        </w:rPr>
        <w:t>2） 重要的账龄超过1年的应收股利</w:t>
      </w:r>
      <w:bookmarkEnd w:id="108"/>
    </w:p>
    <w:p w:rsidR="00C526AC" w:rsidRDefault="00E0175D">
      <w:pPr>
        <w:keepNext/>
        <w:keepLines/>
        <w:spacing w:before="300" w:after="300" w:line="280" w:lineRule="exact"/>
        <w:jc w:val="left"/>
        <w:outlineLvl w:val="4"/>
        <w:rPr>
          <w:rFonts w:ascii="宋体" w:hAnsi="宋体" w:cs="宋体"/>
          <w:b/>
          <w:bCs/>
          <w:szCs w:val="21"/>
        </w:rPr>
      </w:pPr>
      <w:bookmarkStart w:id="109" w:name="_Toc989099"/>
      <w:r>
        <w:rPr>
          <w:rFonts w:ascii="宋体" w:hAnsi="宋体" w:cs="宋体"/>
          <w:b/>
          <w:bCs/>
          <w:szCs w:val="21"/>
        </w:rPr>
        <w:t>3） 坏账准备计提情况</w:t>
      </w:r>
      <w:bookmarkEnd w:id="109"/>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110" w:name="_Toc989100"/>
      <w:r>
        <w:rPr>
          <w:rFonts w:ascii="宋体" w:hAnsi="宋体" w:cs="宋体"/>
          <w:b/>
          <w:bCs/>
          <w:szCs w:val="21"/>
        </w:rPr>
        <w:t>（3） 其他应收款</w:t>
      </w:r>
      <w:bookmarkEnd w:id="110"/>
    </w:p>
    <w:p w:rsidR="00C526AC" w:rsidRDefault="00E0175D">
      <w:pPr>
        <w:keepNext/>
        <w:keepLines/>
        <w:spacing w:before="300" w:after="300" w:line="280" w:lineRule="exact"/>
        <w:jc w:val="left"/>
        <w:outlineLvl w:val="4"/>
        <w:rPr>
          <w:rFonts w:ascii="宋体" w:hAnsi="宋体" w:cs="宋体"/>
          <w:b/>
          <w:bCs/>
          <w:szCs w:val="21"/>
        </w:rPr>
      </w:pPr>
      <w:bookmarkStart w:id="111" w:name="_Toc989101"/>
      <w:r>
        <w:rPr>
          <w:rFonts w:ascii="宋体" w:hAnsi="宋体" w:cs="宋体"/>
          <w:b/>
          <w:bCs/>
          <w:szCs w:val="21"/>
        </w:rPr>
        <w:t>1） 其他应收款按款项性质分类情况</w:t>
      </w:r>
      <w:bookmarkEnd w:id="11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期初账面余额</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保证金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5,570,399.42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13,761,022.88</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押金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1,969,741.80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2,309,980.68</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768,974.79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1,445,737.02</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1,688,989.63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1,795,838.33</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201,367,869.96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295,345,882.80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应收出口退税款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4,320,977.76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15,310,194.21</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代付款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7,317,463.51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7,513,628.41</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88,696,501.34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84,970,110.49</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固定资产转让款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57,091,554.83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10,743,640.34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368,792,473.04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533,196,035.16</w:t>
            </w:r>
          </w:p>
        </w:tc>
      </w:tr>
    </w:tbl>
    <w:p w:rsidR="00C526AC" w:rsidRDefault="00E0175D">
      <w:pPr>
        <w:keepNext/>
        <w:keepLines/>
        <w:spacing w:before="300" w:after="300" w:line="280" w:lineRule="exact"/>
        <w:jc w:val="left"/>
        <w:outlineLvl w:val="4"/>
        <w:rPr>
          <w:rFonts w:ascii="宋体" w:hAnsi="宋体" w:cs="宋体"/>
          <w:b/>
          <w:bCs/>
          <w:szCs w:val="21"/>
        </w:rPr>
      </w:pPr>
      <w:bookmarkStart w:id="112" w:name="_Toc989102"/>
      <w:r>
        <w:rPr>
          <w:rFonts w:ascii="宋体" w:hAnsi="宋体" w:cs="宋体"/>
          <w:b/>
          <w:bCs/>
          <w:szCs w:val="21"/>
        </w:rPr>
        <w:t>2） 坏账准备计提情况</w:t>
      </w:r>
      <w:bookmarkEnd w:id="11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31,287,529.88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98,531,112.06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129,818,641.94</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3,893,676.69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15,504,332.60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19,398,009.29</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27,393,853.19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83,026,779.46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110,420,632.65</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损失准备本期变动金额重大的账面余额变动情况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按账龄披露</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333,410,789.59</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15,079,126.16</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4,374,585.95</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15,927,971.34</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891,987.62</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235,080.11</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14,800,903.61</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368,792,473.04</w:t>
            </w:r>
          </w:p>
        </w:tc>
      </w:tr>
    </w:tbl>
    <w:p w:rsidR="00C526AC" w:rsidRDefault="00E0175D">
      <w:pPr>
        <w:keepNext/>
        <w:keepLines/>
        <w:spacing w:before="300" w:after="300" w:line="280" w:lineRule="exact"/>
        <w:jc w:val="left"/>
        <w:outlineLvl w:val="4"/>
        <w:rPr>
          <w:rFonts w:ascii="宋体" w:hAnsi="宋体" w:cs="宋体"/>
          <w:b/>
          <w:bCs/>
          <w:szCs w:val="21"/>
        </w:rPr>
      </w:pPr>
      <w:bookmarkStart w:id="113" w:name="_Toc989103"/>
      <w:r>
        <w:rPr>
          <w:rFonts w:ascii="宋体" w:hAnsi="宋体" w:cs="宋体"/>
          <w:b/>
          <w:bCs/>
          <w:szCs w:val="21"/>
        </w:rPr>
        <w:t>3） 本期计提、收回或转回的坏账准备情况</w:t>
      </w:r>
      <w:bookmarkEnd w:id="113"/>
    </w:p>
    <w:p w:rsidR="00C526AC" w:rsidRDefault="00E0175D">
      <w:pPr>
        <w:spacing w:line="240" w:lineRule="exact"/>
        <w:jc w:val="left"/>
        <w:rPr>
          <w:rFonts w:ascii="宋体" w:hAnsi="宋体" w:cs="宋体"/>
          <w:sz w:val="18"/>
          <w:szCs w:val="18"/>
        </w:rPr>
      </w:pPr>
      <w:r>
        <w:rPr>
          <w:rFonts w:ascii="宋体" w:hAnsi="宋体" w:cs="宋体"/>
          <w:sz w:val="18"/>
          <w:szCs w:val="18"/>
        </w:rPr>
        <w:t>本期计提坏账准备情况：</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ED4EB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ED4EB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单项计提预期信用损失的其他应收款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16,177,469.73</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6,280,972.69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9,896,497.04</w:t>
            </w:r>
          </w:p>
        </w:tc>
      </w:tr>
      <w:tr w:rsidR="00C526AC" w:rsidTr="00ED4EB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按组合计提预期信用损失的其他应收款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113,641,172.21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13,215,654.53</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-98,617.93</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100,524,135.61</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129,818,641.94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19,496,627.22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-98,617.93</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110,420,632.65</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其中本期坏账准备转回或收回金额重要的：</w:t>
      </w: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Cs w:val="21"/>
        </w:rPr>
      </w:pPr>
      <w:bookmarkStart w:id="114" w:name="_Toc989104"/>
      <w:r>
        <w:rPr>
          <w:rFonts w:ascii="宋体" w:hAnsi="宋体" w:cs="宋体"/>
          <w:b/>
          <w:bCs/>
          <w:szCs w:val="21"/>
        </w:rPr>
        <w:t>4） 本期实际核销的其他应收款情况</w:t>
      </w:r>
      <w:bookmarkEnd w:id="114"/>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其他应收款核销说明：</w:t>
      </w: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Cs w:val="21"/>
        </w:rPr>
      </w:pPr>
      <w:bookmarkStart w:id="115" w:name="_Toc989105"/>
      <w:r>
        <w:rPr>
          <w:rFonts w:ascii="宋体" w:hAnsi="宋体" w:cs="宋体"/>
          <w:b/>
          <w:bCs/>
          <w:szCs w:val="21"/>
        </w:rPr>
        <w:t>5） 按欠款方归集的期末余额前五名的其他应收款情况</w:t>
      </w:r>
      <w:bookmarkEnd w:id="11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rsidTr="00ED4EB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坏账准备期末余额</w:t>
            </w:r>
          </w:p>
        </w:tc>
      </w:tr>
      <w:tr w:rsidR="00C526AC" w:rsidTr="00ED4EB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补贴款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71,425,177.92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1年以内、1-2年</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19.37%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5,439,289.13</w:t>
            </w:r>
          </w:p>
        </w:tc>
      </w:tr>
      <w:tr w:rsidR="00C526AC" w:rsidTr="00ED4EB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补贴款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49,819,238.73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1年以内、5年以上</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42,009,622.13</w:t>
            </w:r>
          </w:p>
        </w:tc>
      </w:tr>
      <w:tr w:rsidR="00C526AC" w:rsidTr="00ED4EB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补贴款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29,198,287.96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4-5年，5年以上</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17,522,309.90</w:t>
            </w:r>
          </w:p>
        </w:tc>
      </w:tr>
      <w:tr w:rsidR="00C526AC" w:rsidTr="00ED4EB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补贴款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23,374,923.75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1年以内、1-2年</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1,735,690.65</w:t>
            </w:r>
          </w:p>
        </w:tc>
      </w:tr>
      <w:tr w:rsidR="00C526AC" w:rsidTr="00ED4EB7">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补贴款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14,106,354.11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1-2年、3-4年</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6,976,793.06</w:t>
            </w: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187,923,982.47</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73,683,704.87</w:t>
            </w:r>
          </w:p>
        </w:tc>
      </w:tr>
    </w:tbl>
    <w:p w:rsidR="00C526AC" w:rsidRDefault="00E0175D">
      <w:pPr>
        <w:keepNext/>
        <w:keepLines/>
        <w:spacing w:before="300" w:after="300" w:line="280" w:lineRule="exact"/>
        <w:jc w:val="left"/>
        <w:outlineLvl w:val="4"/>
        <w:rPr>
          <w:rFonts w:ascii="宋体" w:hAnsi="宋体" w:cs="宋体"/>
          <w:b/>
          <w:bCs/>
          <w:szCs w:val="21"/>
        </w:rPr>
      </w:pPr>
      <w:bookmarkStart w:id="116" w:name="_Toc989106"/>
      <w:r>
        <w:rPr>
          <w:rFonts w:ascii="宋体" w:hAnsi="宋体" w:cs="宋体"/>
          <w:b/>
          <w:bCs/>
          <w:szCs w:val="21"/>
        </w:rPr>
        <w:t>6） 涉及政府补助的应收款项</w:t>
      </w:r>
      <w:bookmarkEnd w:id="11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单位名称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政府补助项目名称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预计收取的时间、金额及依据</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阿克苏纺织工业城（开发区）财政局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运费补贴、稳岗补贴、税收返还等</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34,064,573.30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37,360,604.62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1-2年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阿克苏市财政局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税收返还、运费补贴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4,592,600.00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3,189,499.50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国家金库石河子市中心支库</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税收返还</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5,284,000.99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七师财政局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运费补贴、电费补贴、纺织行业补贴、贴息等</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8,220,649.05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41,598,589.68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五家渠市财政局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出疆棉补贴、使用新疆地产棉补贴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21,024,893.94</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4-5年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8,173,394.02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新疆生产建设兵团第八师石河子市财政局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贷款贴息、使用新疆地产棉补贴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190,960.00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1-2年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13,915,394.11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3-4年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新疆维吾尔自治区财政厅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出疆棉补贴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11,900,590.00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11,474,333.75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1-2年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库车县财政局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出疆棉补贴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274,443.00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中共金华经济技术开发区工作委员会宣传部</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房租补贴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103,344.00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201,367,869.96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bl>
    <w:p w:rsidR="00C526AC" w:rsidRDefault="00E0175D">
      <w:pPr>
        <w:keepNext/>
        <w:keepLines/>
        <w:spacing w:before="300" w:after="300" w:line="280" w:lineRule="exact"/>
        <w:jc w:val="left"/>
        <w:outlineLvl w:val="4"/>
        <w:rPr>
          <w:rFonts w:ascii="宋体" w:hAnsi="宋体" w:cs="宋体"/>
          <w:b/>
          <w:bCs/>
          <w:szCs w:val="21"/>
        </w:rPr>
      </w:pPr>
      <w:bookmarkStart w:id="117" w:name="_Toc989107"/>
      <w:r>
        <w:rPr>
          <w:rFonts w:ascii="宋体" w:hAnsi="宋体" w:cs="宋体"/>
          <w:b/>
          <w:bCs/>
          <w:szCs w:val="21"/>
        </w:rPr>
        <w:t>7） 因金融资产转移而终止确认的其他应收款</w:t>
      </w:r>
      <w:bookmarkEnd w:id="117"/>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Cs w:val="21"/>
        </w:rPr>
      </w:pPr>
      <w:bookmarkStart w:id="118" w:name="_Toc989108"/>
      <w:r>
        <w:rPr>
          <w:rFonts w:ascii="宋体" w:hAnsi="宋体" w:cs="宋体"/>
          <w:b/>
          <w:bCs/>
          <w:szCs w:val="21"/>
        </w:rPr>
        <w:t>8） 转移其他应收款且继续涉入形成的资产、负债金额</w:t>
      </w:r>
      <w:bookmarkEnd w:id="118"/>
    </w:p>
    <w:p w:rsidR="00C526AC" w:rsidRDefault="00E0175D">
      <w:pPr>
        <w:pStyle w:val="a3"/>
        <w:widowControl/>
      </w:pPr>
      <w:r>
        <w:rPr>
          <w:rFonts w:ascii="宋体" w:hAnsi="宋体" w:cs="宋体" w:hint="eastAsia"/>
          <w:sz w:val="18"/>
          <w:szCs w:val="18"/>
        </w:rPr>
        <w:t>无。</w:t>
      </w:r>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19" w:name="_Toc989109"/>
      <w:r>
        <w:rPr>
          <w:rFonts w:ascii="宋体" w:hAnsi="宋体" w:cs="宋体"/>
          <w:b/>
          <w:bCs/>
          <w:szCs w:val="21"/>
        </w:rPr>
        <w:t>9、存货</w:t>
      </w:r>
      <w:bookmarkEnd w:id="119"/>
    </w:p>
    <w:p w:rsidR="00C526AC" w:rsidRDefault="00E0175D">
      <w:pPr>
        <w:spacing w:line="240" w:lineRule="exact"/>
        <w:jc w:val="left"/>
        <w:rPr>
          <w:rFonts w:ascii="宋体" w:hAnsi="宋体" w:cs="宋体"/>
          <w:sz w:val="18"/>
          <w:szCs w:val="18"/>
        </w:rPr>
      </w:pPr>
      <w:r>
        <w:rPr>
          <w:rFonts w:ascii="宋体" w:hAnsi="宋体" w:cs="宋体"/>
          <w:sz w:val="18"/>
          <w:szCs w:val="18"/>
        </w:rPr>
        <w:t>公司是否需要遵守房地产行业的披露要求</w:t>
      </w:r>
    </w:p>
    <w:p w:rsidR="00C526AC" w:rsidRDefault="00E0175D">
      <w:pPr>
        <w:spacing w:line="240" w:lineRule="exact"/>
        <w:jc w:val="left"/>
        <w:rPr>
          <w:rFonts w:ascii="宋体" w:hAnsi="宋体" w:cs="宋体"/>
          <w:sz w:val="18"/>
          <w:szCs w:val="18"/>
        </w:rPr>
      </w:pPr>
      <w:r>
        <w:rPr>
          <w:rFonts w:ascii="宋体" w:hAnsi="宋体" w:cs="宋体"/>
          <w:sz w:val="18"/>
          <w:szCs w:val="18"/>
        </w:rPr>
        <w:t>否</w:t>
      </w:r>
    </w:p>
    <w:p w:rsidR="00C526AC" w:rsidRDefault="00E0175D">
      <w:pPr>
        <w:keepNext/>
        <w:keepLines/>
        <w:spacing w:before="300" w:after="300" w:line="280" w:lineRule="exact"/>
        <w:jc w:val="left"/>
        <w:outlineLvl w:val="3"/>
        <w:rPr>
          <w:rFonts w:ascii="宋体" w:hAnsi="宋体" w:cs="宋体"/>
          <w:b/>
          <w:bCs/>
          <w:szCs w:val="21"/>
        </w:rPr>
      </w:pPr>
      <w:bookmarkStart w:id="120" w:name="_Toc989110"/>
      <w:r>
        <w:rPr>
          <w:rFonts w:ascii="宋体" w:hAnsi="宋体" w:cs="宋体"/>
          <w:b/>
          <w:bCs/>
          <w:szCs w:val="21"/>
        </w:rPr>
        <w:t>（1） 存货分类</w:t>
      </w:r>
      <w:bookmarkEnd w:id="12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3,258,322,467.31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148,804.31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3,258,173,663.00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4,215,250,103.73</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148,804.31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4,215,101,299.42</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220,175,721.90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220,175,721.90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188,843,559.52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188,843,559.52</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2,569,145,694.55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106,050,671.45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2,463,095,023.10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1,831,977,112.00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100,788,189.53</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1,731,188,922.47</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周转材料</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35,606,757.72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35,606,757.72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10,956,846.46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10,956,846.46</w:t>
            </w:r>
          </w:p>
        </w:tc>
      </w:tr>
      <w:tr w:rsidR="00C526AC" w:rsidTr="00ED4EB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发出商品</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22,668,560.89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22,668,560.89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141,391,665.64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141,391,665.64</w:t>
            </w:r>
          </w:p>
        </w:tc>
      </w:tr>
      <w:tr w:rsidR="00C526AC" w:rsidTr="00ED4EB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委托加工物资</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1,718,897.46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1,718,897.46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1,847,378.33</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1,847,378.33</w:t>
            </w:r>
          </w:p>
        </w:tc>
      </w:tr>
      <w:tr w:rsidR="00C526AC" w:rsidTr="00ED4EB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自制半成品</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223,235,878.88</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223,235,878.88</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271,325,100.31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271,325,100.31</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6,330,873,978.71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106,199,475.76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6,224,674,502.95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6,661,591,765.99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100,936,993.84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6,560,654,772.15</w:t>
            </w:r>
          </w:p>
        </w:tc>
      </w:tr>
    </w:tbl>
    <w:p w:rsidR="00C526AC" w:rsidRDefault="00E0175D">
      <w:pPr>
        <w:keepNext/>
        <w:keepLines/>
        <w:spacing w:before="300" w:after="300" w:line="280" w:lineRule="exact"/>
        <w:jc w:val="left"/>
        <w:outlineLvl w:val="3"/>
        <w:rPr>
          <w:rFonts w:ascii="宋体" w:hAnsi="宋体" w:cs="宋体"/>
          <w:b/>
          <w:bCs/>
          <w:szCs w:val="21"/>
        </w:rPr>
      </w:pPr>
      <w:bookmarkStart w:id="121" w:name="_Toc989111"/>
      <w:r>
        <w:rPr>
          <w:rFonts w:ascii="宋体" w:hAnsi="宋体" w:cs="宋体"/>
          <w:b/>
          <w:bCs/>
          <w:szCs w:val="21"/>
        </w:rPr>
        <w:t>（2） 存货跌价准备和合同履约成本减值准备</w:t>
      </w:r>
      <w:bookmarkEnd w:id="12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850"/>
        <w:gridCol w:w="2126"/>
        <w:gridCol w:w="709"/>
        <w:gridCol w:w="1276"/>
        <w:gridCol w:w="708"/>
        <w:gridCol w:w="1593"/>
      </w:tblGrid>
      <w:tr w:rsidR="00C526AC" w:rsidTr="00CD6F6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85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283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本期增加金额</w:t>
            </w:r>
          </w:p>
        </w:tc>
        <w:tc>
          <w:tcPr>
            <w:tcW w:w="198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CD6F6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85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转回或转销</w:t>
            </w:r>
          </w:p>
        </w:tc>
        <w:tc>
          <w:tcPr>
            <w:tcW w:w="70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CD6F6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原材料</w:t>
            </w:r>
          </w:p>
        </w:tc>
        <w:tc>
          <w:tcPr>
            <w:tcW w:w="185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148,804.31</w:t>
            </w:r>
          </w:p>
        </w:tc>
        <w:tc>
          <w:tcPr>
            <w:tcW w:w="212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148,804.31</w:t>
            </w:r>
          </w:p>
        </w:tc>
      </w:tr>
      <w:tr w:rsidR="00C526AC" w:rsidTr="00CD6F6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库存商品</w:t>
            </w:r>
          </w:p>
        </w:tc>
        <w:tc>
          <w:tcPr>
            <w:tcW w:w="185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100,788,189.53</w:t>
            </w:r>
          </w:p>
        </w:tc>
        <w:tc>
          <w:tcPr>
            <w:tcW w:w="212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6,117,458.63</w:t>
            </w:r>
          </w:p>
        </w:tc>
        <w:tc>
          <w:tcPr>
            <w:tcW w:w="70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854,976.71</w:t>
            </w:r>
          </w:p>
        </w:tc>
        <w:tc>
          <w:tcPr>
            <w:tcW w:w="70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106,050,671.45</w:t>
            </w:r>
          </w:p>
        </w:tc>
      </w:tr>
      <w:tr w:rsidR="00C526AC" w:rsidTr="00CD6F67">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85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100,936,993.84</w:t>
            </w:r>
          </w:p>
        </w:tc>
        <w:tc>
          <w:tcPr>
            <w:tcW w:w="212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6,117,458.63</w:t>
            </w:r>
          </w:p>
        </w:tc>
        <w:tc>
          <w:tcPr>
            <w:tcW w:w="709"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854,976.71</w:t>
            </w:r>
          </w:p>
        </w:tc>
        <w:tc>
          <w:tcPr>
            <w:tcW w:w="70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106,199,475.76</w:t>
            </w:r>
          </w:p>
        </w:tc>
      </w:tr>
    </w:tbl>
    <w:p w:rsidR="00C526AC" w:rsidRDefault="00E0175D">
      <w:pPr>
        <w:keepNext/>
        <w:keepLines/>
        <w:spacing w:before="300" w:after="300" w:line="280" w:lineRule="exact"/>
        <w:jc w:val="left"/>
        <w:outlineLvl w:val="3"/>
        <w:rPr>
          <w:rFonts w:ascii="宋体" w:hAnsi="宋体" w:cs="宋体"/>
          <w:b/>
          <w:bCs/>
          <w:szCs w:val="21"/>
        </w:rPr>
      </w:pPr>
      <w:bookmarkStart w:id="122" w:name="_Toc989112"/>
      <w:r>
        <w:rPr>
          <w:rFonts w:ascii="宋体" w:hAnsi="宋体" w:cs="宋体"/>
          <w:b/>
          <w:bCs/>
          <w:szCs w:val="21"/>
        </w:rPr>
        <w:t>（3） 存货期末余额含有借款费用资本化金额的说明</w:t>
      </w:r>
      <w:bookmarkEnd w:id="122"/>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123" w:name="_Toc989113"/>
      <w:r>
        <w:rPr>
          <w:rFonts w:ascii="宋体" w:hAnsi="宋体" w:cs="宋体"/>
          <w:b/>
          <w:bCs/>
          <w:szCs w:val="21"/>
        </w:rPr>
        <w:t>（4） 合同履约成本本期摊销金额的说明</w:t>
      </w:r>
      <w:bookmarkEnd w:id="123"/>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24" w:name="_Toc989114"/>
      <w:r>
        <w:rPr>
          <w:rFonts w:ascii="宋体" w:hAnsi="宋体" w:cs="宋体"/>
          <w:b/>
          <w:bCs/>
          <w:szCs w:val="21"/>
        </w:rPr>
        <w:t>10、合同资产</w:t>
      </w:r>
      <w:bookmarkEnd w:id="124"/>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如是按照预期信用损失一般模型计提合同资产减值准备，请参照其他应收款的披露方式披露减值准备的相关信息：</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本期合同资产计提减值准备情况：</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25" w:name="_Toc989115"/>
      <w:r>
        <w:rPr>
          <w:rFonts w:ascii="宋体" w:hAnsi="宋体" w:cs="宋体"/>
          <w:b/>
          <w:bCs/>
          <w:szCs w:val="21"/>
        </w:rPr>
        <w:t>11、持有待售资产</w:t>
      </w:r>
      <w:bookmarkEnd w:id="125"/>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sidR="00CD6F67">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26" w:name="_Toc989116"/>
      <w:r>
        <w:rPr>
          <w:rFonts w:ascii="宋体" w:hAnsi="宋体" w:cs="宋体"/>
          <w:b/>
          <w:bCs/>
          <w:szCs w:val="21"/>
        </w:rPr>
        <w:t>12、一年内到期的非流动资产</w:t>
      </w:r>
      <w:bookmarkEnd w:id="12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长期应收款重分类</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1,426,696.10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1,426,696.10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1,426,696.10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1,426,696.10</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27" w:name="_Toc989117"/>
      <w:r>
        <w:rPr>
          <w:rFonts w:ascii="宋体" w:hAnsi="宋体" w:cs="宋体"/>
          <w:b/>
          <w:bCs/>
          <w:szCs w:val="21"/>
        </w:rPr>
        <w:t>13、其他流动资产</w:t>
      </w:r>
      <w:bookmarkEnd w:id="12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增值税留抵扣额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167,464,730.22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279,122,977.89</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以抵销后净额列示的所得税预缴税额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3,971,523.47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4,739,858.28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171,436,253.69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283,862,836.17</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28" w:name="_Toc989118"/>
      <w:r>
        <w:rPr>
          <w:rFonts w:ascii="宋体" w:hAnsi="宋体" w:cs="宋体"/>
          <w:b/>
          <w:bCs/>
          <w:szCs w:val="21"/>
        </w:rPr>
        <w:t>14、债权投资</w:t>
      </w:r>
      <w:bookmarkEnd w:id="128"/>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29" w:name="_Toc989119"/>
      <w:r>
        <w:rPr>
          <w:rFonts w:ascii="宋体" w:hAnsi="宋体" w:cs="宋体"/>
          <w:b/>
          <w:bCs/>
          <w:szCs w:val="21"/>
        </w:rPr>
        <w:t>15、其他债权投资</w:t>
      </w:r>
      <w:bookmarkEnd w:id="129"/>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损失准备本期变动金额重大的账面余额变动情况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30" w:name="_Toc989120"/>
      <w:r>
        <w:rPr>
          <w:rFonts w:ascii="宋体" w:hAnsi="宋体" w:cs="宋体"/>
          <w:b/>
          <w:bCs/>
          <w:szCs w:val="21"/>
        </w:rPr>
        <w:t>16、长期应收款</w:t>
      </w:r>
      <w:bookmarkEnd w:id="130"/>
    </w:p>
    <w:p w:rsidR="00C526AC" w:rsidRDefault="00E0175D">
      <w:pPr>
        <w:keepNext/>
        <w:keepLines/>
        <w:spacing w:before="300" w:after="300" w:line="280" w:lineRule="exact"/>
        <w:jc w:val="left"/>
        <w:outlineLvl w:val="3"/>
        <w:rPr>
          <w:rFonts w:ascii="宋体" w:hAnsi="宋体" w:cs="宋体"/>
          <w:b/>
          <w:bCs/>
          <w:szCs w:val="21"/>
        </w:rPr>
      </w:pPr>
      <w:bookmarkStart w:id="131" w:name="_Toc989121"/>
      <w:r>
        <w:rPr>
          <w:rFonts w:ascii="宋体" w:hAnsi="宋体" w:cs="宋体"/>
          <w:b/>
          <w:bCs/>
          <w:szCs w:val="21"/>
        </w:rPr>
        <w:t>（1） 长期应收款情况</w:t>
      </w:r>
      <w:bookmarkEnd w:id="13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C526AC">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折现率区间</w:t>
            </w:r>
          </w:p>
        </w:tc>
      </w:tr>
      <w:tr w:rsidR="00C526AC">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融资租赁款</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4,886,881.73</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4,019,487.32</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4,745,019.75</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3,877,625.34</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4,886,881.73</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4,019,487.32</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4,745,019.75</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3,877,625.34</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坏账准备减值情况</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867,394.41</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损失准备本期变动金额重大的账面余额变动情况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132" w:name="_Toc989122"/>
      <w:r>
        <w:rPr>
          <w:rFonts w:ascii="宋体" w:hAnsi="宋体" w:cs="宋体"/>
          <w:b/>
          <w:bCs/>
          <w:szCs w:val="21"/>
        </w:rPr>
        <w:t>（2） 因金融资产转移而终止确认的长期应收款</w:t>
      </w:r>
      <w:bookmarkEnd w:id="132"/>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133" w:name="_Toc989123"/>
      <w:r>
        <w:rPr>
          <w:rFonts w:ascii="宋体" w:hAnsi="宋体" w:cs="宋体"/>
          <w:b/>
          <w:bCs/>
          <w:szCs w:val="21"/>
        </w:rPr>
        <w:t>（3） 转移长期应收款且继续涉入形成的资产、负债金额</w:t>
      </w:r>
      <w:bookmarkEnd w:id="133"/>
    </w:p>
    <w:p w:rsidR="00C526AC" w:rsidRDefault="00E0175D">
      <w:pPr>
        <w:pStyle w:val="a3"/>
        <w:widowControl/>
      </w:pPr>
      <w:r>
        <w:rPr>
          <w:rFonts w:ascii="宋体" w:hAnsi="宋体" w:cs="宋体" w:hint="eastAsia"/>
          <w:sz w:val="18"/>
          <w:szCs w:val="18"/>
        </w:rPr>
        <w:t>无。</w:t>
      </w:r>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34" w:name="_Toc989124"/>
      <w:r>
        <w:rPr>
          <w:rFonts w:ascii="宋体" w:hAnsi="宋体" w:cs="宋体"/>
          <w:b/>
          <w:bCs/>
          <w:szCs w:val="21"/>
        </w:rPr>
        <w:t>17、长期股权投资</w:t>
      </w:r>
      <w:bookmarkEnd w:id="13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3"/>
        <w:gridCol w:w="803"/>
        <w:gridCol w:w="803"/>
        <w:gridCol w:w="803"/>
        <w:gridCol w:w="803"/>
        <w:gridCol w:w="803"/>
        <w:gridCol w:w="803"/>
        <w:gridCol w:w="803"/>
        <w:gridCol w:w="803"/>
        <w:gridCol w:w="805"/>
        <w:gridCol w:w="803"/>
        <w:gridCol w:w="804"/>
      </w:tblGrid>
      <w:tr w:rsidR="00C526AC">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被投资单位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减值准备期末余额</w:t>
            </w:r>
          </w:p>
        </w:tc>
      </w:tr>
      <w:tr w:rsidR="00C526AC">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一、合营企业</w:t>
            </w:r>
          </w:p>
        </w:tc>
      </w:tr>
      <w:tr w:rsidR="00C526AC">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二、联营企业</w:t>
            </w:r>
          </w:p>
        </w:tc>
      </w:tr>
      <w:tr w:rsidR="00C526AC" w:rsidTr="00ED4EB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江苏科孚纺织品贸易有限公司</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45,026,223.18</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45,026,223.18</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ED4EB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福田实业（集团）有限公司</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258,768,013.19</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17,106,267.30</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241,661,745.89</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ED4EB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金华市菁英关谷数字传媒有限公司</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94,190.98</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94,190.98</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ED4EB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金华市浙礼文化发展有限公司</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31,545.79</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31,545.79</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ED4EB7">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浙江华孚产业运营有限公司</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40,000,000.00</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40,000,000.00</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303,919,973.14</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40,000,000.00</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31,545.79</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17,106,267.30</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326,782,160.05</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303,919,973.14</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40,000,000.00</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31,545.79</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17,106,267.30</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326,782,160.05</w:t>
            </w:r>
          </w:p>
        </w:tc>
        <w:tc>
          <w:tcPr>
            <w:tcW w:w="80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bl>
    <w:p w:rsidR="00C526AC" w:rsidRDefault="00E0175D">
      <w:pPr>
        <w:keepNext/>
        <w:keepLines/>
        <w:spacing w:before="300" w:after="300" w:line="280" w:lineRule="exact"/>
        <w:jc w:val="left"/>
        <w:outlineLvl w:val="2"/>
        <w:rPr>
          <w:rFonts w:ascii="宋体" w:hAnsi="宋体" w:cs="宋体"/>
          <w:b/>
          <w:bCs/>
          <w:szCs w:val="21"/>
        </w:rPr>
      </w:pPr>
      <w:bookmarkStart w:id="135" w:name="_Toc989125"/>
      <w:r>
        <w:rPr>
          <w:rFonts w:ascii="宋体" w:hAnsi="宋体" w:cs="宋体"/>
          <w:b/>
          <w:bCs/>
          <w:szCs w:val="21"/>
        </w:rPr>
        <w:t>18、其他权益工具投资</w:t>
      </w:r>
      <w:bookmarkEnd w:id="13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浙江八达股份有限公司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66,000.00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浙江凯旋股份有限公司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65,945.90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65,945.90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石河子国民村镇银行有限责任公司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5,000,000.00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杭州英涉时装有限公司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7,830,000.00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7,830,000.00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徽商银行股份有限公司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55,159,830.41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54,402,790.58</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深圳市华泰瑞麟股权投资基金合伙企业（有限合伙）</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江阴市传澄电子商务有限公司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w:t>
            </w:r>
          </w:p>
        </w:tc>
      </w:tr>
      <w:tr w:rsidR="00C526AC" w:rsidTr="00ED4EB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浙江金华热势力文化传播有限公司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78,321,776.31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77,564,736.48</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36" w:name="_Toc989126"/>
      <w:r>
        <w:rPr>
          <w:rFonts w:ascii="宋体" w:hAnsi="宋体" w:cs="宋体"/>
          <w:b/>
          <w:bCs/>
          <w:szCs w:val="21"/>
        </w:rPr>
        <w:t>19、其他非流动金融资产</w:t>
      </w:r>
      <w:bookmarkEnd w:id="136"/>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37" w:name="_Toc989127"/>
      <w:r>
        <w:rPr>
          <w:rFonts w:ascii="宋体" w:hAnsi="宋体" w:cs="宋体"/>
          <w:b/>
          <w:bCs/>
          <w:szCs w:val="21"/>
        </w:rPr>
        <w:t>20、投资性房地产</w:t>
      </w:r>
      <w:bookmarkEnd w:id="137"/>
    </w:p>
    <w:p w:rsidR="00C526AC" w:rsidRDefault="00E0175D">
      <w:pPr>
        <w:keepNext/>
        <w:keepLines/>
        <w:spacing w:before="300" w:after="300" w:line="280" w:lineRule="exact"/>
        <w:jc w:val="left"/>
        <w:outlineLvl w:val="3"/>
        <w:rPr>
          <w:rFonts w:ascii="宋体" w:hAnsi="宋体" w:cs="宋体"/>
          <w:b/>
          <w:bCs/>
          <w:sz w:val="18"/>
          <w:szCs w:val="18"/>
        </w:rPr>
      </w:pPr>
      <w:bookmarkStart w:id="138" w:name="_Toc989128"/>
      <w:r>
        <w:rPr>
          <w:rFonts w:ascii="宋体" w:hAnsi="宋体" w:cs="宋体"/>
          <w:b/>
          <w:bCs/>
          <w:sz w:val="18"/>
          <w:szCs w:val="18"/>
        </w:rPr>
        <w:t>（1） 采用成本计量模式的投资性房地产</w:t>
      </w:r>
      <w:bookmarkEnd w:id="138"/>
    </w:p>
    <w:p w:rsidR="00C526AC" w:rsidRDefault="00E0175D">
      <w:pPr>
        <w:spacing w:line="240" w:lineRule="exact"/>
        <w:jc w:val="left"/>
        <w:rPr>
          <w:rFonts w:ascii="宋体" w:hAnsi="宋体" w:cs="宋体"/>
          <w:sz w:val="18"/>
          <w:szCs w:val="18"/>
        </w:rPr>
      </w:pPr>
      <w:r>
        <w:rPr>
          <w:rFonts w:ascii="宋体" w:hAnsi="宋体" w:cs="宋体"/>
          <w:sz w:val="18"/>
          <w:szCs w:val="18"/>
        </w:rPr>
        <w:sym w:font="Wingdings 2" w:char="F052"/>
      </w:r>
      <w:r>
        <w:rPr>
          <w:rFonts w:ascii="宋体" w:hAnsi="宋体" w:cs="宋体"/>
          <w:sz w:val="18"/>
          <w:szCs w:val="18"/>
        </w:rPr>
        <w:t>适用 □不适用</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房屋、建筑物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土地使用权</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在建工程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一、账面原值</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154,329,628.73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154,329,628.73</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（1）外购</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（2）存货\固定资产\在建工程转入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（3）企业合并增加</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（2）其他转出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154,329,628.73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154,329,628.73</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二、累计折旧和累计摊销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57,475,957.76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57,475,957.76</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2,476,936.76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2,476,936.76</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（1）计提或摊销</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2,476,936.76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2,476,936.76</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（2）其他转出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59,952,894.52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59,952,894.52</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（2）其他转出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四、账面价值</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1.期末账面价值</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94,376,734.21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94,376,734.21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2.期初账面价值</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96,853,670.97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96,853,670.97</w:t>
            </w:r>
          </w:p>
        </w:tc>
      </w:tr>
    </w:tbl>
    <w:p w:rsidR="00C526AC" w:rsidRDefault="00E0175D">
      <w:pPr>
        <w:keepNext/>
        <w:keepLines/>
        <w:spacing w:before="300" w:after="300" w:line="280" w:lineRule="exact"/>
        <w:jc w:val="left"/>
        <w:outlineLvl w:val="3"/>
        <w:rPr>
          <w:rFonts w:ascii="宋体" w:hAnsi="宋体" w:cs="宋体"/>
          <w:b/>
          <w:bCs/>
          <w:sz w:val="18"/>
          <w:szCs w:val="18"/>
        </w:rPr>
      </w:pPr>
      <w:bookmarkStart w:id="139" w:name="_Toc989129"/>
      <w:r>
        <w:rPr>
          <w:rFonts w:ascii="宋体" w:hAnsi="宋体" w:cs="宋体"/>
          <w:b/>
          <w:bCs/>
          <w:sz w:val="18"/>
          <w:szCs w:val="18"/>
        </w:rPr>
        <w:t>（2） 采用公允价值计量模式的投资性房地产</w:t>
      </w:r>
      <w:bookmarkEnd w:id="139"/>
    </w:p>
    <w:p w:rsidR="00C526AC" w:rsidRDefault="00E0175D">
      <w:pPr>
        <w:spacing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 w:val="18"/>
          <w:szCs w:val="18"/>
        </w:rPr>
      </w:pPr>
      <w:bookmarkStart w:id="140" w:name="_Toc989130"/>
      <w:r>
        <w:rPr>
          <w:rFonts w:ascii="宋体" w:hAnsi="宋体" w:cs="宋体"/>
          <w:b/>
          <w:bCs/>
          <w:sz w:val="18"/>
          <w:szCs w:val="18"/>
        </w:rPr>
        <w:t>（3） 未办妥产权证书的投资性房地产情况</w:t>
      </w:r>
      <w:bookmarkEnd w:id="140"/>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sidR="00CD6F67">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41" w:name="_Toc989131"/>
      <w:r>
        <w:rPr>
          <w:rFonts w:ascii="宋体" w:hAnsi="宋体" w:cs="宋体"/>
          <w:b/>
          <w:bCs/>
          <w:szCs w:val="21"/>
        </w:rPr>
        <w:t>21、固定资产</w:t>
      </w:r>
      <w:bookmarkEnd w:id="14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5,091,696,473.74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4,994,776,834.76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固定资产清理</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3,543,123.27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327,505.00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5,095,239,597.01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4,995,104,339.76</w:t>
            </w:r>
          </w:p>
        </w:tc>
      </w:tr>
    </w:tbl>
    <w:p w:rsidR="00C526AC" w:rsidRDefault="00E0175D">
      <w:pPr>
        <w:keepNext/>
        <w:keepLines/>
        <w:spacing w:before="300" w:after="300" w:line="280" w:lineRule="exact"/>
        <w:jc w:val="left"/>
        <w:outlineLvl w:val="3"/>
        <w:rPr>
          <w:rFonts w:ascii="宋体" w:hAnsi="宋体" w:cs="宋体"/>
          <w:b/>
          <w:bCs/>
          <w:szCs w:val="21"/>
        </w:rPr>
      </w:pPr>
      <w:bookmarkStart w:id="142" w:name="_Toc989132"/>
      <w:r>
        <w:rPr>
          <w:rFonts w:ascii="宋体" w:hAnsi="宋体" w:cs="宋体"/>
          <w:b/>
          <w:bCs/>
          <w:szCs w:val="21"/>
        </w:rPr>
        <w:t>（1） 固定资产情况</w:t>
      </w:r>
      <w:bookmarkEnd w:id="14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运输工具</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电子及其他设备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3,285,072,986.22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4,995,151,859.48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62,163,579.24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221,914,103.70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8,564,302,528.64</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111,523,322.03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270,719,889.34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3,059,717.12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3,960,067.79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389,262,996.28</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11,447,389.53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40,701,665.31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945,177.98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2,890,616.14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55,984,848.96</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84,442,385.00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209,229,728.23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1,406,441.91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857,690.28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295,936,245.42</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15,633,547.50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20,788,495.80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708,097.23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211,761.37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37,341,901.90</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15,037.69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26,844,552.63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765,443.80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933,001.85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28,558,035.97</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15,037.69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26,844,552.63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765,443.80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933,001.85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28,558,035.97</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3,396,581,270.56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5,239,027,196.19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64,457,852.56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224,941,169.64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8,925,007,488.95</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911,692,843.60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2,364,285,648.83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45,307,304.48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208,462,415.94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3,529,748,212.85</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71,589,638.69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202,152,994.18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2,784,096.03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6,522,921.57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283,049,650.47</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67,542,006.62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186,210,609.99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2,691,732.09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6,346,560.86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262,790,909.56</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4,047,632.07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15,942,384.19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92,363.94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176,360.71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20,258,740.91</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14,285.80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18,010,700.13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680,044.42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556,511.70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19,261,542.05</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14,285.80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18,010,700.13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680,044.42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556,511.70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19,261,542.05</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983,268,196.49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2,548,427,942.88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47,411,356.09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214,428,825.81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3,793,536,321.27</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27,938,918.93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11,599,307.32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41,318.41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197,936.37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39,777,481.03</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2,787.09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2,787.09</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2,787.09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2,787.09</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27,938,918.93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11,599,307.32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38,531.32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197,936.37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39,774,693.94</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2,385,374,155.14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2,678,999,945.99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17,007,965.15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10,314,407.46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5,091,696,473.74</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2,345,441,223.69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2,619,266,903.33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16,814,956.35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13,253,751.39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4,994,776,834.76</w:t>
            </w:r>
          </w:p>
        </w:tc>
      </w:tr>
    </w:tbl>
    <w:p w:rsidR="00C526AC" w:rsidRDefault="00E0175D">
      <w:pPr>
        <w:keepNext/>
        <w:keepLines/>
        <w:spacing w:before="300" w:after="300" w:line="280" w:lineRule="exact"/>
        <w:jc w:val="left"/>
        <w:outlineLvl w:val="3"/>
        <w:rPr>
          <w:rFonts w:ascii="宋体" w:hAnsi="宋体" w:cs="宋体"/>
          <w:b/>
          <w:bCs/>
          <w:szCs w:val="21"/>
        </w:rPr>
      </w:pPr>
      <w:bookmarkStart w:id="143" w:name="_Toc989133"/>
      <w:r>
        <w:rPr>
          <w:rFonts w:ascii="宋体" w:hAnsi="宋体" w:cs="宋体"/>
          <w:b/>
          <w:bCs/>
          <w:szCs w:val="21"/>
        </w:rPr>
        <w:t>（2） 暂时闲置的固定资产情况</w:t>
      </w:r>
      <w:bookmarkEnd w:id="14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账面原值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累计折旧</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备注</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273,321,207.98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118,861,489.91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14,828,562.54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141,599,367.01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136,548,448.90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108,945,058.11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2,495,084.72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26,590,195.96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运输工具</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1,476,742.46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1,286,797.16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189,945.30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电子及其他设备</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10,296,994.37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9,004,868.28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2,402.98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1,289,723.12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421,643,393.72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238,098,213.46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17,326,050.24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169,669,231.39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bl>
    <w:p w:rsidR="00C526AC" w:rsidRDefault="00E0175D">
      <w:pPr>
        <w:keepNext/>
        <w:keepLines/>
        <w:spacing w:before="300" w:after="300" w:line="280" w:lineRule="exact"/>
        <w:jc w:val="left"/>
        <w:outlineLvl w:val="3"/>
        <w:rPr>
          <w:rFonts w:ascii="宋体" w:hAnsi="宋体" w:cs="宋体"/>
          <w:b/>
          <w:bCs/>
          <w:szCs w:val="21"/>
        </w:rPr>
      </w:pPr>
      <w:bookmarkStart w:id="144" w:name="_Toc989134"/>
      <w:r>
        <w:rPr>
          <w:rFonts w:ascii="宋体" w:hAnsi="宋体" w:cs="宋体"/>
          <w:b/>
          <w:bCs/>
          <w:szCs w:val="21"/>
        </w:rPr>
        <w:t>（3） 通过经营租赁租出的固定资产</w:t>
      </w:r>
      <w:bookmarkEnd w:id="144"/>
    </w:p>
    <w:p w:rsidR="00C526AC" w:rsidRDefault="00E0175D">
      <w:pPr>
        <w:keepNext/>
        <w:keepLines/>
        <w:spacing w:before="300" w:after="300" w:line="280" w:lineRule="exact"/>
        <w:jc w:val="left"/>
        <w:outlineLvl w:val="3"/>
        <w:rPr>
          <w:rFonts w:ascii="宋体" w:hAnsi="宋体" w:cs="宋体"/>
          <w:b/>
          <w:bCs/>
          <w:szCs w:val="21"/>
        </w:rPr>
      </w:pPr>
      <w:bookmarkStart w:id="145" w:name="_Toc989135"/>
      <w:r>
        <w:rPr>
          <w:rFonts w:ascii="宋体" w:hAnsi="宋体" w:cs="宋体"/>
          <w:b/>
          <w:bCs/>
          <w:szCs w:val="21"/>
        </w:rPr>
        <w:t>（4） 未办妥产权证书的固定资产情况</w:t>
      </w:r>
      <w:bookmarkEnd w:id="14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未办妥产权证书的原因</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房屋及建筑物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540,268,852.84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尚在办理中</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sidR="00CD6F67">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146" w:name="_Toc989136"/>
      <w:r>
        <w:rPr>
          <w:rFonts w:ascii="宋体" w:hAnsi="宋体" w:cs="宋体"/>
          <w:b/>
          <w:bCs/>
          <w:szCs w:val="21"/>
        </w:rPr>
        <w:t>（5） 固定资产清理</w:t>
      </w:r>
      <w:bookmarkEnd w:id="14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待处理设备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3,543,123.27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327,505.00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3,543,123.27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327,505.00</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47" w:name="_Toc989137"/>
      <w:r>
        <w:rPr>
          <w:rFonts w:ascii="宋体" w:hAnsi="宋体" w:cs="宋体"/>
          <w:b/>
          <w:bCs/>
          <w:szCs w:val="21"/>
        </w:rPr>
        <w:t>22、在建工程</w:t>
      </w:r>
      <w:bookmarkEnd w:id="14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320,101,475.19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428,513,202.25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320,101,475.19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428,513,202.25</w:t>
            </w:r>
          </w:p>
        </w:tc>
      </w:tr>
    </w:tbl>
    <w:p w:rsidR="00C526AC" w:rsidRDefault="00E0175D">
      <w:pPr>
        <w:keepNext/>
        <w:keepLines/>
        <w:spacing w:before="300" w:after="300" w:line="280" w:lineRule="exact"/>
        <w:jc w:val="left"/>
        <w:outlineLvl w:val="3"/>
        <w:rPr>
          <w:rFonts w:ascii="宋体" w:hAnsi="宋体" w:cs="宋体"/>
          <w:b/>
          <w:bCs/>
          <w:szCs w:val="21"/>
        </w:rPr>
      </w:pPr>
      <w:bookmarkStart w:id="148" w:name="_Toc989138"/>
      <w:r>
        <w:rPr>
          <w:rFonts w:ascii="宋体" w:hAnsi="宋体" w:cs="宋体"/>
          <w:b/>
          <w:bCs/>
          <w:szCs w:val="21"/>
        </w:rPr>
        <w:t>（1） 在建工程情况</w:t>
      </w:r>
      <w:bookmarkEnd w:id="14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rsidTr="007B6DF4">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浙江色纺二期项目</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1,955,779.15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1,955,779.15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3,517,695.16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3,517,695.16</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阿克苏华孚在建工程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12,384,553.11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12,384,553.11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8,823,907.00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8,823,907.00</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越南华孚在建工程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8,652,111.49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8,652,111.49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7,922,520.82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7,922,520.82</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阿克苏标信在建工程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37,910,705.12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37,910,705.12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18,701,484.46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18,701,484.46</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淮北华孚供应链厂区建设</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1,359,270.91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1,359,270.91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其他项目</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164,086.56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164,086.56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376,204.70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376,204.70</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越南英鸿工业园建设项目</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123,603,864.74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123,603,864.74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45,361,888.52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45,361,888.52</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阿克苏袜制品生产车间</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107,943,262.56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107,943,262.56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115,437,813.82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115,437,813.82</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30万锭智能产业园项目</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26,127,841.55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26,127,841.55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228,371,687.77</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228,371,687.77</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320,101,475.19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320,101,475.19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428,513,202.25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428,513,202.25</w:t>
            </w:r>
          </w:p>
        </w:tc>
      </w:tr>
    </w:tbl>
    <w:p w:rsidR="00C526AC" w:rsidRDefault="00E0175D">
      <w:pPr>
        <w:keepNext/>
        <w:keepLines/>
        <w:spacing w:before="300" w:after="300" w:line="280" w:lineRule="exact"/>
        <w:jc w:val="left"/>
        <w:outlineLvl w:val="3"/>
        <w:rPr>
          <w:rFonts w:ascii="宋体" w:hAnsi="宋体" w:cs="宋体"/>
          <w:b/>
          <w:bCs/>
          <w:szCs w:val="21"/>
        </w:rPr>
      </w:pPr>
      <w:bookmarkStart w:id="149" w:name="_Toc989139"/>
      <w:r>
        <w:rPr>
          <w:rFonts w:ascii="宋体" w:hAnsi="宋体" w:cs="宋体"/>
          <w:b/>
          <w:bCs/>
          <w:szCs w:val="21"/>
        </w:rPr>
        <w:t>（2） 重要在建工程项目本期变动情况</w:t>
      </w:r>
      <w:bookmarkEnd w:id="14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C526AC" w:rsidTr="007B6DF4">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其中：本期利息资本化金额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资金来源</w:t>
            </w:r>
          </w:p>
        </w:tc>
      </w:tr>
      <w:tr w:rsidR="00C526AC" w:rsidTr="007B6DF4">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越南英鸿工业园建设项目</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261,161,600.00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45,361,888.52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78,241,976.22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123,603,864.74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47.33%</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47.33%</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r>
      <w:tr w:rsidR="00C526AC" w:rsidTr="007B6DF4">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30万锭智能产业园项目1期</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310,928,000.00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228,371,687.77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79,951,301.19</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282,195,147.41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26,127,841.55</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99.16%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99.16%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募股资金</w:t>
            </w:r>
          </w:p>
        </w:tc>
      </w:tr>
      <w:tr w:rsidR="00C526AC" w:rsidTr="007B6DF4">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阿克苏袜制品生产车间1期</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115,437,813.82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115,437,813.82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11,642,814.18</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103,794,999.64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r>
      <w:tr w:rsidR="00C526AC" w:rsidTr="007B6DF4">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阿克苏标信在建工程</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41,360,000.00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18,701,484.46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19,209,220.66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37,910,705.12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91.66%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91.66%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r>
      <w:tr w:rsidR="00C526AC" w:rsidTr="007B6DF4">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阿克苏袜制品生产车间2期</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115,000,000.00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4,148,262.92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4,148,262.92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3.61%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r>
      <w:tr w:rsidR="00C526AC" w:rsidTr="007B6DF4">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843,887,413.82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407,872,874.57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181,550,760.99</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293,837,961.59</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295,585,673.97</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Default="00E0175D">
      <w:pPr>
        <w:keepNext/>
        <w:keepLines/>
        <w:spacing w:before="300" w:after="300" w:line="280" w:lineRule="exact"/>
        <w:jc w:val="left"/>
        <w:outlineLvl w:val="3"/>
        <w:rPr>
          <w:rFonts w:ascii="宋体" w:hAnsi="宋体" w:cs="宋体"/>
          <w:b/>
          <w:bCs/>
          <w:szCs w:val="21"/>
        </w:rPr>
      </w:pPr>
      <w:bookmarkStart w:id="150" w:name="_Toc989140"/>
      <w:r>
        <w:rPr>
          <w:rFonts w:ascii="宋体" w:hAnsi="宋体" w:cs="宋体"/>
          <w:b/>
          <w:bCs/>
          <w:szCs w:val="21"/>
        </w:rPr>
        <w:t>（3） 本期计提在建工程减值准备情况</w:t>
      </w:r>
      <w:bookmarkEnd w:id="150"/>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sidR="00CD6F67">
        <w:rPr>
          <w:rFonts w:ascii="宋体" w:hAnsi="宋体" w:cs="宋体" w:hint="eastAsia"/>
          <w:sz w:val="18"/>
          <w:szCs w:val="18"/>
        </w:rPr>
        <w:t>：</w:t>
      </w:r>
      <w:r>
        <w:rPr>
          <w:rFonts w:ascii="宋体" w:hAnsi="宋体" w:cs="宋体" w:hint="eastAsia"/>
          <w:sz w:val="18"/>
          <w:szCs w:val="18"/>
        </w:rPr>
        <w:t>本公司认为期末在建工程未出现可收回金额低于账面价值的情形，故未计提减值准备。</w:t>
      </w:r>
    </w:p>
    <w:p w:rsidR="00C526AC" w:rsidRDefault="00E0175D">
      <w:pPr>
        <w:keepNext/>
        <w:keepLines/>
        <w:spacing w:before="300" w:after="300" w:line="280" w:lineRule="exact"/>
        <w:jc w:val="left"/>
        <w:outlineLvl w:val="3"/>
        <w:rPr>
          <w:rFonts w:ascii="宋体" w:hAnsi="宋体" w:cs="宋体"/>
          <w:b/>
          <w:bCs/>
          <w:szCs w:val="21"/>
        </w:rPr>
      </w:pPr>
      <w:bookmarkStart w:id="151" w:name="_Toc989141"/>
      <w:r>
        <w:rPr>
          <w:rFonts w:ascii="宋体" w:hAnsi="宋体" w:cs="宋体"/>
          <w:b/>
          <w:bCs/>
          <w:szCs w:val="21"/>
        </w:rPr>
        <w:t>（4） 工程物资</w:t>
      </w:r>
      <w:bookmarkEnd w:id="151"/>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52" w:name="_Toc989142"/>
      <w:r>
        <w:rPr>
          <w:rFonts w:ascii="宋体" w:hAnsi="宋体" w:cs="宋体"/>
          <w:b/>
          <w:bCs/>
          <w:szCs w:val="21"/>
        </w:rPr>
        <w:t>23、生产性生物资产</w:t>
      </w:r>
      <w:bookmarkEnd w:id="152"/>
    </w:p>
    <w:p w:rsidR="00C526AC" w:rsidRDefault="00E0175D">
      <w:pPr>
        <w:keepNext/>
        <w:keepLines/>
        <w:spacing w:before="300" w:after="300" w:line="280" w:lineRule="exact"/>
        <w:jc w:val="left"/>
        <w:outlineLvl w:val="3"/>
        <w:rPr>
          <w:rFonts w:ascii="宋体" w:hAnsi="宋体" w:cs="宋体"/>
          <w:b/>
          <w:bCs/>
          <w:szCs w:val="21"/>
        </w:rPr>
      </w:pPr>
      <w:bookmarkStart w:id="153" w:name="_Toc989143"/>
      <w:r>
        <w:rPr>
          <w:rFonts w:ascii="宋体" w:hAnsi="宋体" w:cs="宋体"/>
          <w:b/>
          <w:bCs/>
          <w:szCs w:val="21"/>
        </w:rPr>
        <w:t>（1） 采用成本计量模式的生产性生物资产</w:t>
      </w:r>
      <w:bookmarkEnd w:id="153"/>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Cs w:val="21"/>
        </w:rPr>
      </w:pPr>
      <w:bookmarkStart w:id="154" w:name="_Toc989144"/>
      <w:r>
        <w:rPr>
          <w:rFonts w:ascii="宋体" w:hAnsi="宋体" w:cs="宋体"/>
          <w:b/>
          <w:bCs/>
          <w:szCs w:val="21"/>
        </w:rPr>
        <w:t>（2） 采用公允价值计量模式的生产性生物资产</w:t>
      </w:r>
      <w:bookmarkEnd w:id="154"/>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155" w:name="_Toc989145"/>
      <w:r>
        <w:rPr>
          <w:rFonts w:ascii="宋体" w:hAnsi="宋体" w:cs="宋体"/>
          <w:b/>
          <w:bCs/>
          <w:szCs w:val="21"/>
        </w:rPr>
        <w:t>24、油气资产</w:t>
      </w:r>
      <w:bookmarkEnd w:id="155"/>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156" w:name="_Toc989146"/>
      <w:r>
        <w:rPr>
          <w:rFonts w:ascii="宋体" w:hAnsi="宋体" w:cs="宋体"/>
          <w:b/>
          <w:bCs/>
          <w:szCs w:val="21"/>
        </w:rPr>
        <w:t>25、使用权资产</w:t>
      </w:r>
      <w:bookmarkEnd w:id="15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房屋及建筑物</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机器设备</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一、账面原值</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36,842,977.67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634,237.06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37,477,214.73</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2,305,839.62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2,305,839.62</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租赁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2,305,839.62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2,305,839.62</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194,869.21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194,869.21</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处置</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194,869.21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194,869.21</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38,953,948.08</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634,237.06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39,588,185.14</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二、累计折旧</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6,930,745.40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79,279.68</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7,010,025.08</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5,016,967.47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95,135.56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5,112,103.02</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5,016,967.47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95,135.56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5,112,103.02</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64,441.92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64,441.92</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64,441.92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64,441.92</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11,883,270.95</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174,415.24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12,057,686.18</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三、减值准备</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1.期末账面价值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27,070,677.13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459,821.82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27,530,498.95</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2.期初账面价值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29,912,232.27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554,957.38</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30,467,189.65</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57" w:name="_Toc989147"/>
      <w:r>
        <w:rPr>
          <w:rFonts w:ascii="宋体" w:hAnsi="宋体" w:cs="宋体"/>
          <w:b/>
          <w:bCs/>
          <w:szCs w:val="21"/>
        </w:rPr>
        <w:t>26、无形资产</w:t>
      </w:r>
      <w:bookmarkEnd w:id="157"/>
    </w:p>
    <w:p w:rsidR="00C526AC" w:rsidRDefault="00E0175D">
      <w:pPr>
        <w:keepNext/>
        <w:keepLines/>
        <w:spacing w:before="300" w:after="300" w:line="280" w:lineRule="exact"/>
        <w:jc w:val="left"/>
        <w:outlineLvl w:val="3"/>
        <w:rPr>
          <w:rFonts w:ascii="宋体" w:hAnsi="宋体" w:cs="宋体"/>
          <w:b/>
          <w:bCs/>
          <w:szCs w:val="21"/>
        </w:rPr>
      </w:pPr>
      <w:bookmarkStart w:id="158" w:name="_Toc989148"/>
      <w:r>
        <w:rPr>
          <w:rFonts w:ascii="宋体" w:hAnsi="宋体" w:cs="宋体"/>
          <w:b/>
          <w:bCs/>
          <w:szCs w:val="21"/>
        </w:rPr>
        <w:t>（1） 无形资产情况</w:t>
      </w:r>
      <w:bookmarkEnd w:id="15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土地使用权</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专利权</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非专利技术</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1,098,950,755.96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27,485,257.05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9,902,119.62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1,136,338,132.63</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5,054,717.39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929,025.44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1,205,886.34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7,189,629.17</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2,491,597.26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929,025.44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1,205,886.34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4,626,509.04</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（2）内部研发</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2,563,120.13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2,563,120.13</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46,467.15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37,330.57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83,797.72</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46,467.15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37,330.57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83,797.72</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1,103,959,006.20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28,414,282.49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11,070,675.39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1,143,443,964.08</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二、累计摊销</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170,332,743.06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21,282,262.94</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5,715,678.90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197,330,684.90</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9,443,485.86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725,397.47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919,795.02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11,088,678.35</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10,430,574.61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725,397.47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919,795.02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12,075,767.10</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-987,088.75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-987,088.75</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179,776,228.92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22,007,660.41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6,635,473.92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208,419,363.25</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400" w:firstLine="720"/>
              <w:jc w:val="left"/>
              <w:rPr>
                <w:rFonts w:ascii="宋体" w:hAnsi="宋体" w:cs="宋体"/>
                <w:sz w:val="18"/>
                <w:szCs w:val="18"/>
              </w:rPr>
            </w:pPr>
            <w:r>
              <w:rPr>
                <w:rFonts w:ascii="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924,182,777.28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6,406,622.08</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4,435,201.47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935,024,600.83</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928,618,012.90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6,202,994.11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4,186,440.72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939,007,447.73</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本期末通过公司内部研发形成的无形资产占无形资产余额的比例</w:t>
      </w:r>
    </w:p>
    <w:p w:rsidR="00C526AC" w:rsidRDefault="00E0175D">
      <w:pPr>
        <w:keepNext/>
        <w:keepLines/>
        <w:spacing w:before="300" w:after="300" w:line="280" w:lineRule="exact"/>
        <w:jc w:val="left"/>
        <w:outlineLvl w:val="3"/>
        <w:rPr>
          <w:rFonts w:ascii="宋体" w:hAnsi="宋体" w:cs="宋体"/>
          <w:b/>
          <w:bCs/>
          <w:szCs w:val="21"/>
        </w:rPr>
      </w:pPr>
      <w:bookmarkStart w:id="159" w:name="_Toc989149"/>
      <w:r>
        <w:rPr>
          <w:rFonts w:ascii="宋体" w:hAnsi="宋体" w:cs="宋体"/>
          <w:b/>
          <w:bCs/>
          <w:szCs w:val="21"/>
        </w:rPr>
        <w:t>（2） 未办妥产权证书的土地使用权情况</w:t>
      </w:r>
      <w:bookmarkEnd w:id="15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未办妥产权证书的原因</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土地使用权</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64,961,726.80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尚在办理中</w:t>
            </w:r>
          </w:p>
        </w:tc>
      </w:tr>
    </w:tbl>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sidR="00CD6F67">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60" w:name="_Toc989150"/>
      <w:r>
        <w:rPr>
          <w:rFonts w:ascii="宋体" w:hAnsi="宋体" w:cs="宋体"/>
          <w:b/>
          <w:bCs/>
          <w:szCs w:val="21"/>
        </w:rPr>
        <w:t>27、开发支出</w:t>
      </w:r>
      <w:bookmarkEnd w:id="160"/>
    </w:p>
    <w:p w:rsidR="00C526AC" w:rsidRPr="00CD6F67" w:rsidRDefault="00E0175D" w:rsidP="00CD6F67">
      <w:pPr>
        <w:spacing w:before="100" w:after="100" w:line="240" w:lineRule="exact"/>
        <w:jc w:val="left"/>
        <w:rPr>
          <w:rFonts w:ascii="宋体" w:hAnsi="宋体" w:cs="宋体"/>
          <w:sz w:val="18"/>
          <w:szCs w:val="18"/>
        </w:rPr>
      </w:pPr>
      <w:r>
        <w:rPr>
          <w:rFonts w:ascii="宋体" w:hAnsi="宋体" w:cs="宋体"/>
          <w:sz w:val="18"/>
          <w:szCs w:val="18"/>
        </w:rPr>
        <w:t>其他说明</w:t>
      </w:r>
      <w:r w:rsidR="00CD6F67">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61" w:name="_Toc989151"/>
      <w:r>
        <w:rPr>
          <w:rFonts w:ascii="宋体" w:hAnsi="宋体" w:cs="宋体"/>
          <w:b/>
          <w:bCs/>
          <w:szCs w:val="21"/>
        </w:rPr>
        <w:t>28、商誉</w:t>
      </w:r>
      <w:bookmarkEnd w:id="161"/>
    </w:p>
    <w:p w:rsidR="00C526AC" w:rsidRDefault="00E0175D">
      <w:pPr>
        <w:keepNext/>
        <w:keepLines/>
        <w:spacing w:before="300" w:after="300" w:line="280" w:lineRule="exact"/>
        <w:jc w:val="left"/>
        <w:outlineLvl w:val="3"/>
        <w:rPr>
          <w:rFonts w:ascii="宋体" w:hAnsi="宋体" w:cs="宋体"/>
          <w:b/>
          <w:bCs/>
          <w:szCs w:val="21"/>
        </w:rPr>
      </w:pPr>
      <w:bookmarkStart w:id="162" w:name="_Toc989152"/>
      <w:r>
        <w:rPr>
          <w:rFonts w:ascii="宋体" w:hAnsi="宋体" w:cs="宋体"/>
          <w:b/>
          <w:bCs/>
          <w:szCs w:val="21"/>
        </w:rPr>
        <w:t>（1） 商誉账面原值</w:t>
      </w:r>
      <w:bookmarkEnd w:id="16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rsidTr="007B6DF4">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7B6DF4">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被投资单位名称或形成商誉的事项</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center"/>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center"/>
              <w:rPr>
                <w:rFonts w:ascii="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新疆棉花交易市场有限责任公司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3,861,366.21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3,861,366.21</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5,724,454.02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5,724,454.02</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浙江鲲驰互联科技有限公司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147,900,475.26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147,900,475.26</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157,486,295.49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157,486,295.49</w:t>
            </w:r>
          </w:p>
        </w:tc>
      </w:tr>
    </w:tbl>
    <w:p w:rsidR="00C526AC" w:rsidRDefault="00E0175D">
      <w:pPr>
        <w:keepNext/>
        <w:keepLines/>
        <w:spacing w:before="300" w:after="300" w:line="280" w:lineRule="exact"/>
        <w:jc w:val="left"/>
        <w:outlineLvl w:val="3"/>
        <w:rPr>
          <w:rFonts w:ascii="宋体" w:hAnsi="宋体" w:cs="宋体"/>
          <w:b/>
          <w:bCs/>
          <w:szCs w:val="21"/>
        </w:rPr>
      </w:pPr>
      <w:bookmarkStart w:id="163" w:name="_Toc989153"/>
      <w:r>
        <w:rPr>
          <w:rFonts w:ascii="宋体" w:hAnsi="宋体" w:cs="宋体"/>
          <w:b/>
          <w:bCs/>
          <w:szCs w:val="21"/>
        </w:rPr>
        <w:t>（2） 商誉减值准备</w:t>
      </w:r>
      <w:bookmarkEnd w:id="163"/>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商誉所在资产组或资产组组合的相关信息</w:t>
      </w:r>
    </w:p>
    <w:p w:rsidR="00C526AC" w:rsidRDefault="00E0175D">
      <w:pPr>
        <w:pStyle w:val="a3"/>
        <w:widowControl/>
      </w:pPr>
      <w:r>
        <w:rPr>
          <w:rFonts w:ascii="宋体" w:hAnsi="宋体" w:cs="宋体" w:hint="eastAsia"/>
          <w:sz w:val="18"/>
          <w:szCs w:val="18"/>
        </w:rPr>
        <w:t>本公司之子公司新疆华孚棉业于2018年1月对新疆棉花交易市场进行增资；注入增资款3,520.00万元，占总价款的100%；合并日，取得的被投资单位可辨认净资产公允价值份额为3233.86万元，从而形成商誉386.14万元；</w:t>
      </w:r>
    </w:p>
    <w:p w:rsidR="00C526AC" w:rsidRDefault="00E0175D">
      <w:pPr>
        <w:pStyle w:val="a3"/>
        <w:widowControl/>
      </w:pPr>
      <w:r>
        <w:rPr>
          <w:rFonts w:ascii="宋体" w:hAnsi="宋体" w:cs="宋体" w:hint="eastAsia"/>
          <w:sz w:val="18"/>
          <w:szCs w:val="18"/>
        </w:rPr>
        <w:t>本公司子公司阿大纺织于2019年8月约定向张晚霞、许栩光收购其持有的浙江博忆、诸暨力旗51%股权，其中22,893,000.00元作为股权转让款支付给张晚霞、许栩光，另22,893,000.00元于2019年10月以投资款的形式分别投入到浙江博忆、诸暨力旗，投资成本合计为45,786,000.00元，合并日商誉分别为2,047,002.37 元、3,677,451.65元；浙江博忆已将力旗吸收合并到浙江博忆公司，吸收合并完成后本公司子公司对诸暨力旗的商誉合并计入浙江博忆，因此本公司对浙江博忆的商誉为5,724,454.02元。</w:t>
      </w:r>
    </w:p>
    <w:p w:rsidR="00C526AC" w:rsidRDefault="00E0175D">
      <w:pPr>
        <w:pStyle w:val="a3"/>
        <w:widowControl/>
      </w:pPr>
      <w:r>
        <w:rPr>
          <w:rFonts w:ascii="宋体" w:hAnsi="宋体" w:cs="宋体" w:hint="eastAsia"/>
          <w:sz w:val="18"/>
          <w:szCs w:val="18"/>
        </w:rPr>
        <w:t>本公司子公司深圳网链于2021年8月以现金27,083.00万元和持有的新疆阿大数字科技产业园有限公司100%股权，浙江博忆纺织科技有限公司51%股权，以及浙江易孚贸易有限公司70%股权向目标公司进行增资;投资成本合计为39,161.60万元 。</w:t>
      </w:r>
    </w:p>
    <w:p w:rsidR="00C526AC" w:rsidRDefault="00E0175D">
      <w:pPr>
        <w:pStyle w:val="a3"/>
        <w:widowControl/>
      </w:pPr>
      <w:r>
        <w:rPr>
          <w:rFonts w:ascii="宋体" w:hAnsi="宋体" w:cs="宋体" w:hint="eastAsia"/>
          <w:sz w:val="18"/>
          <w:szCs w:val="18"/>
        </w:rPr>
        <w:t>上述资产组与购买日所确认的资产组一致。</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说明商誉减值测试过程、关键参数（如预计未来现金流量现值时的预测期增长率、稳定期增长率、利润率、折现率、预测期等）及商誉减值损失的确认方法：</w:t>
      </w:r>
    </w:p>
    <w:p w:rsidR="00C526AC" w:rsidRDefault="00E0175D">
      <w:pPr>
        <w:pStyle w:val="a3"/>
        <w:widowControl/>
      </w:pPr>
      <w:r>
        <w:rPr>
          <w:rFonts w:ascii="宋体" w:hAnsi="宋体" w:cs="宋体" w:hint="eastAsia"/>
          <w:sz w:val="18"/>
          <w:szCs w:val="18"/>
        </w:rPr>
        <w:t>公司结合与商誉相关的能够从企业合并的协同效应中受益的资产组或者资产组组合进行商誉减值测试。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C526AC" w:rsidRDefault="00E0175D">
      <w:pPr>
        <w:pStyle w:val="a3"/>
        <w:widowControl/>
      </w:pPr>
      <w:r>
        <w:rPr>
          <w:rFonts w:ascii="宋体" w:hAnsi="宋体" w:cs="宋体" w:hint="eastAsia"/>
          <w:sz w:val="18"/>
          <w:szCs w:val="18"/>
        </w:rPr>
        <w:t>相关测试过程及结果如下：</w:t>
      </w:r>
    </w:p>
    <w:p w:rsidR="00C526AC" w:rsidRDefault="00E0175D">
      <w:pPr>
        <w:pStyle w:val="a3"/>
        <w:widowControl/>
      </w:pPr>
      <w:r>
        <w:rPr>
          <w:rFonts w:ascii="宋体" w:hAnsi="宋体" w:cs="宋体" w:hint="eastAsia"/>
          <w:sz w:val="18"/>
          <w:szCs w:val="18"/>
        </w:rPr>
        <w:t>（1）、新疆棉花交易市场相关资产组的可收回金额是基于以前年度的经营情况、行业发展水平及管理层对市场发展的预期等因素，采用13.98%的折现率，测算预计未来现金流量现值确定得出。经测算、评估，资产组可收回金额大于账面价值，确认商誉不存在减值的迹象，故未计提减值准备。</w:t>
      </w:r>
    </w:p>
    <w:p w:rsidR="00C526AC" w:rsidRDefault="00E0175D">
      <w:pPr>
        <w:pStyle w:val="a3"/>
        <w:widowControl/>
      </w:pPr>
      <w:r>
        <w:rPr>
          <w:rFonts w:ascii="宋体" w:hAnsi="宋体" w:cs="宋体" w:hint="eastAsia"/>
          <w:sz w:val="18"/>
          <w:szCs w:val="18"/>
        </w:rPr>
        <w:t>（2）、阿大纺织于2019年10月向浙江博忆、诸暨力旗增资后累计持有其51%股权，经测试，截止2022年6月30日，包含商誉的相关资产组或者资产组组合的预计可收回金额大于账面价值，确认商誉不存在减值的迹象，故未计提减值准备。</w:t>
      </w:r>
    </w:p>
    <w:p w:rsidR="00C526AC" w:rsidRDefault="00E0175D">
      <w:pPr>
        <w:pStyle w:val="a3"/>
        <w:widowControl/>
      </w:pPr>
      <w:r>
        <w:rPr>
          <w:rFonts w:ascii="宋体" w:hAnsi="宋体" w:cs="宋体" w:hint="eastAsia"/>
          <w:sz w:val="18"/>
          <w:szCs w:val="18"/>
        </w:rPr>
        <w:t>（3）、深圳网链于2021年8月向浙江鲲驰增资后累计持有其64.9515%股权，经测试，截止2022年6月30日，包含商誉的相关资产组或者资产组组合的预计可收回金额大于账面价值，确认商誉不存在减值的迹象，故未计提减值准备。</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商誉减值测试的影响</w:t>
      </w:r>
      <w:r w:rsidR="00C41BCA">
        <w:rPr>
          <w:rFonts w:ascii="宋体" w:hAnsi="宋体" w:cs="宋体" w:hint="eastAsia"/>
          <w:sz w:val="18"/>
          <w:szCs w:val="18"/>
        </w:rPr>
        <w:t>：</w:t>
      </w:r>
      <w:r>
        <w:rPr>
          <w:rFonts w:ascii="宋体" w:hAnsi="宋体" w:cs="宋体" w:hint="eastAsia"/>
          <w:sz w:val="18"/>
          <w:szCs w:val="18"/>
        </w:rPr>
        <w:t>无。</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64" w:name="_Toc989154"/>
      <w:r>
        <w:rPr>
          <w:rFonts w:ascii="宋体" w:hAnsi="宋体" w:cs="宋体"/>
          <w:b/>
          <w:bCs/>
          <w:szCs w:val="21"/>
        </w:rPr>
        <w:t>29、长期待摊费用</w:t>
      </w:r>
      <w:bookmarkEnd w:id="16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装修费</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22,525,670.60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3,380,530.85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6,397,341.32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19,508,860.13</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机物料</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10,883,700.95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9,000,167.56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4,994,522.61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14,889,345.90</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租赁费</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9,520,792.56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3,383,404.66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5,905,717.52</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6,998,479.70</w:t>
            </w:r>
          </w:p>
        </w:tc>
      </w:tr>
      <w:tr w:rsidR="00C526AC" w:rsidTr="007B6DF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42,930,164.11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15,764,103.07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17,297,581.45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41,396,685.73</w:t>
            </w:r>
          </w:p>
        </w:tc>
      </w:tr>
    </w:tbl>
    <w:p w:rsidR="00C526AC" w:rsidRDefault="00E0175D">
      <w:pPr>
        <w:keepNext/>
        <w:keepLines/>
        <w:spacing w:before="300" w:after="300" w:line="280" w:lineRule="exact"/>
        <w:jc w:val="left"/>
        <w:outlineLvl w:val="2"/>
        <w:rPr>
          <w:rFonts w:ascii="宋体" w:hAnsi="宋体" w:cs="宋体"/>
          <w:b/>
          <w:bCs/>
          <w:szCs w:val="21"/>
        </w:rPr>
      </w:pPr>
      <w:bookmarkStart w:id="165" w:name="_Toc989155"/>
      <w:r>
        <w:rPr>
          <w:rFonts w:ascii="宋体" w:hAnsi="宋体" w:cs="宋体"/>
          <w:b/>
          <w:bCs/>
          <w:szCs w:val="21"/>
        </w:rPr>
        <w:t>30、递延所得税资产/递延所得税负债</w:t>
      </w:r>
      <w:bookmarkEnd w:id="165"/>
    </w:p>
    <w:p w:rsidR="00C526AC" w:rsidRDefault="00E0175D">
      <w:pPr>
        <w:keepNext/>
        <w:keepLines/>
        <w:spacing w:before="300" w:after="300" w:line="280" w:lineRule="exact"/>
        <w:jc w:val="left"/>
        <w:outlineLvl w:val="3"/>
        <w:rPr>
          <w:rFonts w:ascii="宋体" w:hAnsi="宋体" w:cs="宋体"/>
          <w:b/>
          <w:bCs/>
          <w:szCs w:val="21"/>
        </w:rPr>
      </w:pPr>
      <w:bookmarkStart w:id="166" w:name="_Toc989156"/>
      <w:r>
        <w:rPr>
          <w:rFonts w:ascii="宋体" w:hAnsi="宋体" w:cs="宋体"/>
          <w:b/>
          <w:bCs/>
          <w:szCs w:val="21"/>
        </w:rPr>
        <w:t>（1） 未经抵销的递延所得税资产</w:t>
      </w:r>
      <w:bookmarkEnd w:id="16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rsidTr="007B6DF4">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递延所得税资产</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20,558,852.21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5,053,561.31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20,558,852.21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5,053,561.31</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36,024,600.24</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9,006,150.06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52,108,213.16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13,134,989.16</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272,410,885.33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60,438,052.78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300,069,060.90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65,869,364.61</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165,615,661.66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31,240,720.48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200,187,340.36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42,478,434.98</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存货跌价准备</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43,267,366.12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10,436,235.51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40,597,052.23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9,120,914.49</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递延收益</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12,674,516.33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2,351,958.28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15,395,392.33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2,389,079.68</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预计负债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2,950,020.00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737,505.00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2,986,497.87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742,976.68</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19,937,263.56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4,984,315.89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1,090,586.47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272,646.62</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573,439,165.45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124,248,499.31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632,992,995.53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139,061,967.53</w:t>
            </w:r>
          </w:p>
        </w:tc>
      </w:tr>
    </w:tbl>
    <w:p w:rsidR="00C526AC" w:rsidRDefault="00E0175D">
      <w:pPr>
        <w:keepNext/>
        <w:keepLines/>
        <w:spacing w:before="300" w:after="300" w:line="280" w:lineRule="exact"/>
        <w:jc w:val="left"/>
        <w:outlineLvl w:val="3"/>
        <w:rPr>
          <w:rFonts w:ascii="宋体" w:hAnsi="宋体" w:cs="宋体"/>
          <w:b/>
          <w:bCs/>
          <w:szCs w:val="21"/>
        </w:rPr>
      </w:pPr>
      <w:bookmarkStart w:id="167" w:name="_Toc989157"/>
      <w:r>
        <w:rPr>
          <w:rFonts w:ascii="宋体" w:hAnsi="宋体" w:cs="宋体"/>
          <w:b/>
          <w:bCs/>
          <w:szCs w:val="21"/>
        </w:rPr>
        <w:t>（2） 未经抵销的递延所得税负债</w:t>
      </w:r>
      <w:bookmarkEnd w:id="16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rsidTr="007B6DF4">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递延所得税负债</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非同一控制企业合并资产评估增值</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54,261,674.00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13,565,418.50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54,261,674.00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13,565,418.50</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16,879,700.60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2,531,955.09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16,220,292.93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2,433,043.94</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1,569,240.92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377,665.40</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已计提尚未收到的政府补助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75,132,084.39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11,588,762.61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81,862,067.34</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12,730,803.41</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146,273,458.99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27,686,136.20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153,913,275.19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29,106,931.25</w:t>
            </w:r>
          </w:p>
        </w:tc>
      </w:tr>
    </w:tbl>
    <w:p w:rsidR="00C526AC" w:rsidRDefault="00E0175D">
      <w:pPr>
        <w:keepNext/>
        <w:keepLines/>
        <w:spacing w:before="300" w:after="300" w:line="280" w:lineRule="exact"/>
        <w:jc w:val="left"/>
        <w:outlineLvl w:val="3"/>
        <w:rPr>
          <w:rFonts w:ascii="宋体" w:hAnsi="宋体" w:cs="宋体"/>
          <w:b/>
          <w:bCs/>
          <w:szCs w:val="21"/>
        </w:rPr>
      </w:pPr>
      <w:bookmarkStart w:id="168" w:name="_Toc989158"/>
      <w:r>
        <w:rPr>
          <w:rFonts w:ascii="宋体" w:hAnsi="宋体" w:cs="宋体"/>
          <w:b/>
          <w:bCs/>
          <w:szCs w:val="21"/>
        </w:rPr>
        <w:t>（3） 以抵销后净额列示的递延所得税资产或负债</w:t>
      </w:r>
      <w:bookmarkEnd w:id="16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递延所得税资产和负债期末互抵金额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抵销后递延所得税资产或负债期末余额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递延所得税资产和负债期初互抵金额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抵销后递延所得税资产或负债期初余额</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124,248,499.31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139,061,967.53</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27,686,136.20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29,106,931.25</w:t>
            </w:r>
          </w:p>
        </w:tc>
      </w:tr>
    </w:tbl>
    <w:p w:rsidR="00C526AC" w:rsidRDefault="00E0175D">
      <w:pPr>
        <w:keepNext/>
        <w:keepLines/>
        <w:spacing w:before="300" w:after="300" w:line="280" w:lineRule="exact"/>
        <w:jc w:val="left"/>
        <w:outlineLvl w:val="3"/>
        <w:rPr>
          <w:rFonts w:ascii="宋体" w:hAnsi="宋体" w:cs="宋体"/>
          <w:b/>
          <w:bCs/>
          <w:szCs w:val="21"/>
        </w:rPr>
      </w:pPr>
      <w:bookmarkStart w:id="169" w:name="_Toc989159"/>
      <w:r>
        <w:rPr>
          <w:rFonts w:ascii="宋体" w:hAnsi="宋体" w:cs="宋体"/>
          <w:b/>
          <w:bCs/>
          <w:szCs w:val="21"/>
        </w:rPr>
        <w:t>（4） 未确认递延所得税资产明细</w:t>
      </w:r>
      <w:bookmarkEnd w:id="16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351,069,818.23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506,817,969.56</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138,975,787.26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87,994,951.78</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存货跌价准备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62,932,109.64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61,256,092.01</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60,867,305.05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70,794,603.12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114,340.35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16,171,300.00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16,318,325.00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固定资产减值准备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19,334,377.48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26,034,183.74</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649,350,697.66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769,330,465.56</w:t>
            </w:r>
          </w:p>
        </w:tc>
      </w:tr>
    </w:tbl>
    <w:p w:rsidR="00C526AC" w:rsidRDefault="00E0175D">
      <w:pPr>
        <w:keepNext/>
        <w:keepLines/>
        <w:spacing w:before="300" w:after="300" w:line="280" w:lineRule="exact"/>
        <w:jc w:val="left"/>
        <w:outlineLvl w:val="3"/>
        <w:rPr>
          <w:rFonts w:ascii="宋体" w:hAnsi="宋体" w:cs="宋体"/>
          <w:b/>
          <w:bCs/>
          <w:szCs w:val="21"/>
        </w:rPr>
      </w:pPr>
      <w:bookmarkStart w:id="170" w:name="_Toc989160"/>
      <w:r>
        <w:rPr>
          <w:rFonts w:ascii="宋体" w:hAnsi="宋体" w:cs="宋体"/>
          <w:b/>
          <w:bCs/>
          <w:szCs w:val="21"/>
        </w:rPr>
        <w:t>（5） 未确认递延所得税资产的可抵扣亏损将于以下年度到期</w:t>
      </w:r>
      <w:bookmarkEnd w:id="170"/>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71" w:name="_Toc989161"/>
      <w:r>
        <w:rPr>
          <w:rFonts w:ascii="宋体" w:hAnsi="宋体" w:cs="宋体"/>
          <w:b/>
          <w:bCs/>
          <w:szCs w:val="21"/>
        </w:rPr>
        <w:t>31、其他非流动资产</w:t>
      </w:r>
      <w:bookmarkEnd w:id="17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425"/>
        <w:gridCol w:w="1134"/>
        <w:gridCol w:w="1572"/>
        <w:gridCol w:w="1546"/>
        <w:gridCol w:w="1134"/>
        <w:gridCol w:w="1451"/>
      </w:tblGrid>
      <w:tr w:rsidR="00C526AC" w:rsidTr="007B6DF4">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tc>
        <w:tc>
          <w:tcPr>
            <w:tcW w:w="142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w:t>
            </w:r>
          </w:p>
        </w:tc>
        <w:tc>
          <w:tcPr>
            <w:tcW w:w="1572"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54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预付工程及设备款等</w:t>
            </w:r>
          </w:p>
        </w:tc>
        <w:tc>
          <w:tcPr>
            <w:tcW w:w="142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47,248,085.75</w:t>
            </w:r>
          </w:p>
        </w:tc>
        <w:tc>
          <w:tcPr>
            <w:tcW w:w="11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47,248,085.75</w:t>
            </w:r>
          </w:p>
        </w:tc>
        <w:tc>
          <w:tcPr>
            <w:tcW w:w="154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80,128,182.87</w:t>
            </w:r>
          </w:p>
        </w:tc>
        <w:tc>
          <w:tcPr>
            <w:tcW w:w="11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80,128,182.87</w:t>
            </w:r>
          </w:p>
        </w:tc>
      </w:tr>
      <w:tr w:rsidR="00C526AC" w:rsidTr="007B6DF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42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47,248,085.75</w:t>
            </w:r>
          </w:p>
        </w:tc>
        <w:tc>
          <w:tcPr>
            <w:tcW w:w="11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47,248,085.75</w:t>
            </w:r>
          </w:p>
        </w:tc>
        <w:tc>
          <w:tcPr>
            <w:tcW w:w="154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80,128,182.87</w:t>
            </w:r>
          </w:p>
        </w:tc>
        <w:tc>
          <w:tcPr>
            <w:tcW w:w="11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80,128,182.87</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72" w:name="_Toc989162"/>
      <w:r>
        <w:rPr>
          <w:rFonts w:ascii="宋体" w:hAnsi="宋体" w:cs="宋体"/>
          <w:b/>
          <w:bCs/>
          <w:szCs w:val="21"/>
        </w:rPr>
        <w:t>32、短期借款</w:t>
      </w:r>
      <w:bookmarkEnd w:id="172"/>
    </w:p>
    <w:p w:rsidR="00C526AC" w:rsidRDefault="00E0175D">
      <w:pPr>
        <w:keepNext/>
        <w:keepLines/>
        <w:spacing w:before="300" w:after="300" w:line="280" w:lineRule="exact"/>
        <w:jc w:val="left"/>
        <w:outlineLvl w:val="3"/>
        <w:rPr>
          <w:rFonts w:ascii="宋体" w:hAnsi="宋体" w:cs="宋体"/>
          <w:b/>
          <w:bCs/>
          <w:szCs w:val="21"/>
        </w:rPr>
      </w:pPr>
      <w:bookmarkStart w:id="173" w:name="_Toc989163"/>
      <w:r>
        <w:rPr>
          <w:rFonts w:ascii="宋体" w:hAnsi="宋体" w:cs="宋体"/>
          <w:b/>
          <w:bCs/>
          <w:szCs w:val="21"/>
        </w:rPr>
        <w:t>（1） 短期借款分类</w:t>
      </w:r>
      <w:bookmarkEnd w:id="17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1,033,779,665.32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1,605,315,932.04</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951,896,620.00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1,339,780,160.58</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2,774,434,402.43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446,756,997.34</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70,209,958.80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保证、抵押借款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1,092,464,876.82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2,468,645,679.00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297,500,000.00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911,842,445.69</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保证、抵押、质押借款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1,788,190,000.00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1,649,380,000.00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短期借款利息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2,741,955.99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5,025,274.89</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8,011,217,479.36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8,426,746,489.54</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短期借款分类的说明：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174" w:name="_Toc989164"/>
      <w:r>
        <w:rPr>
          <w:rFonts w:ascii="宋体" w:hAnsi="宋体" w:cs="宋体"/>
          <w:b/>
          <w:bCs/>
          <w:szCs w:val="21"/>
        </w:rPr>
        <w:t>（2） 已逾期未偿还的短期借款情况</w:t>
      </w:r>
      <w:bookmarkEnd w:id="174"/>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75" w:name="_Toc989165"/>
      <w:r>
        <w:rPr>
          <w:rFonts w:ascii="宋体" w:hAnsi="宋体" w:cs="宋体"/>
          <w:b/>
          <w:bCs/>
          <w:szCs w:val="21"/>
        </w:rPr>
        <w:t>33、交易性金融负债</w:t>
      </w:r>
      <w:bookmarkEnd w:id="175"/>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76" w:name="_Toc989166"/>
      <w:r>
        <w:rPr>
          <w:rFonts w:ascii="宋体" w:hAnsi="宋体" w:cs="宋体"/>
          <w:b/>
          <w:bCs/>
          <w:szCs w:val="21"/>
        </w:rPr>
        <w:t>34、衍生金融负债</w:t>
      </w:r>
      <w:bookmarkEnd w:id="176"/>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77" w:name="_Toc989167"/>
      <w:r>
        <w:rPr>
          <w:rFonts w:ascii="宋体" w:hAnsi="宋体" w:cs="宋体"/>
          <w:b/>
          <w:bCs/>
          <w:szCs w:val="21"/>
        </w:rPr>
        <w:t>35、应付票据</w:t>
      </w:r>
      <w:bookmarkEnd w:id="17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154,294,471.00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206,404,734.39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154,294,471.00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206,404,734.39</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本期末已到期未支付的应付票据总额为0.00元。</w:t>
      </w:r>
    </w:p>
    <w:p w:rsidR="00C526AC" w:rsidRDefault="00E0175D">
      <w:pPr>
        <w:keepNext/>
        <w:keepLines/>
        <w:spacing w:before="300" w:after="300" w:line="280" w:lineRule="exact"/>
        <w:jc w:val="left"/>
        <w:outlineLvl w:val="2"/>
        <w:rPr>
          <w:rFonts w:ascii="宋体" w:hAnsi="宋体" w:cs="宋体"/>
          <w:b/>
          <w:bCs/>
          <w:szCs w:val="21"/>
        </w:rPr>
      </w:pPr>
      <w:bookmarkStart w:id="178" w:name="_Toc989168"/>
      <w:r>
        <w:rPr>
          <w:rFonts w:ascii="宋体" w:hAnsi="宋体" w:cs="宋体"/>
          <w:b/>
          <w:bCs/>
          <w:szCs w:val="21"/>
        </w:rPr>
        <w:t>36、应付账款</w:t>
      </w:r>
      <w:bookmarkEnd w:id="178"/>
    </w:p>
    <w:p w:rsidR="00C526AC" w:rsidRDefault="00E0175D">
      <w:pPr>
        <w:keepNext/>
        <w:keepLines/>
        <w:spacing w:before="300" w:after="300" w:line="280" w:lineRule="exact"/>
        <w:jc w:val="left"/>
        <w:outlineLvl w:val="3"/>
        <w:rPr>
          <w:rFonts w:ascii="宋体" w:hAnsi="宋体" w:cs="宋体"/>
          <w:b/>
          <w:bCs/>
          <w:sz w:val="18"/>
          <w:szCs w:val="18"/>
        </w:rPr>
      </w:pPr>
      <w:bookmarkStart w:id="179" w:name="_Toc989169"/>
      <w:r>
        <w:rPr>
          <w:rFonts w:ascii="宋体" w:hAnsi="宋体" w:cs="宋体"/>
          <w:b/>
          <w:bCs/>
          <w:sz w:val="18"/>
          <w:szCs w:val="18"/>
        </w:rPr>
        <w:t>（1） 应付账款列示</w:t>
      </w:r>
      <w:bookmarkEnd w:id="17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应付货款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1,021,603,142.31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632,859,811.31</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应付工程款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34,890,476.82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93,038,895.12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应付设备款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89,594,680.01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75,562,049.42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34,390,684.53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26,878,378.77</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1,180,478,983.67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828,339,134.62</w:t>
            </w:r>
          </w:p>
        </w:tc>
      </w:tr>
    </w:tbl>
    <w:p w:rsidR="00C526AC" w:rsidRDefault="00E0175D">
      <w:pPr>
        <w:keepNext/>
        <w:keepLines/>
        <w:spacing w:before="300" w:after="300" w:line="280" w:lineRule="exact"/>
        <w:jc w:val="left"/>
        <w:outlineLvl w:val="3"/>
        <w:rPr>
          <w:rFonts w:ascii="宋体" w:hAnsi="宋体" w:cs="宋体"/>
          <w:b/>
          <w:bCs/>
          <w:sz w:val="18"/>
          <w:szCs w:val="18"/>
        </w:rPr>
      </w:pPr>
      <w:bookmarkStart w:id="180" w:name="_Toc989170"/>
      <w:r>
        <w:rPr>
          <w:rFonts w:ascii="宋体" w:hAnsi="宋体" w:cs="宋体"/>
          <w:b/>
          <w:bCs/>
          <w:sz w:val="18"/>
          <w:szCs w:val="18"/>
        </w:rPr>
        <w:t>（2） 账龄超过1年的重要应付账款</w:t>
      </w:r>
      <w:bookmarkEnd w:id="18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未偿还或结转的原因</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青岛锦棉国际物流有限公司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23,535,612.47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合同未执行完毕</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23,535,612.47</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81" w:name="_Toc989171"/>
      <w:r>
        <w:rPr>
          <w:rFonts w:ascii="宋体" w:hAnsi="宋体" w:cs="宋体"/>
          <w:b/>
          <w:bCs/>
          <w:szCs w:val="21"/>
        </w:rPr>
        <w:t>37、预收款项</w:t>
      </w:r>
      <w:bookmarkEnd w:id="181"/>
    </w:p>
    <w:p w:rsidR="00C526AC" w:rsidRDefault="00E0175D">
      <w:pPr>
        <w:keepNext/>
        <w:keepLines/>
        <w:spacing w:before="300" w:after="300" w:line="280" w:lineRule="exact"/>
        <w:jc w:val="left"/>
        <w:outlineLvl w:val="3"/>
        <w:rPr>
          <w:rFonts w:ascii="宋体" w:hAnsi="宋体" w:cs="宋体"/>
          <w:b/>
          <w:bCs/>
          <w:sz w:val="18"/>
          <w:szCs w:val="18"/>
        </w:rPr>
      </w:pPr>
      <w:bookmarkStart w:id="182" w:name="_Toc989172"/>
      <w:r>
        <w:rPr>
          <w:rFonts w:ascii="宋体" w:hAnsi="宋体" w:cs="宋体"/>
          <w:b/>
          <w:bCs/>
          <w:sz w:val="18"/>
          <w:szCs w:val="18"/>
        </w:rPr>
        <w:t>（1） 预收款项列示</w:t>
      </w:r>
      <w:bookmarkEnd w:id="18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预收租金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8,255,146.43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6,505,048.15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8,255,146.43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6,505,048.15</w:t>
            </w:r>
          </w:p>
        </w:tc>
      </w:tr>
    </w:tbl>
    <w:p w:rsidR="00C526AC" w:rsidRDefault="00E0175D">
      <w:pPr>
        <w:keepNext/>
        <w:keepLines/>
        <w:spacing w:before="300" w:after="300" w:line="280" w:lineRule="exact"/>
        <w:jc w:val="left"/>
        <w:outlineLvl w:val="3"/>
        <w:rPr>
          <w:rFonts w:ascii="宋体" w:hAnsi="宋体" w:cs="宋体"/>
          <w:b/>
          <w:bCs/>
          <w:sz w:val="18"/>
          <w:szCs w:val="18"/>
        </w:rPr>
      </w:pPr>
      <w:bookmarkStart w:id="183" w:name="_Toc989173"/>
      <w:r>
        <w:rPr>
          <w:rFonts w:ascii="宋体" w:hAnsi="宋体" w:cs="宋体"/>
          <w:b/>
          <w:bCs/>
          <w:sz w:val="18"/>
          <w:szCs w:val="18"/>
        </w:rPr>
        <w:t>（2） 账龄超过1年的重要预收款项</w:t>
      </w:r>
      <w:bookmarkEnd w:id="183"/>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84" w:name="_Toc989174"/>
      <w:r>
        <w:rPr>
          <w:rFonts w:ascii="宋体" w:hAnsi="宋体" w:cs="宋体"/>
          <w:b/>
          <w:bCs/>
          <w:szCs w:val="21"/>
        </w:rPr>
        <w:t>38、合同负债</w:t>
      </w:r>
      <w:bookmarkEnd w:id="18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预收货款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883,107,964.61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1,143,669,643.08</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预收设备款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2,097,699.12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885,205,663.73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1,143,739,643.08</w:t>
            </w:r>
          </w:p>
        </w:tc>
      </w:tr>
    </w:tbl>
    <w:p w:rsidR="00C526AC" w:rsidRDefault="00E0175D">
      <w:pPr>
        <w:keepNext/>
        <w:keepLines/>
        <w:spacing w:before="300" w:after="300" w:line="280" w:lineRule="exact"/>
        <w:jc w:val="left"/>
        <w:outlineLvl w:val="2"/>
        <w:rPr>
          <w:rFonts w:ascii="宋体" w:hAnsi="宋体" w:cs="宋体"/>
          <w:b/>
          <w:bCs/>
          <w:szCs w:val="21"/>
        </w:rPr>
      </w:pPr>
      <w:bookmarkStart w:id="185" w:name="_Toc989175"/>
      <w:r>
        <w:rPr>
          <w:rFonts w:ascii="宋体" w:hAnsi="宋体" w:cs="宋体"/>
          <w:b/>
          <w:bCs/>
          <w:szCs w:val="21"/>
        </w:rPr>
        <w:t>39、应付职工薪酬</w:t>
      </w:r>
      <w:bookmarkEnd w:id="185"/>
    </w:p>
    <w:p w:rsidR="00C526AC" w:rsidRDefault="00E0175D">
      <w:pPr>
        <w:keepNext/>
        <w:keepLines/>
        <w:spacing w:before="300" w:after="300" w:line="280" w:lineRule="exact"/>
        <w:jc w:val="left"/>
        <w:outlineLvl w:val="3"/>
        <w:rPr>
          <w:rFonts w:ascii="宋体" w:hAnsi="宋体" w:cs="宋体"/>
          <w:b/>
          <w:bCs/>
          <w:szCs w:val="21"/>
        </w:rPr>
      </w:pPr>
      <w:bookmarkStart w:id="186" w:name="_Toc989176"/>
      <w:r>
        <w:rPr>
          <w:rFonts w:ascii="宋体" w:hAnsi="宋体" w:cs="宋体"/>
          <w:b/>
          <w:bCs/>
          <w:szCs w:val="21"/>
        </w:rPr>
        <w:t>（1） 应付职工薪酬列示</w:t>
      </w:r>
      <w:bookmarkEnd w:id="18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一、短期薪酬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86,775,313.53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483,204,691.19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518,507,300.22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51,472,704.50</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二、离职后福利-设定提存计划</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2,336,573.49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25,611,550.00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25,528,701.00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2,419,422.49</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三、辞退福利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126,359.28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126,359.28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89,111,887.02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508,942,600.47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544,162,360.50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53,892,126.99</w:t>
            </w:r>
          </w:p>
        </w:tc>
      </w:tr>
    </w:tbl>
    <w:p w:rsidR="00C526AC" w:rsidRDefault="00E0175D">
      <w:pPr>
        <w:keepNext/>
        <w:keepLines/>
        <w:spacing w:before="300" w:after="300" w:line="280" w:lineRule="exact"/>
        <w:jc w:val="left"/>
        <w:outlineLvl w:val="3"/>
        <w:rPr>
          <w:rFonts w:ascii="宋体" w:hAnsi="宋体" w:cs="宋体"/>
          <w:b/>
          <w:bCs/>
          <w:szCs w:val="21"/>
        </w:rPr>
      </w:pPr>
      <w:bookmarkStart w:id="187" w:name="_Toc989177"/>
      <w:r>
        <w:rPr>
          <w:rFonts w:ascii="宋体" w:hAnsi="宋体" w:cs="宋体"/>
          <w:b/>
          <w:bCs/>
          <w:szCs w:val="21"/>
        </w:rPr>
        <w:t>（2） 短期薪酬列示</w:t>
      </w:r>
      <w:bookmarkEnd w:id="18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1、工资、奖金、津贴和补贴</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79,175,466.16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455,729,216.26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491,640,593.60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43,264,088.82</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2、职工福利费</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960,642.07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8,807,897.08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9,065,079.95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703,459.20</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3、社会保险费</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3,389,291.99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14,307,330.86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14,468,082.37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3,228,540.48</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其中：医疗保险费</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3,126,381.45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13,392,680.29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13,440,759.53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3,078,302.21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工伤保险费</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112,722.51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859,555.99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972,228.26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50.24</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500" w:firstLine="900"/>
              <w:jc w:val="left"/>
              <w:rPr>
                <w:rFonts w:ascii="宋体" w:hAnsi="宋体" w:cs="宋体"/>
                <w:sz w:val="18"/>
                <w:szCs w:val="18"/>
              </w:rPr>
            </w:pPr>
            <w:r>
              <w:rPr>
                <w:rFonts w:ascii="宋体" w:hAnsi="宋体" w:cs="宋体"/>
                <w:sz w:val="18"/>
                <w:szCs w:val="18"/>
              </w:rPr>
              <w:t>生育保险费</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150,188.03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55,094.58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55,094.58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150,188.03</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4、住房公积金</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122,393.00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1,751,007.68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1,759,571.68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113,829.00</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5、工会经费和职工教育经费</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3,127,520.31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2,609,239.31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1,573,972.62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4,162,787.00</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86,775,313.53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483,204,691.19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518,507,300.22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51,472,704.50</w:t>
            </w:r>
          </w:p>
        </w:tc>
      </w:tr>
    </w:tbl>
    <w:p w:rsidR="00C526AC" w:rsidRDefault="00E0175D">
      <w:pPr>
        <w:keepNext/>
        <w:keepLines/>
        <w:spacing w:before="300" w:after="300" w:line="280" w:lineRule="exact"/>
        <w:jc w:val="left"/>
        <w:outlineLvl w:val="3"/>
        <w:rPr>
          <w:rFonts w:ascii="宋体" w:hAnsi="宋体" w:cs="宋体"/>
          <w:b/>
          <w:bCs/>
          <w:szCs w:val="21"/>
        </w:rPr>
      </w:pPr>
      <w:bookmarkStart w:id="188" w:name="_Toc989178"/>
      <w:r>
        <w:rPr>
          <w:rFonts w:ascii="宋体" w:hAnsi="宋体" w:cs="宋体"/>
          <w:b/>
          <w:bCs/>
          <w:szCs w:val="21"/>
        </w:rPr>
        <w:t>（3） 设定提存计划列示</w:t>
      </w:r>
      <w:bookmarkEnd w:id="18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2,236,006.88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24,741,682.08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24,656,673.37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2,321,015.59</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100,566.61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869,867.92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872,027.63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98,406.90</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2,336,573.49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25,611,550.00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25,528,701.00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2,419,422.49</w:t>
            </w:r>
          </w:p>
        </w:tc>
      </w:tr>
    </w:tbl>
    <w:p w:rsidR="00C526AC" w:rsidRDefault="00E0175D">
      <w:pPr>
        <w:keepNext/>
        <w:keepLines/>
        <w:spacing w:before="300" w:after="300" w:line="280" w:lineRule="exact"/>
        <w:jc w:val="left"/>
        <w:outlineLvl w:val="2"/>
        <w:rPr>
          <w:rFonts w:ascii="宋体" w:hAnsi="宋体" w:cs="宋体"/>
          <w:b/>
          <w:bCs/>
          <w:szCs w:val="21"/>
        </w:rPr>
      </w:pPr>
      <w:bookmarkStart w:id="189" w:name="_Toc989179"/>
      <w:r>
        <w:rPr>
          <w:rFonts w:ascii="宋体" w:hAnsi="宋体" w:cs="宋体"/>
          <w:b/>
          <w:bCs/>
          <w:szCs w:val="21"/>
        </w:rPr>
        <w:t>40、应交税费</w:t>
      </w:r>
      <w:bookmarkEnd w:id="18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30,486,131.67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93,863,270.69</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25,271,183.84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52,371,837.26</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15,113,872.30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2,198,790.26</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985,801.24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2,645,518.02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2,669,633.58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1,448,430.93</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119,841.11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1,398,900.97</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土地增值税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20,327,226.53</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744,421.03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1,630,117.45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2,640,102.71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2,550,337.15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78,030,987.48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178,434,429.26</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90" w:name="_Toc989180"/>
      <w:r>
        <w:rPr>
          <w:rFonts w:ascii="宋体" w:hAnsi="宋体" w:cs="宋体"/>
          <w:b/>
          <w:bCs/>
          <w:szCs w:val="21"/>
        </w:rPr>
        <w:t>41、其他应付款</w:t>
      </w:r>
      <w:bookmarkEnd w:id="19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267,909,777.77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264,569,603.41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267,909,777.77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264,569,603.41</w:t>
            </w:r>
          </w:p>
        </w:tc>
      </w:tr>
    </w:tbl>
    <w:p w:rsidR="00C526AC" w:rsidRDefault="00E0175D">
      <w:pPr>
        <w:keepNext/>
        <w:keepLines/>
        <w:spacing w:before="300" w:after="300" w:line="280" w:lineRule="exact"/>
        <w:jc w:val="left"/>
        <w:outlineLvl w:val="3"/>
        <w:rPr>
          <w:rFonts w:ascii="宋体" w:hAnsi="宋体" w:cs="宋体"/>
          <w:b/>
          <w:bCs/>
          <w:sz w:val="18"/>
          <w:szCs w:val="18"/>
        </w:rPr>
      </w:pPr>
      <w:bookmarkStart w:id="191" w:name="_Toc989181"/>
      <w:r>
        <w:rPr>
          <w:rFonts w:ascii="宋体" w:hAnsi="宋体" w:cs="宋体"/>
          <w:b/>
          <w:bCs/>
          <w:sz w:val="18"/>
          <w:szCs w:val="18"/>
        </w:rPr>
        <w:t>（1） 应付利息</w:t>
      </w:r>
      <w:bookmarkEnd w:id="191"/>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192" w:name="_Toc989182"/>
      <w:r>
        <w:rPr>
          <w:rFonts w:ascii="宋体" w:hAnsi="宋体" w:cs="宋体"/>
          <w:b/>
          <w:bCs/>
          <w:sz w:val="18"/>
          <w:szCs w:val="18"/>
        </w:rPr>
        <w:t>（2） 应付股利</w:t>
      </w:r>
      <w:bookmarkEnd w:id="192"/>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其他说明，包括重要的超过1年未支付的应付股利，应披露未支付原因：</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193" w:name="_Toc989183"/>
      <w:r>
        <w:rPr>
          <w:rFonts w:ascii="宋体" w:hAnsi="宋体" w:cs="宋体"/>
          <w:b/>
          <w:bCs/>
          <w:sz w:val="18"/>
          <w:szCs w:val="18"/>
        </w:rPr>
        <w:t>（3） 其他应付款</w:t>
      </w:r>
      <w:bookmarkEnd w:id="193"/>
    </w:p>
    <w:p w:rsidR="00C526AC" w:rsidRDefault="00E0175D">
      <w:pPr>
        <w:keepNext/>
        <w:keepLines/>
        <w:spacing w:before="300" w:after="300" w:line="280" w:lineRule="exact"/>
        <w:jc w:val="left"/>
        <w:outlineLvl w:val="4"/>
        <w:rPr>
          <w:rFonts w:ascii="宋体" w:hAnsi="宋体" w:cs="宋体"/>
          <w:b/>
          <w:bCs/>
          <w:sz w:val="18"/>
          <w:szCs w:val="18"/>
        </w:rPr>
      </w:pPr>
      <w:bookmarkStart w:id="194" w:name="_Toc989184"/>
      <w:r>
        <w:rPr>
          <w:rFonts w:ascii="宋体" w:hAnsi="宋体" w:cs="宋体"/>
          <w:b/>
          <w:bCs/>
          <w:sz w:val="18"/>
          <w:szCs w:val="18"/>
        </w:rPr>
        <w:t>1） 按款项性质列示其他应付款</w:t>
      </w:r>
      <w:bookmarkEnd w:id="19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质保金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16,005,619.88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21,984,241.41</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115,372,647.42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74,385,956.04</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佣金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2,514,254.39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3,704,203.91</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132,865.11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4,634,124.62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暂收款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16,905,267.51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37,478,552.29</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运费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28,731,636.45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47,201,778.03</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电费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24,734,361.95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14,899,387.72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其他预提费用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40,492,881.24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20,255,115.95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土地费用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5,478,238.76</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3,257,645.92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21,294,262.52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19,762,597.90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13,253,742.16</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267,909,777.77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264,569,603.41</w:t>
            </w:r>
          </w:p>
        </w:tc>
      </w:tr>
    </w:tbl>
    <w:p w:rsidR="00C526AC" w:rsidRDefault="00E0175D">
      <w:pPr>
        <w:keepNext/>
        <w:keepLines/>
        <w:spacing w:before="300" w:after="300" w:line="280" w:lineRule="exact"/>
        <w:jc w:val="left"/>
        <w:outlineLvl w:val="4"/>
        <w:rPr>
          <w:rFonts w:ascii="宋体" w:hAnsi="宋体" w:cs="宋体"/>
          <w:b/>
          <w:bCs/>
          <w:sz w:val="18"/>
          <w:szCs w:val="18"/>
        </w:rPr>
      </w:pPr>
      <w:bookmarkStart w:id="195" w:name="_Toc989185"/>
      <w:r>
        <w:rPr>
          <w:rFonts w:ascii="宋体" w:hAnsi="宋体" w:cs="宋体"/>
          <w:b/>
          <w:bCs/>
          <w:sz w:val="18"/>
          <w:szCs w:val="18"/>
        </w:rPr>
        <w:t>2） 账龄超过1年的重要其他应付款</w:t>
      </w:r>
      <w:bookmarkEnd w:id="19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未偿还或结转的原因</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许栩光</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5,844,320.96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往来款未支付</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张晚霞</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4,584,646.16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往来款未支付</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10,428,967.12</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96" w:name="_Toc989186"/>
      <w:r>
        <w:rPr>
          <w:rFonts w:ascii="宋体" w:hAnsi="宋体" w:cs="宋体"/>
          <w:b/>
          <w:bCs/>
          <w:szCs w:val="21"/>
        </w:rPr>
        <w:t>42、持有待售负债</w:t>
      </w:r>
      <w:bookmarkEnd w:id="196"/>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：无</w:t>
      </w:r>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97" w:name="_Toc989187"/>
      <w:r>
        <w:rPr>
          <w:rFonts w:ascii="宋体" w:hAnsi="宋体" w:cs="宋体"/>
          <w:b/>
          <w:bCs/>
          <w:szCs w:val="21"/>
        </w:rPr>
        <w:t>43、一年内到期的非流动负债</w:t>
      </w:r>
      <w:bookmarkEnd w:id="19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157,574,000.00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223,710,000.00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一年内到期的长期应付款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9,505,549.07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10,014,017.38</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计提的长期借款利息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1,061,155.62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2,516,240.51</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188,140,704.69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256,240,257.89</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98" w:name="_Toc989188"/>
      <w:r>
        <w:rPr>
          <w:rFonts w:ascii="宋体" w:hAnsi="宋体" w:cs="宋体"/>
          <w:b/>
          <w:bCs/>
          <w:szCs w:val="21"/>
        </w:rPr>
        <w:t>44、其他流动负债</w:t>
      </w:r>
      <w:bookmarkEnd w:id="19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保付加签借款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79,587,828.91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75,606,895.85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预收货款的增值税额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106,677,648.61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105,340,094.53</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186,265,477.52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180,946,990.38</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199" w:name="_Toc989189"/>
      <w:r>
        <w:rPr>
          <w:rFonts w:ascii="宋体" w:hAnsi="宋体" w:cs="宋体"/>
          <w:b/>
          <w:bCs/>
          <w:szCs w:val="21"/>
        </w:rPr>
        <w:t>45、长期借款</w:t>
      </w:r>
      <w:bookmarkEnd w:id="199"/>
    </w:p>
    <w:p w:rsidR="00C526AC" w:rsidRDefault="00E0175D">
      <w:pPr>
        <w:keepNext/>
        <w:keepLines/>
        <w:spacing w:before="300" w:after="300" w:line="280" w:lineRule="exact"/>
        <w:jc w:val="left"/>
        <w:outlineLvl w:val="3"/>
        <w:rPr>
          <w:rFonts w:ascii="宋体" w:hAnsi="宋体" w:cs="宋体"/>
          <w:b/>
          <w:bCs/>
          <w:sz w:val="18"/>
          <w:szCs w:val="18"/>
        </w:rPr>
      </w:pPr>
      <w:bookmarkStart w:id="200" w:name="_Toc989190"/>
      <w:r>
        <w:rPr>
          <w:rFonts w:ascii="宋体" w:hAnsi="宋体" w:cs="宋体"/>
          <w:b/>
          <w:bCs/>
          <w:sz w:val="18"/>
          <w:szCs w:val="18"/>
        </w:rPr>
        <w:t>（1） 长期借款分类</w:t>
      </w:r>
      <w:bookmarkEnd w:id="20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46,190,000.00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151,050,000.00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2,581,818.00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2,581,818.00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91,710,000.00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保证、抵押借款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775,000,000.00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861,000,000.00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减：一年内到期的长期借款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-157,574,000.00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-223,710,000.00</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666,197,818.00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882,631,818.00</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长期借款分类的说明：</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其他说明，包括利率区间：</w:t>
      </w:r>
      <w:r w:rsidR="00C41BCA">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01" w:name="_Toc989191"/>
      <w:r>
        <w:rPr>
          <w:rFonts w:ascii="宋体" w:hAnsi="宋体" w:cs="宋体"/>
          <w:b/>
          <w:bCs/>
          <w:szCs w:val="21"/>
        </w:rPr>
        <w:t>46、应付债券</w:t>
      </w:r>
      <w:bookmarkEnd w:id="201"/>
    </w:p>
    <w:p w:rsidR="00C526AC" w:rsidRDefault="00E0175D">
      <w:pPr>
        <w:keepNext/>
        <w:keepLines/>
        <w:spacing w:before="300" w:after="300" w:line="280" w:lineRule="exact"/>
        <w:jc w:val="left"/>
        <w:outlineLvl w:val="3"/>
        <w:rPr>
          <w:rFonts w:ascii="宋体" w:hAnsi="宋体" w:cs="宋体"/>
          <w:b/>
          <w:bCs/>
          <w:szCs w:val="21"/>
        </w:rPr>
      </w:pPr>
      <w:bookmarkStart w:id="202" w:name="_Toc989192"/>
      <w:r>
        <w:rPr>
          <w:rFonts w:ascii="宋体" w:hAnsi="宋体" w:cs="宋体"/>
          <w:b/>
          <w:bCs/>
          <w:szCs w:val="21"/>
        </w:rPr>
        <w:t>（1） 应付债券</w:t>
      </w:r>
      <w:bookmarkEnd w:id="202"/>
    </w:p>
    <w:p w:rsidR="00C526AC" w:rsidRDefault="00E0175D">
      <w:pPr>
        <w:keepNext/>
        <w:keepLines/>
        <w:spacing w:before="300" w:after="300" w:line="280" w:lineRule="exact"/>
        <w:jc w:val="left"/>
        <w:outlineLvl w:val="3"/>
        <w:rPr>
          <w:rFonts w:ascii="宋体" w:hAnsi="宋体" w:cs="宋体"/>
          <w:b/>
          <w:bCs/>
          <w:szCs w:val="21"/>
        </w:rPr>
      </w:pPr>
      <w:bookmarkStart w:id="203" w:name="_Toc989193"/>
      <w:r>
        <w:rPr>
          <w:rFonts w:ascii="宋体" w:hAnsi="宋体" w:cs="宋体"/>
          <w:b/>
          <w:bCs/>
          <w:szCs w:val="21"/>
        </w:rPr>
        <w:t>（2） 应付债券的增减变动（不包括划分为金融负债的优先股、永续债等其他金融工具）</w:t>
      </w:r>
      <w:bookmarkEnd w:id="203"/>
    </w:p>
    <w:p w:rsidR="00C526AC" w:rsidRDefault="00E0175D">
      <w:pPr>
        <w:keepNext/>
        <w:keepLines/>
        <w:spacing w:before="300" w:after="300" w:line="280" w:lineRule="exact"/>
        <w:jc w:val="left"/>
        <w:outlineLvl w:val="3"/>
        <w:rPr>
          <w:rFonts w:ascii="宋体" w:hAnsi="宋体" w:cs="宋体"/>
          <w:b/>
          <w:bCs/>
          <w:szCs w:val="21"/>
        </w:rPr>
      </w:pPr>
      <w:bookmarkStart w:id="204" w:name="_Toc989194"/>
      <w:r>
        <w:rPr>
          <w:rFonts w:ascii="宋体" w:hAnsi="宋体" w:cs="宋体"/>
          <w:b/>
          <w:bCs/>
          <w:szCs w:val="21"/>
        </w:rPr>
        <w:t>（3） 可转换公司债券的转股条件、转股时间说明</w:t>
      </w:r>
      <w:bookmarkEnd w:id="204"/>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05" w:name="_Toc989195"/>
      <w:r>
        <w:rPr>
          <w:rFonts w:ascii="宋体" w:hAnsi="宋体" w:cs="宋体"/>
          <w:b/>
          <w:bCs/>
          <w:szCs w:val="21"/>
        </w:rPr>
        <w:t>（4） 划分为金融负债的其他金融工具说明</w:t>
      </w:r>
      <w:bookmarkEnd w:id="205"/>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期末发行在外的优先股、永续债等其他金融工具基本情况</w:t>
      </w:r>
    </w:p>
    <w:p w:rsidR="00C526AC" w:rsidRDefault="00E0175D">
      <w:pPr>
        <w:pStyle w:val="a3"/>
        <w:widowControl/>
      </w:pP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期末发行在外的优先股、永续债等金融工具变动情况表</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其他金融工具划分为金融负债的依据说明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p>
    <w:p w:rsidR="00C526AC" w:rsidRDefault="00E0175D">
      <w:pPr>
        <w:keepNext/>
        <w:keepLines/>
        <w:spacing w:before="300" w:after="300" w:line="280" w:lineRule="exact"/>
        <w:jc w:val="left"/>
        <w:outlineLvl w:val="2"/>
        <w:rPr>
          <w:rFonts w:ascii="宋体" w:hAnsi="宋体" w:cs="宋体"/>
          <w:b/>
          <w:bCs/>
          <w:szCs w:val="21"/>
        </w:rPr>
      </w:pPr>
      <w:bookmarkStart w:id="206" w:name="_Toc989196"/>
      <w:r>
        <w:rPr>
          <w:rFonts w:ascii="宋体" w:hAnsi="宋体" w:cs="宋体"/>
          <w:b/>
          <w:bCs/>
          <w:szCs w:val="21"/>
        </w:rPr>
        <w:t>47、租赁负债</w:t>
      </w:r>
      <w:bookmarkEnd w:id="20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租赁房屋及设备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36,127,655.09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23,381,798.95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减：未确认融资费用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-2,721,678.73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减：一年内到期的租赁负债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-9,505,549.07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23,900,427.29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23,381,798.95</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07" w:name="_Toc989197"/>
      <w:r>
        <w:rPr>
          <w:rFonts w:ascii="宋体" w:hAnsi="宋体" w:cs="宋体"/>
          <w:b/>
          <w:bCs/>
          <w:szCs w:val="21"/>
        </w:rPr>
        <w:t>48、长期应付款</w:t>
      </w:r>
      <w:bookmarkEnd w:id="20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r>
    </w:tbl>
    <w:p w:rsidR="00C526AC" w:rsidRDefault="00E0175D">
      <w:pPr>
        <w:keepNext/>
        <w:keepLines/>
        <w:spacing w:before="300" w:after="300" w:line="280" w:lineRule="exact"/>
        <w:jc w:val="left"/>
        <w:outlineLvl w:val="3"/>
        <w:rPr>
          <w:rFonts w:ascii="宋体" w:hAnsi="宋体" w:cs="宋体"/>
          <w:b/>
          <w:bCs/>
          <w:sz w:val="18"/>
          <w:szCs w:val="18"/>
        </w:rPr>
      </w:pPr>
      <w:bookmarkStart w:id="208" w:name="_Toc989198"/>
      <w:r>
        <w:rPr>
          <w:rFonts w:ascii="宋体" w:hAnsi="宋体" w:cs="宋体"/>
          <w:b/>
          <w:bCs/>
          <w:sz w:val="18"/>
          <w:szCs w:val="18"/>
        </w:rPr>
        <w:t>（1） 按款项性质列示长期应付款</w:t>
      </w:r>
      <w:bookmarkEnd w:id="20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担保损失备付金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4,367,138.45</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09" w:name="_Toc989199"/>
      <w:r>
        <w:rPr>
          <w:rFonts w:ascii="宋体" w:hAnsi="宋体" w:cs="宋体"/>
          <w:b/>
          <w:bCs/>
          <w:sz w:val="18"/>
          <w:szCs w:val="18"/>
        </w:rPr>
        <w:t>（2） 专项应付款</w:t>
      </w:r>
      <w:bookmarkEnd w:id="209"/>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10" w:name="_Toc989200"/>
      <w:r>
        <w:rPr>
          <w:rFonts w:ascii="宋体" w:hAnsi="宋体" w:cs="宋体"/>
          <w:b/>
          <w:bCs/>
          <w:szCs w:val="21"/>
        </w:rPr>
        <w:t>49、长期应付职工薪酬</w:t>
      </w:r>
      <w:bookmarkEnd w:id="210"/>
    </w:p>
    <w:p w:rsidR="00C526AC" w:rsidRDefault="00E0175D">
      <w:pPr>
        <w:keepNext/>
        <w:keepLines/>
        <w:spacing w:before="300" w:after="300" w:line="280" w:lineRule="exact"/>
        <w:jc w:val="left"/>
        <w:outlineLvl w:val="3"/>
        <w:rPr>
          <w:rFonts w:ascii="宋体" w:hAnsi="宋体" w:cs="宋体"/>
          <w:b/>
          <w:bCs/>
          <w:sz w:val="18"/>
          <w:szCs w:val="18"/>
        </w:rPr>
      </w:pPr>
      <w:bookmarkStart w:id="211" w:name="_Toc989201"/>
      <w:r>
        <w:rPr>
          <w:rFonts w:ascii="宋体" w:hAnsi="宋体" w:cs="宋体"/>
          <w:b/>
          <w:bCs/>
          <w:sz w:val="18"/>
          <w:szCs w:val="18"/>
        </w:rPr>
        <w:t>（1） 长期应付职工薪酬表</w:t>
      </w:r>
      <w:bookmarkEnd w:id="211"/>
    </w:p>
    <w:p w:rsidR="00C526AC" w:rsidRDefault="00E0175D">
      <w:pPr>
        <w:keepNext/>
        <w:keepLines/>
        <w:spacing w:before="300" w:after="300" w:line="280" w:lineRule="exact"/>
        <w:jc w:val="left"/>
        <w:outlineLvl w:val="3"/>
        <w:rPr>
          <w:rFonts w:ascii="宋体" w:hAnsi="宋体" w:cs="宋体"/>
          <w:b/>
          <w:bCs/>
          <w:sz w:val="18"/>
          <w:szCs w:val="18"/>
        </w:rPr>
      </w:pPr>
      <w:bookmarkStart w:id="212" w:name="_Toc989202"/>
      <w:r>
        <w:rPr>
          <w:rFonts w:ascii="宋体" w:hAnsi="宋体" w:cs="宋体"/>
          <w:b/>
          <w:bCs/>
          <w:sz w:val="18"/>
          <w:szCs w:val="18"/>
        </w:rPr>
        <w:t>（2） 设定受益计划变动情况</w:t>
      </w:r>
      <w:bookmarkEnd w:id="212"/>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设定受益计划的内容及与之相关风险、对公司未来现金流量、时间和不确定性的影响说明：</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设定受益计划重大精算假设及敏感性分析结果说明：</w:t>
      </w:r>
      <w:r w:rsidR="00C41BCA">
        <w:rPr>
          <w:rFonts w:ascii="宋体" w:hAnsi="宋体" w:cs="宋体"/>
          <w:sz w:val="18"/>
          <w:szCs w:val="18"/>
        </w:rPr>
        <w:t>：</w:t>
      </w:r>
      <w:r w:rsidR="00C41BCA">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sz w:val="18"/>
          <w:szCs w:val="18"/>
        </w:rPr>
        <w:t>：</w:t>
      </w:r>
      <w:r w:rsidR="00C41BCA">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13" w:name="_Toc989203"/>
      <w:r>
        <w:rPr>
          <w:rFonts w:ascii="宋体" w:hAnsi="宋体" w:cs="宋体"/>
          <w:b/>
          <w:bCs/>
          <w:szCs w:val="21"/>
        </w:rPr>
        <w:t>50、预计负债</w:t>
      </w:r>
      <w:bookmarkEnd w:id="21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形成原因</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未决诉讼</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2,950,020.00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2,950,020.00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预计诉讼损失</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产品质量保证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150,818.22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2,950,020.00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3,100,838.22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其他说明，包括重要预计负债的相关重要假设、估计说明：</w:t>
      </w:r>
    </w:p>
    <w:p w:rsidR="00C526AC" w:rsidRDefault="00E0175D" w:rsidP="00C41BCA">
      <w:pPr>
        <w:pStyle w:val="a3"/>
        <w:widowControl/>
        <w:ind w:firstLineChars="200" w:firstLine="360"/>
      </w:pPr>
      <w:r>
        <w:rPr>
          <w:rFonts w:ascii="宋体" w:hAnsi="宋体" w:cs="宋体" w:hint="eastAsia"/>
          <w:sz w:val="18"/>
          <w:szCs w:val="18"/>
        </w:rPr>
        <w:t>公司背书转让宝塔石化集团财务公司承兑的汇票遭到拒付，被背书人行使追索权，公司及其子公司并非宝塔签发电子银行承兑汇票的第一被背书人，公司也具有向前手追索的权利，但基于谨慎性原则，公司依据一审判决按本金及利息计提预计负债295万元。</w:t>
      </w:r>
    </w:p>
    <w:p w:rsidR="00C526AC" w:rsidRDefault="00E0175D">
      <w:pPr>
        <w:keepNext/>
        <w:keepLines/>
        <w:spacing w:before="300" w:after="300" w:line="280" w:lineRule="exact"/>
        <w:jc w:val="left"/>
        <w:outlineLvl w:val="2"/>
        <w:rPr>
          <w:rFonts w:ascii="宋体" w:hAnsi="宋体" w:cs="宋体"/>
          <w:b/>
          <w:bCs/>
          <w:szCs w:val="21"/>
        </w:rPr>
      </w:pPr>
      <w:bookmarkStart w:id="214" w:name="_Toc989204"/>
      <w:r>
        <w:rPr>
          <w:rFonts w:ascii="宋体" w:hAnsi="宋体" w:cs="宋体"/>
          <w:b/>
          <w:bCs/>
          <w:szCs w:val="21"/>
        </w:rPr>
        <w:t>51、递延收益</w:t>
      </w:r>
      <w:bookmarkEnd w:id="21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形成原因</w:t>
            </w: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政府补助</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86,189,995.45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2,977,114.29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83,212,881.16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86,189,995.45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2,977,114.29</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83,212,881.16</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涉及政府补助的项目：</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负债项目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本期新增补助金额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本期计入营业外收入金额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本期计入其他收益金额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本期冲减成本费用金额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与资产相关/与收益相关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平湖华孚拆迁补偿款</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48,139,257.87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1,398,636.77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46,740,621.10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本公司节能设备补贴</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8,414,184.00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247,476.00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8,166,708.00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新疆六孚基础设施配套款</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5,051,914.43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66,038.10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4,985,876.33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阿克苏华孚土地补贴款</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5,281,520.25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129,458.37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阿克苏华孚产业技术改造资金</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8,863,388.77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217,255.59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8,646,133.18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五家渠华孚色纱项目建设补助</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1,072,089.36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114,051.12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958,038.24</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新疆六孚土地补贴款</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921,049.76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10,900.02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910,149.74</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奎屯锦孚生产配套设施项目补助款</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265,065.85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127,052.22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138,013.63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九江中浩支持重点承接地厂房建设款</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612,000.00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18,000.00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594,000.00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新疆六孚技改专项补贴</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588,316.83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320,899.98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267,416.85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浙江博忆数字化及设备专项补贴</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4,507,808.33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265,511.11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4,242,297.22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阿克苏小商品城设备补贴</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2,473,400.00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61,835.01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2,411,564.99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与资产相关</w:t>
            </w:r>
          </w:p>
        </w:tc>
      </w:tr>
      <w:tr w:rsidR="00C526AC" w:rsidTr="007B6DF4">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86,189,995.45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2,977,114.29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83,212,881.16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本期计入当期损益金额中，计入其他收益2977114.29元。</w:t>
      </w:r>
    </w:p>
    <w:p w:rsidR="00C526AC" w:rsidRDefault="00E0175D">
      <w:pPr>
        <w:keepNext/>
        <w:keepLines/>
        <w:spacing w:before="300" w:after="300" w:line="280" w:lineRule="exact"/>
        <w:jc w:val="left"/>
        <w:outlineLvl w:val="2"/>
        <w:rPr>
          <w:rFonts w:ascii="宋体" w:hAnsi="宋体" w:cs="宋体"/>
          <w:b/>
          <w:bCs/>
          <w:szCs w:val="21"/>
        </w:rPr>
      </w:pPr>
      <w:bookmarkStart w:id="215" w:name="_Toc989205"/>
      <w:r>
        <w:rPr>
          <w:rFonts w:ascii="宋体" w:hAnsi="宋体" w:cs="宋体"/>
          <w:b/>
          <w:bCs/>
          <w:szCs w:val="21"/>
        </w:rPr>
        <w:t>52、其他非流动负债</w:t>
      </w:r>
      <w:bookmarkEnd w:id="215"/>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16" w:name="_Toc989206"/>
      <w:r>
        <w:rPr>
          <w:rFonts w:ascii="宋体" w:hAnsi="宋体" w:cs="宋体"/>
          <w:b/>
          <w:bCs/>
          <w:szCs w:val="21"/>
        </w:rPr>
        <w:t>53、股本</w:t>
      </w:r>
      <w:bookmarkEnd w:id="21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881"/>
        <w:gridCol w:w="1134"/>
        <w:gridCol w:w="600"/>
        <w:gridCol w:w="1205"/>
        <w:gridCol w:w="1205"/>
        <w:gridCol w:w="676"/>
        <w:gridCol w:w="1734"/>
      </w:tblGrid>
      <w:tr w:rsidR="00C526AC" w:rsidTr="00C41BCA">
        <w:trPr>
          <w:trHeight w:val="240"/>
        </w:trPr>
        <w:tc>
          <w:tcPr>
            <w:tcW w:w="12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88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482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本次变动增减（+、-）</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C41BCA">
        <w:trPr>
          <w:trHeight w:val="240"/>
        </w:trPr>
        <w:tc>
          <w:tcPr>
            <w:tcW w:w="120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88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发行新股</w:t>
            </w:r>
          </w:p>
        </w:tc>
        <w:tc>
          <w:tcPr>
            <w:tcW w:w="60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6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小计</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C41BCA">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股份总数</w:t>
            </w:r>
          </w:p>
        </w:tc>
        <w:tc>
          <w:tcPr>
            <w:tcW w:w="188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c>
          <w:tcPr>
            <w:tcW w:w="11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60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6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1,700,681,355.00</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17" w:name="_Toc989207"/>
      <w:r>
        <w:rPr>
          <w:rFonts w:ascii="宋体" w:hAnsi="宋体" w:cs="宋体"/>
          <w:b/>
          <w:bCs/>
          <w:szCs w:val="21"/>
        </w:rPr>
        <w:t>54、其他权益工具</w:t>
      </w:r>
      <w:bookmarkEnd w:id="217"/>
    </w:p>
    <w:p w:rsidR="00C526AC" w:rsidRDefault="00E0175D">
      <w:pPr>
        <w:keepNext/>
        <w:keepLines/>
        <w:spacing w:before="300" w:after="300" w:line="280" w:lineRule="exact"/>
        <w:jc w:val="left"/>
        <w:outlineLvl w:val="3"/>
        <w:rPr>
          <w:rFonts w:ascii="宋体" w:hAnsi="宋体" w:cs="宋体"/>
          <w:b/>
          <w:bCs/>
          <w:sz w:val="18"/>
          <w:szCs w:val="18"/>
        </w:rPr>
      </w:pPr>
      <w:bookmarkStart w:id="218" w:name="_Toc989208"/>
      <w:r>
        <w:rPr>
          <w:rFonts w:ascii="宋体" w:hAnsi="宋体" w:cs="宋体"/>
          <w:b/>
          <w:bCs/>
          <w:sz w:val="18"/>
          <w:szCs w:val="18"/>
        </w:rPr>
        <w:t>（1） 期末发行在外的优先股、永续债等其他金融工具基本情况</w:t>
      </w:r>
      <w:bookmarkEnd w:id="218"/>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19" w:name="_Toc989209"/>
      <w:r>
        <w:rPr>
          <w:rFonts w:ascii="宋体" w:hAnsi="宋体" w:cs="宋体"/>
          <w:b/>
          <w:bCs/>
          <w:sz w:val="18"/>
          <w:szCs w:val="18"/>
        </w:rPr>
        <w:t>（2） 期末发行在外的优先股、永续债等金融工具变动情况表</w:t>
      </w:r>
      <w:bookmarkEnd w:id="219"/>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其他权益工具本期增减变动情况、变动原因说明，以及相关会计处理的依据：</w:t>
      </w:r>
      <w:r>
        <w:rPr>
          <w:rFonts w:ascii="宋体" w:hAnsi="宋体" w:cs="宋体" w:hint="eastAsia"/>
          <w:sz w:val="18"/>
          <w:szCs w:val="18"/>
        </w:rPr>
        <w:t>无。</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20" w:name="_Toc989210"/>
      <w:r>
        <w:rPr>
          <w:rFonts w:ascii="宋体" w:hAnsi="宋体" w:cs="宋体"/>
          <w:b/>
          <w:bCs/>
          <w:szCs w:val="21"/>
        </w:rPr>
        <w:t>55、资本公积</w:t>
      </w:r>
      <w:bookmarkEnd w:id="22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2,737,043,736.03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1,539,654.00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5,087,800.00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2,733,495,590.03</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34,204,895.24</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34,204,895.24</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2,771,248,631.27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1,539,654.00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5,087,800.00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2,767,700,485.27</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其他说明，包括本期增减变动情况、变动原因说明：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21" w:name="_Toc989211"/>
      <w:r>
        <w:rPr>
          <w:rFonts w:ascii="宋体" w:hAnsi="宋体" w:cs="宋体"/>
          <w:b/>
          <w:bCs/>
          <w:szCs w:val="21"/>
        </w:rPr>
        <w:t>56、库存股</w:t>
      </w:r>
      <w:bookmarkEnd w:id="22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库存股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46,974,359.92</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其他说明，包括本期增减变动情况、变动原因说明：</w:t>
      </w:r>
    </w:p>
    <w:p w:rsidR="00C526AC" w:rsidRDefault="00E0175D" w:rsidP="00C41BCA">
      <w:pPr>
        <w:pStyle w:val="a3"/>
        <w:widowControl/>
        <w:ind w:firstLineChars="200" w:firstLine="360"/>
      </w:pPr>
      <w:r>
        <w:rPr>
          <w:rFonts w:ascii="宋体" w:hAnsi="宋体" w:cs="宋体" w:hint="eastAsia"/>
          <w:sz w:val="18"/>
          <w:szCs w:val="18"/>
        </w:rPr>
        <w:t>库存股情况说明：本公司2022年3月21日召开第八届董事会2022年第二次临时会议审议通过《关于回购公司股份方案的议案》。本次回购的股份种类为公司发行的人民币普通股（A股），回购股份的资金总额不低于人民币5,000万元，不超过人民币10,000万元，回购股份的价格不超过6.50元/股。截止2022年6月30日，公司已累计通过股票回购专用证券账户以集中竞价交易方式回购股份13024600股，占公司总股本0.77%。</w:t>
      </w:r>
    </w:p>
    <w:p w:rsidR="00C526AC" w:rsidRDefault="00E0175D">
      <w:pPr>
        <w:keepNext/>
        <w:keepLines/>
        <w:spacing w:before="300" w:after="300" w:line="280" w:lineRule="exact"/>
        <w:jc w:val="left"/>
        <w:outlineLvl w:val="2"/>
        <w:rPr>
          <w:rFonts w:ascii="宋体" w:hAnsi="宋体" w:cs="宋体"/>
          <w:b/>
          <w:bCs/>
          <w:szCs w:val="21"/>
        </w:rPr>
      </w:pPr>
      <w:bookmarkStart w:id="222" w:name="_Toc989212"/>
      <w:r>
        <w:rPr>
          <w:rFonts w:ascii="宋体" w:hAnsi="宋体" w:cs="宋体"/>
          <w:b/>
          <w:bCs/>
          <w:szCs w:val="21"/>
        </w:rPr>
        <w:t>57、其他综合收益</w:t>
      </w:r>
      <w:bookmarkEnd w:id="22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C526AC">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13,704,261.47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14,347,745.32</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13,704,261.47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643,483.85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14,347,745.32</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-66,435,028.29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23,371,319.13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23,371,319.13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-43,063,709.16</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其中：权益法下可转损益的其他综合收益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1,428,597.91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1,428,597.91</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-67,863,626.20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23,371,319.13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23,371,319.13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-44,492,307.07</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-52,730,766.82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24,014,802.98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24,014,802.98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-28,715,963.84</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其他说明，包括对现金流量套期损益的有效部分转为被套期项目初始确认金额调整：</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23" w:name="_Toc989213"/>
      <w:r>
        <w:rPr>
          <w:rFonts w:ascii="宋体" w:hAnsi="宋体" w:cs="宋体"/>
          <w:b/>
          <w:bCs/>
          <w:szCs w:val="21"/>
        </w:rPr>
        <w:t>58、专项储备</w:t>
      </w:r>
      <w:bookmarkEnd w:id="22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其他说明，包括本期增减变动情况、变动原因说明：</w:t>
      </w:r>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24" w:name="_Toc989214"/>
      <w:r>
        <w:rPr>
          <w:rFonts w:ascii="宋体" w:hAnsi="宋体" w:cs="宋体"/>
          <w:b/>
          <w:bCs/>
          <w:szCs w:val="21"/>
        </w:rPr>
        <w:t>59、盈余公积</w:t>
      </w:r>
      <w:bookmarkEnd w:id="22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253,845,916.75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253,845,916.75</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任意盈余公积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1,778,753.91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1,778,753.91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255,624,670.66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255,624,670.66</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盈余公积说明，包括本期增减变动情况、变动原因说明：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25" w:name="_Toc989215"/>
      <w:r>
        <w:rPr>
          <w:rFonts w:ascii="宋体" w:hAnsi="宋体" w:cs="宋体"/>
          <w:b/>
          <w:bCs/>
          <w:szCs w:val="21"/>
        </w:rPr>
        <w:t>60、未分配利润</w:t>
      </w:r>
      <w:bookmarkEnd w:id="22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2,334,373,314.01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2,093,844,730.70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2,334,373,314.01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2,093,844,730.70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292,246,599.75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569,742,293.45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减：提取法定盈余公积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23,091,066.24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306,122,643.90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2,626,869,913.76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2,334,373,314.01</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调整期初未分配利润明细：</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1)、由于《企业会计准则》及其相关新规定进行追溯调整，影响期初未分配利润0.00元。</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2)、由于会计政策变更，影响期初未分配利润0.00元。</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3)、由于重大会计差错更正，影响期初未分配利润0.00元。</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4)、由于同一控制导致的合并范围变更，影响期初未分配利润0.00元。</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5)、其他调整合计影响期初未分配利润0.00元。</w:t>
      </w:r>
    </w:p>
    <w:p w:rsidR="00C526AC" w:rsidRDefault="00E0175D">
      <w:pPr>
        <w:keepNext/>
        <w:keepLines/>
        <w:spacing w:before="300" w:after="300" w:line="280" w:lineRule="exact"/>
        <w:jc w:val="left"/>
        <w:outlineLvl w:val="2"/>
        <w:rPr>
          <w:rFonts w:ascii="宋体" w:hAnsi="宋体" w:cs="宋体"/>
          <w:b/>
          <w:bCs/>
          <w:szCs w:val="21"/>
        </w:rPr>
      </w:pPr>
      <w:bookmarkStart w:id="226" w:name="_Toc989216"/>
      <w:r>
        <w:rPr>
          <w:rFonts w:ascii="宋体" w:hAnsi="宋体" w:cs="宋体"/>
          <w:b/>
          <w:bCs/>
          <w:szCs w:val="21"/>
        </w:rPr>
        <w:t>61、营业收入和营业成本</w:t>
      </w:r>
      <w:bookmarkEnd w:id="22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成本</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8,477,748,464.62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7,731,549,048.63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8,512,571,323.02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7,866,651,939.64</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58,221,637.81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32,193,719.57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42,288,750.95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14,962,919.58</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8,535,970,102.43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7,763,742,768.20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8,554,860,073.97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7,881,614,859.22</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收入相关信息：</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9541AB">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纱线</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3,062,316,035.72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3,062,316,035.72</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原、色纤</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5,234,090,036.70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5,234,090,036.70</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祙制品</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181,342,392.20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181,342,392.20</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其他收入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58,221,637.81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58,221,637.81</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境外销售</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741DA5">
            <w:pPr>
              <w:spacing w:line="240" w:lineRule="exact"/>
              <w:jc w:val="right"/>
              <w:rPr>
                <w:rFonts w:ascii="宋体" w:hAnsi="宋体" w:cs="宋体"/>
                <w:sz w:val="18"/>
                <w:szCs w:val="18"/>
              </w:rPr>
            </w:pPr>
            <w:r w:rsidRPr="00741DA5">
              <w:rPr>
                <w:rFonts w:ascii="宋体" w:hAnsi="宋体" w:cs="宋体"/>
                <w:sz w:val="18"/>
                <w:szCs w:val="18"/>
              </w:rPr>
              <w:t>1,092,911,238.67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741DA5">
            <w:pPr>
              <w:spacing w:line="240" w:lineRule="exact"/>
              <w:jc w:val="right"/>
              <w:rPr>
                <w:rFonts w:ascii="宋体" w:hAnsi="宋体" w:cs="宋体"/>
                <w:sz w:val="18"/>
                <w:szCs w:val="18"/>
              </w:rPr>
            </w:pPr>
            <w:r w:rsidRPr="00741DA5">
              <w:rPr>
                <w:rFonts w:ascii="宋体" w:hAnsi="宋体" w:cs="宋体"/>
                <w:sz w:val="18"/>
                <w:szCs w:val="18"/>
              </w:rPr>
              <w:t>1,092,911,238.67</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境内销售</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741DA5">
            <w:pPr>
              <w:spacing w:line="240" w:lineRule="exact"/>
              <w:jc w:val="right"/>
              <w:rPr>
                <w:rFonts w:ascii="宋体" w:hAnsi="宋体" w:cs="宋体"/>
                <w:sz w:val="18"/>
                <w:szCs w:val="18"/>
              </w:rPr>
            </w:pPr>
            <w:r w:rsidRPr="00741DA5">
              <w:rPr>
                <w:rFonts w:ascii="宋体" w:hAnsi="宋体" w:cs="宋体"/>
                <w:sz w:val="18"/>
                <w:szCs w:val="18"/>
              </w:rPr>
              <w:t>7,443,058,863.76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741DA5">
            <w:pPr>
              <w:spacing w:line="240" w:lineRule="exact"/>
              <w:jc w:val="right"/>
              <w:rPr>
                <w:rFonts w:ascii="宋体" w:hAnsi="宋体" w:cs="宋体"/>
                <w:sz w:val="18"/>
                <w:szCs w:val="18"/>
              </w:rPr>
            </w:pPr>
            <w:r w:rsidRPr="00741DA5">
              <w:rPr>
                <w:rFonts w:ascii="宋体" w:hAnsi="宋体" w:cs="宋体"/>
                <w:sz w:val="18"/>
                <w:szCs w:val="18"/>
              </w:rPr>
              <w:t>7,443,058,863.76</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8,535,970,102.43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8,535,970,102.43</w:t>
            </w: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7B6DF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与履约义务相关的信息：</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与分摊至剩余履约义务的交易价格相关的信息：本报告期末已签订合同、但尚未履行或尚未履行完毕的履约义务所对应的收入金额为0.00元，其中，0.00元预计将于0年度确认收入，0.00元预计将于0年度确认收入，0.00元预计将于0年度确认收入。</w:t>
      </w:r>
    </w:p>
    <w:p w:rsidR="00C526AC" w:rsidRDefault="00E0175D">
      <w:pPr>
        <w:keepNext/>
        <w:keepLines/>
        <w:spacing w:before="300" w:after="300" w:line="280" w:lineRule="exact"/>
        <w:jc w:val="left"/>
        <w:outlineLvl w:val="2"/>
        <w:rPr>
          <w:rFonts w:ascii="宋体" w:hAnsi="宋体" w:cs="宋体"/>
          <w:b/>
          <w:bCs/>
          <w:szCs w:val="21"/>
        </w:rPr>
      </w:pPr>
      <w:bookmarkStart w:id="227" w:name="_Toc989217"/>
      <w:r>
        <w:rPr>
          <w:rFonts w:ascii="宋体" w:hAnsi="宋体" w:cs="宋体"/>
          <w:b/>
          <w:bCs/>
          <w:szCs w:val="21"/>
        </w:rPr>
        <w:t>62、税金及附加</w:t>
      </w:r>
      <w:bookmarkEnd w:id="22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3,676,530.86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3,265,988.31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2,639,795.39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2,420,774.71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9,357,376.37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8,769,153.94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7,763,144.54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7,833,519.91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27,324.08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23,871.21</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5,428,620.75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6,629,875.70</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1,455,342.67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1,453,083.65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30,348,134.66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30,396,267.43</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28" w:name="_Toc989218"/>
      <w:r>
        <w:rPr>
          <w:rFonts w:ascii="宋体" w:hAnsi="宋体" w:cs="宋体"/>
          <w:b/>
          <w:bCs/>
          <w:szCs w:val="21"/>
        </w:rPr>
        <w:t>63、销售费用</w:t>
      </w:r>
      <w:bookmarkEnd w:id="22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24,567,045.01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22,240,822.87</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1,309,058.20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1,055,193.53</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10,190,639.83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19,549,567.28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开发费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160,378.28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1,840,975.92</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单证费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17,844,134.20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5,718,556.43</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572,907.17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404,981.85</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261,370.14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322,681.67</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2,039,345.17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2,744,039.98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266,409.76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488,836.90</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101,521.01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223,335.41</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电商平佣金及服务费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9,678,271.37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980,580.87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2,692,754.27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67,971,661.01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57,281,746.11</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29" w:name="_Toc989219"/>
      <w:r>
        <w:rPr>
          <w:rFonts w:ascii="宋体" w:hAnsi="宋体" w:cs="宋体"/>
          <w:b/>
          <w:bCs/>
          <w:szCs w:val="21"/>
        </w:rPr>
        <w:t>64、管理费用</w:t>
      </w:r>
      <w:bookmarkEnd w:id="22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102,060,256.30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94,529,470.78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8,288,311.87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20,767,202.34</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2,505,111.17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3,132,214.78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1,376,236.90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1,391,286.78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47,807,182.71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45,373,190.82</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2,956,057.99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3,650,344.78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1,195,252.72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1,843,911.63</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2,283,107.96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2,290,775.42</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2,420,196.22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1,608,689.78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779,196.21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675,122.26</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环保费用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592,710.31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586,836.88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9,104,658.52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4,880,474.86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181,368,278.88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180,729,521.11</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0" w:name="_Toc989220"/>
      <w:r>
        <w:rPr>
          <w:rFonts w:ascii="宋体" w:hAnsi="宋体" w:cs="宋体"/>
          <w:b/>
          <w:bCs/>
          <w:szCs w:val="21"/>
        </w:rPr>
        <w:t>65、研发费用</w:t>
      </w:r>
      <w:bookmarkEnd w:id="23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工资及奖金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12,345,290.41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13,636,932.22</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燃料及动力</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6,984,850.76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5,079,011.68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原材料</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33,316,070.51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32,032,123.21</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折旧及摊销</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3,738,306.29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3,844,070.58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3,011,793.67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2,845,956.56</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59,396,311.64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57,438,094.25</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1" w:name="_Toc989221"/>
      <w:r>
        <w:rPr>
          <w:rFonts w:ascii="宋体" w:hAnsi="宋体" w:cs="宋体"/>
          <w:b/>
          <w:bCs/>
          <w:szCs w:val="21"/>
        </w:rPr>
        <w:t>66、财务费用</w:t>
      </w:r>
      <w:bookmarkEnd w:id="23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131,509,705.78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112,464,224.95</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15,842,714.37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8,408,641.36</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汇兑损益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-2,442,099.86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-11,322,191.03</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贴现</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17,074,713.30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29,593,845.70</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5,097,737.94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10,161,081.15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135,397,342.79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132,488,319.41</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2" w:name="_Toc989222"/>
      <w:r>
        <w:rPr>
          <w:rFonts w:ascii="宋体" w:hAnsi="宋体" w:cs="宋体"/>
          <w:b/>
          <w:bCs/>
          <w:szCs w:val="21"/>
        </w:rPr>
        <w:t>67、其他收益</w:t>
      </w:r>
      <w:bookmarkEnd w:id="23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24,267,340.56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19,595,837.87</w:t>
            </w:r>
          </w:p>
        </w:tc>
      </w:tr>
    </w:tbl>
    <w:p w:rsidR="00C526AC" w:rsidRDefault="00E0175D">
      <w:pPr>
        <w:keepNext/>
        <w:keepLines/>
        <w:spacing w:before="300" w:after="300" w:line="280" w:lineRule="exact"/>
        <w:jc w:val="left"/>
        <w:outlineLvl w:val="2"/>
        <w:rPr>
          <w:rFonts w:ascii="宋体" w:hAnsi="宋体" w:cs="宋体"/>
          <w:b/>
          <w:bCs/>
          <w:szCs w:val="21"/>
        </w:rPr>
      </w:pPr>
      <w:bookmarkStart w:id="233" w:name="_Toc989223"/>
      <w:r>
        <w:rPr>
          <w:rFonts w:ascii="宋体" w:hAnsi="宋体" w:cs="宋体"/>
          <w:b/>
          <w:bCs/>
          <w:szCs w:val="21"/>
        </w:rPr>
        <w:t>68、投资收益</w:t>
      </w:r>
      <w:bookmarkEnd w:id="23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22,133,708.35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2,289,389.75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-18,042,709.93</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8,000,000.00</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委托理财收益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8,386,086.71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5,019,733.92</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18,675,476.46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17,110,732.34</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4" w:name="_Toc989224"/>
      <w:r>
        <w:rPr>
          <w:rFonts w:ascii="宋体" w:hAnsi="宋体" w:cs="宋体"/>
          <w:b/>
          <w:bCs/>
          <w:szCs w:val="21"/>
        </w:rPr>
        <w:t>69、净敞口套期收益</w:t>
      </w:r>
      <w:bookmarkEnd w:id="23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5" w:name="_Toc989225"/>
      <w:r>
        <w:rPr>
          <w:rFonts w:ascii="宋体" w:hAnsi="宋体" w:cs="宋体"/>
          <w:b/>
          <w:bCs/>
          <w:szCs w:val="21"/>
        </w:rPr>
        <w:t>70、公允价值变动收益</w:t>
      </w:r>
      <w:bookmarkEnd w:id="23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-45,109,812.62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29,344,656.28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其中：衍生金融工具产生的公允价值变动收益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-45,109,812.62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29,344,656.28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-45,109,812.62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29,344,656.28</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6" w:name="_Toc989226"/>
      <w:r>
        <w:rPr>
          <w:rFonts w:ascii="宋体" w:hAnsi="宋体" w:cs="宋体"/>
          <w:b/>
          <w:bCs/>
          <w:szCs w:val="21"/>
        </w:rPr>
        <w:t>71、信用减值损失</w:t>
      </w:r>
      <w:bookmarkEnd w:id="23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4,839,951.85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-17,626,531.75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4,839,951.85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-17,626,531.75</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7" w:name="_Toc989227"/>
      <w:r>
        <w:rPr>
          <w:rFonts w:ascii="宋体" w:hAnsi="宋体" w:cs="宋体"/>
          <w:b/>
          <w:bCs/>
          <w:szCs w:val="21"/>
        </w:rPr>
        <w:t>72、资产减值损失</w:t>
      </w:r>
      <w:bookmarkEnd w:id="23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-5,262,481.92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17,837,552.28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-5,262,481.92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17,837,552.28</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38" w:name="_Toc989228"/>
      <w:r>
        <w:rPr>
          <w:rFonts w:ascii="宋体" w:hAnsi="宋体" w:cs="宋体"/>
          <w:b/>
          <w:bCs/>
          <w:szCs w:val="21"/>
        </w:rPr>
        <w:t>73、资产处置收益</w:t>
      </w:r>
      <w:bookmarkEnd w:id="23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7B6DF4">
        <w:trPr>
          <w:trHeight w:val="240"/>
        </w:trPr>
        <w:tc>
          <w:tcPr>
            <w:tcW w:w="3213" w:type="dxa"/>
            <w:tcBorders>
              <w:top w:val="single" w:sz="8"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资产处置收益的来源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固定资产处置利得或损失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-1,999,481.00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40,325,498.12</w:t>
            </w:r>
          </w:p>
        </w:tc>
      </w:tr>
      <w:tr w:rsidR="00C526AC" w:rsidTr="007B6DF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无形资产处置利得或损失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8,490,566.07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9,764,000.02</w:t>
            </w:r>
          </w:p>
        </w:tc>
      </w:tr>
      <w:tr w:rsidR="00C526AC" w:rsidTr="007B6DF4">
        <w:trPr>
          <w:trHeight w:val="240"/>
        </w:trPr>
        <w:tc>
          <w:tcPr>
            <w:tcW w:w="3213" w:type="dxa"/>
            <w:tcBorders>
              <w:top w:val="single" w:sz="2" w:space="0" w:color="auto"/>
              <w:left w:val="single" w:sz="2" w:space="0" w:color="auto"/>
              <w:bottom w:val="single" w:sz="8"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6,491,085.07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50,089,498.14</w:t>
            </w:r>
          </w:p>
        </w:tc>
      </w:tr>
    </w:tbl>
    <w:p w:rsidR="00C526AC" w:rsidRDefault="00E0175D">
      <w:pPr>
        <w:keepNext/>
        <w:keepLines/>
        <w:spacing w:before="300" w:after="300" w:line="280" w:lineRule="exact"/>
        <w:jc w:val="left"/>
        <w:outlineLvl w:val="2"/>
        <w:rPr>
          <w:rFonts w:ascii="宋体" w:hAnsi="宋体" w:cs="宋体"/>
          <w:b/>
          <w:bCs/>
          <w:szCs w:val="21"/>
        </w:rPr>
      </w:pPr>
      <w:bookmarkStart w:id="239" w:name="_Toc989229"/>
      <w:r>
        <w:rPr>
          <w:rFonts w:ascii="宋体" w:hAnsi="宋体" w:cs="宋体"/>
          <w:b/>
          <w:bCs/>
          <w:szCs w:val="21"/>
        </w:rPr>
        <w:t>74、营业外收入</w:t>
      </w:r>
      <w:bookmarkEnd w:id="23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计入当期非经常性损益的金额</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确实无法支付的债务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14,532,493.80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152,087.22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14,532,493.80</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赔偿金</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1,876,057.37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353,162.00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1,876,057.37</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罚款收入</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11,095.43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1,173,411.17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527,918.19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1,173,411.17</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17,581,962.34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1,044,262.84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17,581,962.34</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40" w:name="_Toc989230"/>
      <w:r>
        <w:rPr>
          <w:rFonts w:ascii="宋体" w:hAnsi="宋体" w:cs="宋体"/>
          <w:b/>
          <w:bCs/>
          <w:szCs w:val="21"/>
        </w:rPr>
        <w:t>75、营业外支出</w:t>
      </w:r>
      <w:bookmarkEnd w:id="24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计入当期非经常性损益的金额</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751,637.10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751,637.10</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预计诉讼损失</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固定资产报废损失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2,874.69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1,989,825.03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2,874.69</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罚款及滞纳金支出</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97,534.52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188,285.54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97,534.52</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赔偿支出</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400,000.00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546,513.49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3,051,802.39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546,513.49</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1,398,559.80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5,629,912.96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2,012,824.67</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41" w:name="_Toc989231"/>
      <w:r>
        <w:rPr>
          <w:rFonts w:ascii="宋体" w:hAnsi="宋体" w:cs="宋体"/>
          <w:b/>
          <w:bCs/>
          <w:szCs w:val="21"/>
        </w:rPr>
        <w:t>76、所得税费用</w:t>
      </w:r>
      <w:bookmarkEnd w:id="241"/>
    </w:p>
    <w:p w:rsidR="00C526AC" w:rsidRDefault="00E0175D">
      <w:pPr>
        <w:keepNext/>
        <w:keepLines/>
        <w:spacing w:before="300" w:after="300" w:line="280" w:lineRule="exact"/>
        <w:jc w:val="left"/>
        <w:outlineLvl w:val="3"/>
        <w:rPr>
          <w:rFonts w:ascii="宋体" w:hAnsi="宋体" w:cs="宋体"/>
          <w:b/>
          <w:bCs/>
          <w:szCs w:val="21"/>
        </w:rPr>
      </w:pPr>
      <w:bookmarkStart w:id="242" w:name="_Toc989232"/>
      <w:r>
        <w:rPr>
          <w:rFonts w:ascii="宋体" w:hAnsi="宋体" w:cs="宋体"/>
          <w:b/>
          <w:bCs/>
          <w:szCs w:val="21"/>
        </w:rPr>
        <w:t>（1） 所得税费用表</w:t>
      </w:r>
      <w:bookmarkEnd w:id="24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15,175,900.76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20,352,140.37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1,399,501.77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-7,569,894.64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16,575,402.53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12,782,245.73</w:t>
            </w:r>
          </w:p>
        </w:tc>
      </w:tr>
    </w:tbl>
    <w:p w:rsidR="00C526AC" w:rsidRDefault="00E0175D">
      <w:pPr>
        <w:keepNext/>
        <w:keepLines/>
        <w:spacing w:before="300" w:after="300" w:line="280" w:lineRule="exact"/>
        <w:jc w:val="left"/>
        <w:outlineLvl w:val="3"/>
        <w:rPr>
          <w:rFonts w:ascii="宋体" w:hAnsi="宋体" w:cs="宋体"/>
          <w:b/>
          <w:bCs/>
          <w:szCs w:val="21"/>
        </w:rPr>
      </w:pPr>
      <w:bookmarkStart w:id="243" w:name="_Toc989233"/>
      <w:r>
        <w:rPr>
          <w:rFonts w:ascii="宋体" w:hAnsi="宋体" w:cs="宋体"/>
          <w:b/>
          <w:bCs/>
          <w:szCs w:val="21"/>
        </w:rPr>
        <w:t>（2） 会计利润与所得税费用调整过程</w:t>
      </w:r>
      <w:bookmarkEnd w:id="24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317,830,567.19</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47,674,585.08</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-7,431,701.96</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343,961.29</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非应税收入的影响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-13,478,355.66</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-3,943,289.31</w:t>
            </w:r>
          </w:p>
        </w:tc>
      </w:tr>
      <w:tr w:rsidR="00C526AC" w:rsidTr="009541AB">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使用前期未确认递延所得税资产的可抵扣亏损的影响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-1,091,120.68</w:t>
            </w:r>
          </w:p>
        </w:tc>
      </w:tr>
      <w:tr w:rsidR="00C526AC" w:rsidTr="009541AB">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本期未确认递延所得税资产的可抵扣暂时性差异或可抵扣亏损的影响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519,478.46</w:t>
            </w:r>
          </w:p>
        </w:tc>
      </w:tr>
      <w:tr w:rsidR="00C526AC" w:rsidTr="009541AB">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本公司税收优惠的影响</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145,764.31</w:t>
            </w:r>
          </w:p>
        </w:tc>
      </w:tr>
      <w:tr w:rsidR="00C526AC" w:rsidTr="009541AB">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研发费用加计扣除</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-6,163,919.00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16,575,402.53</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44" w:name="_Toc989234"/>
      <w:r>
        <w:rPr>
          <w:rFonts w:ascii="宋体" w:hAnsi="宋体" w:cs="宋体"/>
          <w:b/>
          <w:bCs/>
          <w:szCs w:val="21"/>
        </w:rPr>
        <w:t>77、其他综合收益</w:t>
      </w:r>
      <w:bookmarkEnd w:id="244"/>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详见附注57。</w:t>
      </w:r>
    </w:p>
    <w:p w:rsidR="00C526AC" w:rsidRDefault="00E0175D">
      <w:pPr>
        <w:keepNext/>
        <w:keepLines/>
        <w:spacing w:before="300" w:after="300" w:line="280" w:lineRule="exact"/>
        <w:jc w:val="left"/>
        <w:outlineLvl w:val="2"/>
        <w:rPr>
          <w:rFonts w:ascii="宋体" w:hAnsi="宋体" w:cs="宋体"/>
          <w:b/>
          <w:bCs/>
          <w:szCs w:val="21"/>
        </w:rPr>
      </w:pPr>
      <w:bookmarkStart w:id="245" w:name="_Toc989235"/>
      <w:r>
        <w:rPr>
          <w:rFonts w:ascii="宋体" w:hAnsi="宋体" w:cs="宋体"/>
          <w:b/>
          <w:bCs/>
          <w:szCs w:val="21"/>
        </w:rPr>
        <w:t>78、现金流量表项目</w:t>
      </w:r>
      <w:bookmarkEnd w:id="245"/>
    </w:p>
    <w:p w:rsidR="00C526AC" w:rsidRDefault="00E0175D">
      <w:pPr>
        <w:keepNext/>
        <w:keepLines/>
        <w:spacing w:before="300" w:after="300" w:line="280" w:lineRule="exact"/>
        <w:jc w:val="left"/>
        <w:outlineLvl w:val="3"/>
        <w:rPr>
          <w:rFonts w:ascii="宋体" w:hAnsi="宋体" w:cs="宋体"/>
          <w:b/>
          <w:bCs/>
          <w:szCs w:val="21"/>
        </w:rPr>
      </w:pPr>
      <w:bookmarkStart w:id="246" w:name="_Toc989236"/>
      <w:r>
        <w:rPr>
          <w:rFonts w:ascii="宋体" w:hAnsi="宋体" w:cs="宋体"/>
          <w:b/>
          <w:bCs/>
          <w:szCs w:val="21"/>
        </w:rPr>
        <w:t>（1） 收到的其他与经营活动有关的现金</w:t>
      </w:r>
      <w:bookmarkEnd w:id="24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nil"/>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15,842,714.37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25,863,906.68</w:t>
            </w:r>
          </w:p>
        </w:tc>
      </w:tr>
      <w:tr w:rsidR="00C526AC" w:rsidTr="009541AB">
        <w:trPr>
          <w:trHeight w:val="240"/>
        </w:trPr>
        <w:tc>
          <w:tcPr>
            <w:tcW w:w="3213" w:type="dxa"/>
            <w:tcBorders>
              <w:top w:val="nil"/>
              <w:left w:val="single" w:sz="2" w:space="0" w:color="auto"/>
              <w:bottom w:val="nil"/>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200,817,309.64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150,745,659.92</w:t>
            </w:r>
          </w:p>
        </w:tc>
      </w:tr>
      <w:tr w:rsidR="00C526AC" w:rsidTr="009541AB">
        <w:trPr>
          <w:trHeight w:val="240"/>
        </w:trPr>
        <w:tc>
          <w:tcPr>
            <w:tcW w:w="3213" w:type="dxa"/>
            <w:tcBorders>
              <w:top w:val="nil"/>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302,218,102.27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87,599,902.14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518,878,126.28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264,209,468.74</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收到的其他与经营活动有关的现金说明：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47" w:name="_Toc989237"/>
      <w:r>
        <w:rPr>
          <w:rFonts w:ascii="宋体" w:hAnsi="宋体" w:cs="宋体"/>
          <w:b/>
          <w:bCs/>
          <w:szCs w:val="21"/>
        </w:rPr>
        <w:t>（2） 支付的其他与经营活动有关的现金</w:t>
      </w:r>
      <w:bookmarkEnd w:id="24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nil"/>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费用类支出</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140,154,341.64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86,322,171.02</w:t>
            </w:r>
          </w:p>
        </w:tc>
      </w:tr>
      <w:tr w:rsidR="00C526AC" w:rsidTr="009541AB">
        <w:trPr>
          <w:trHeight w:val="240"/>
        </w:trPr>
        <w:tc>
          <w:tcPr>
            <w:tcW w:w="3213" w:type="dxa"/>
            <w:tcBorders>
              <w:top w:val="nil"/>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544,904,195.31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270,754,906.60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685,058,536.95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357,077,077.62</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支付的其他与经营活动有关的现金说明：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48" w:name="_Toc989238"/>
      <w:r>
        <w:rPr>
          <w:rFonts w:ascii="宋体" w:hAnsi="宋体" w:cs="宋体"/>
          <w:b/>
          <w:bCs/>
          <w:szCs w:val="21"/>
        </w:rPr>
        <w:t>（3） 收到的其他与投资活动有关的现金</w:t>
      </w:r>
      <w:bookmarkEnd w:id="24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nil"/>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455,965,201.09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62,121,591.63</w:t>
            </w:r>
          </w:p>
        </w:tc>
      </w:tr>
      <w:tr w:rsidR="00C526AC" w:rsidTr="009541AB">
        <w:trPr>
          <w:trHeight w:val="240"/>
        </w:trPr>
        <w:tc>
          <w:tcPr>
            <w:tcW w:w="3213" w:type="dxa"/>
            <w:tcBorders>
              <w:top w:val="nil"/>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期货及其他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263,579,076.56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119,867,502.06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719,544,277.65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181,989,093.69</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收到的其他与投资活动有关的现金说明：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49" w:name="_Toc989239"/>
      <w:r>
        <w:rPr>
          <w:rFonts w:ascii="宋体" w:hAnsi="宋体" w:cs="宋体"/>
          <w:b/>
          <w:bCs/>
          <w:szCs w:val="21"/>
        </w:rPr>
        <w:t>（4） 支付的其他与投资活动有关的现金</w:t>
      </w:r>
      <w:bookmarkEnd w:id="24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nil"/>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116,938,990.54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288,777,899.54</w:t>
            </w:r>
          </w:p>
        </w:tc>
      </w:tr>
      <w:tr w:rsidR="00C526AC" w:rsidTr="009541AB">
        <w:trPr>
          <w:trHeight w:val="240"/>
        </w:trPr>
        <w:tc>
          <w:tcPr>
            <w:tcW w:w="3213" w:type="dxa"/>
            <w:tcBorders>
              <w:top w:val="nil"/>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期货及其他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204,337,979.12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117,966,444.64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321,276,969.66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406,744,344.18</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支付的其他与投资活动有关的现金说明：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50" w:name="_Toc989240"/>
      <w:r>
        <w:rPr>
          <w:rFonts w:ascii="宋体" w:hAnsi="宋体" w:cs="宋体"/>
          <w:b/>
          <w:bCs/>
          <w:szCs w:val="21"/>
        </w:rPr>
        <w:t>（5） 收到的其他与筹资活动有关的现金</w:t>
      </w:r>
      <w:bookmarkEnd w:id="25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受限的其他货币资金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195,207,287.32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44,098,855.86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195,207,287.32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44,098,855.86</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收到的其他与筹资活动有关的现金说明：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51" w:name="_Toc989241"/>
      <w:r>
        <w:rPr>
          <w:rFonts w:ascii="宋体" w:hAnsi="宋体" w:cs="宋体"/>
          <w:b/>
          <w:bCs/>
          <w:szCs w:val="21"/>
        </w:rPr>
        <w:t>（6） 支付的其他与筹资活动有关的现金</w:t>
      </w:r>
      <w:bookmarkEnd w:id="25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受限的其他货币资金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807,939,294.39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210,740,175.80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807,939,294.39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210,740,175.80</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支付的其他与筹资活动有关的现金说明：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52" w:name="_Toc989242"/>
      <w:r>
        <w:rPr>
          <w:rFonts w:ascii="宋体" w:hAnsi="宋体" w:cs="宋体"/>
          <w:b/>
          <w:bCs/>
          <w:szCs w:val="21"/>
        </w:rPr>
        <w:t>79、现金流量表补充资料</w:t>
      </w:r>
      <w:bookmarkEnd w:id="252"/>
    </w:p>
    <w:p w:rsidR="00C526AC" w:rsidRDefault="00E0175D">
      <w:pPr>
        <w:keepNext/>
        <w:keepLines/>
        <w:spacing w:before="300" w:after="300" w:line="280" w:lineRule="exact"/>
        <w:jc w:val="left"/>
        <w:outlineLvl w:val="3"/>
        <w:rPr>
          <w:rFonts w:ascii="宋体" w:hAnsi="宋体" w:cs="宋体"/>
          <w:b/>
          <w:bCs/>
          <w:szCs w:val="21"/>
        </w:rPr>
      </w:pPr>
      <w:bookmarkStart w:id="253" w:name="_Toc989243"/>
      <w:r>
        <w:rPr>
          <w:rFonts w:ascii="宋体" w:hAnsi="宋体" w:cs="宋体"/>
          <w:b/>
          <w:bCs/>
          <w:szCs w:val="21"/>
        </w:rPr>
        <w:t>（1） 现金流量表补充资料</w:t>
      </w:r>
      <w:bookmarkEnd w:id="25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上期金额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301,255,164.66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313,895,115.75</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422,530.07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211,020.53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265,267,846.31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277,066,633.16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5,112,103.03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12,075,767.10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42,608,103.17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17,297,581.45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12,778,539.37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-6,491,085.07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-50,089,498.14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2,874.69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1,989,825.03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45,109,812.62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-29,344,656.28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145,450,720.26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132,488,319.41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-18,675,476.46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-17,110,732.34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14,813,468.22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15,349,938.31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-1,420,795.05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-10,958,044.33</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329,862,810.57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785,339,460.51</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-253,651,658.32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-384,032,565.16</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经营性应付项目的增加（减少以“－”号填列）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-88,017,499.28</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694,840,574.60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-2,977,114.29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765,437,050.51</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1,785,032,033.59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一年内到期的可转换公司债券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1,645,991,954.95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1,321,250,636.49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2,395,731,098.44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2,064,961,873.19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-749,739,143.49</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-743,711,236.70</w:t>
            </w:r>
          </w:p>
        </w:tc>
      </w:tr>
    </w:tbl>
    <w:p w:rsidR="00C526AC" w:rsidRDefault="00E0175D">
      <w:pPr>
        <w:keepNext/>
        <w:keepLines/>
        <w:spacing w:before="300" w:after="300" w:line="280" w:lineRule="exact"/>
        <w:jc w:val="left"/>
        <w:outlineLvl w:val="3"/>
        <w:rPr>
          <w:rFonts w:ascii="宋体" w:hAnsi="宋体" w:cs="宋体"/>
          <w:b/>
          <w:bCs/>
          <w:szCs w:val="21"/>
        </w:rPr>
      </w:pPr>
      <w:bookmarkStart w:id="254" w:name="_Toc989244"/>
      <w:r>
        <w:rPr>
          <w:rFonts w:ascii="宋体" w:hAnsi="宋体" w:cs="宋体"/>
          <w:b/>
          <w:bCs/>
          <w:szCs w:val="21"/>
        </w:rPr>
        <w:t>（2） 本期支付的取得子公司的现金净额</w:t>
      </w:r>
      <w:bookmarkEnd w:id="254"/>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55" w:name="_Toc989245"/>
      <w:r>
        <w:rPr>
          <w:rFonts w:ascii="宋体" w:hAnsi="宋体" w:cs="宋体"/>
          <w:b/>
          <w:bCs/>
          <w:szCs w:val="21"/>
        </w:rPr>
        <w:t>（3） 本期收到的处置子公司的现金净额</w:t>
      </w:r>
      <w:bookmarkEnd w:id="255"/>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56" w:name="_Toc989246"/>
      <w:r>
        <w:rPr>
          <w:rFonts w:ascii="宋体" w:hAnsi="宋体" w:cs="宋体"/>
          <w:b/>
          <w:bCs/>
          <w:szCs w:val="21"/>
        </w:rPr>
        <w:t>（4） 现金和现金等价物的构成</w:t>
      </w:r>
      <w:bookmarkEnd w:id="25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1,645,991,954.95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2,395,731,098.44</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其中：库存现金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392,943.07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344,657.99</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1,379,747,876.45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1,163,644,583.90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265,851,135.43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157,261,394.60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1,645,991,954.95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2,395,731,098.44</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57" w:name="_Toc989247"/>
      <w:r>
        <w:rPr>
          <w:rFonts w:ascii="宋体" w:hAnsi="宋体" w:cs="宋体"/>
          <w:b/>
          <w:bCs/>
          <w:szCs w:val="21"/>
        </w:rPr>
        <w:t>80、所有者权益变动表项目注释</w:t>
      </w:r>
      <w:bookmarkEnd w:id="257"/>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说明对上年期末余额进行调整的“其他”项目名称及调整金额等事项：</w:t>
      </w:r>
    </w:p>
    <w:p w:rsidR="00C526AC" w:rsidRDefault="00E0175D">
      <w:pPr>
        <w:pStyle w:val="a3"/>
        <w:widowControl/>
      </w:pPr>
      <w:r>
        <w:rPr>
          <w:rFonts w:ascii="宋体" w:hAnsi="宋体" w:cs="宋体" w:hint="eastAsia"/>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258" w:name="_Toc989248"/>
      <w:r>
        <w:rPr>
          <w:rFonts w:ascii="宋体" w:hAnsi="宋体" w:cs="宋体"/>
          <w:b/>
          <w:bCs/>
          <w:szCs w:val="21"/>
        </w:rPr>
        <w:t>81、所有权或使用权受到限制的资产</w:t>
      </w:r>
      <w:bookmarkEnd w:id="25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受限原因</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1,598,137,301.74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借款的保证金及票据保证金、冻结资金</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48,550,738.16</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应收票据质押借款</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3,106,864,978.37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抵押贷款</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381,598,072.44</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抵押贷款</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票据及信用证等保证金</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5,335,151,090.71</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59" w:name="_Toc989249"/>
      <w:r>
        <w:rPr>
          <w:rFonts w:ascii="宋体" w:hAnsi="宋体" w:cs="宋体"/>
          <w:b/>
          <w:bCs/>
          <w:szCs w:val="21"/>
        </w:rPr>
        <w:t>82、外币货币性项目</w:t>
      </w:r>
      <w:bookmarkEnd w:id="259"/>
    </w:p>
    <w:p w:rsidR="00C526AC" w:rsidRDefault="00E0175D">
      <w:pPr>
        <w:keepNext/>
        <w:keepLines/>
        <w:spacing w:before="300" w:after="300" w:line="280" w:lineRule="exact"/>
        <w:jc w:val="left"/>
        <w:outlineLvl w:val="3"/>
        <w:rPr>
          <w:rFonts w:ascii="宋体" w:hAnsi="宋体" w:cs="宋体"/>
          <w:b/>
          <w:bCs/>
          <w:szCs w:val="21"/>
        </w:rPr>
      </w:pPr>
      <w:bookmarkStart w:id="260" w:name="_Toc989250"/>
      <w:r>
        <w:rPr>
          <w:rFonts w:ascii="宋体" w:hAnsi="宋体" w:cs="宋体"/>
          <w:b/>
          <w:bCs/>
          <w:szCs w:val="21"/>
        </w:rPr>
        <w:t>（1） 外币货币性项目</w:t>
      </w:r>
      <w:bookmarkEnd w:id="260"/>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期末折算人民币余额</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6,865.85</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46,079.47</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3,218.00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0.8552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2,752.00</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751,453,542.00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216,729.92</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rPr>
                <w:rFonts w:ascii="宋体" w:hAnsi="宋体" w:cs="宋体"/>
                <w:sz w:val="18"/>
                <w:szCs w:val="18"/>
              </w:rPr>
            </w:pPr>
            <w:r>
              <w:rPr>
                <w:rFonts w:ascii="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216.00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7.0084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1,513.81</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rPr>
                <w:rFonts w:ascii="宋体" w:hAnsi="宋体" w:cs="宋体"/>
                <w:sz w:val="18"/>
                <w:szCs w:val="18"/>
              </w:rPr>
            </w:pPr>
            <w:r>
              <w:rPr>
                <w:rFonts w:ascii="宋体" w:hAnsi="宋体" w:cs="宋体"/>
                <w:sz w:val="18"/>
                <w:szCs w:val="18"/>
              </w:rPr>
              <w:t>韩元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976,970.00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0.0052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5,036.71</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rPr>
                <w:rFonts w:ascii="宋体" w:hAnsi="宋体" w:cs="宋体"/>
                <w:sz w:val="18"/>
                <w:szCs w:val="18"/>
              </w:rPr>
            </w:pPr>
            <w:r>
              <w:rPr>
                <w:rFonts w:ascii="宋体" w:hAnsi="宋体" w:cs="宋体"/>
                <w:sz w:val="18"/>
                <w:szCs w:val="18"/>
              </w:rPr>
              <w:t>泰铢</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6,577.50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0.1906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1,253.69</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rPr>
                <w:rFonts w:ascii="宋体" w:hAnsi="宋体" w:cs="宋体"/>
                <w:sz w:val="18"/>
                <w:szCs w:val="18"/>
              </w:rPr>
            </w:pPr>
            <w:r>
              <w:rPr>
                <w:rFonts w:ascii="宋体" w:hAnsi="宋体" w:cs="宋体"/>
                <w:sz w:val="18"/>
                <w:szCs w:val="18"/>
              </w:rPr>
              <w:t>印尼盾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63,000.00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0.0005</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28.44</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rPr>
                <w:rFonts w:ascii="宋体" w:hAnsi="宋体" w:cs="宋体"/>
                <w:sz w:val="18"/>
                <w:szCs w:val="18"/>
              </w:rPr>
            </w:pPr>
            <w:r>
              <w:rPr>
                <w:rFonts w:ascii="宋体" w:hAnsi="宋体" w:cs="宋体"/>
                <w:sz w:val="18"/>
                <w:szCs w:val="18"/>
              </w:rPr>
              <w:t>埃及镑</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50.00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0.3570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17.85</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rPr>
                <w:rFonts w:ascii="宋体" w:hAnsi="宋体" w:cs="宋体"/>
                <w:sz w:val="18"/>
                <w:szCs w:val="18"/>
              </w:rPr>
            </w:pPr>
            <w:r>
              <w:rPr>
                <w:rFonts w:ascii="宋体" w:hAnsi="宋体" w:cs="宋体"/>
                <w:sz w:val="18"/>
                <w:szCs w:val="18"/>
              </w:rPr>
              <w:t>台币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0.2255</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0.45</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rPr>
                <w:rFonts w:ascii="宋体" w:hAnsi="宋体" w:cs="宋体"/>
                <w:sz w:val="18"/>
                <w:szCs w:val="18"/>
              </w:rPr>
            </w:pPr>
            <w:r>
              <w:rPr>
                <w:rFonts w:ascii="宋体" w:hAnsi="宋体" w:cs="宋体"/>
                <w:sz w:val="18"/>
                <w:szCs w:val="18"/>
              </w:rPr>
              <w:t>新加坡元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20,593.64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4.8170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99,198.99</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jc w:val="right"/>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jc w:val="right"/>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8,453,375.88</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56,733,986.88</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1,399,272.49</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0.8552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1,196,643.84</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2,647,838,854.41</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763,674.50</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jc w:val="right"/>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jc w:val="right"/>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ind w:firstLineChars="300" w:firstLine="540"/>
              <w:jc w:val="left"/>
              <w:rPr>
                <w:rFonts w:ascii="宋体" w:hAnsi="宋体" w:cs="宋体"/>
                <w:sz w:val="18"/>
                <w:szCs w:val="18"/>
              </w:rPr>
            </w:pPr>
            <w:r>
              <w:rPr>
                <w:rFonts w:ascii="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其他应收款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86,476.60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580,379.05</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305,642.94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0.8552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261,382.79</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9,816,739,300.93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2,831,287.67</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应收票据</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2,038,876.51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13,683,715.81</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67,105,606,909.00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19,354,214.45</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4,859,784.57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32,615,958.16</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625,587,266.17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180,428.29</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2,647,838,854.41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49,822.41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334,378.12</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10,804,704.21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0.8552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9,240,074.99</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328,723,442.44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0.0003</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94,808.53</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短期借款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rsidP="00C41BCA">
            <w:pPr>
              <w:spacing w:line="240" w:lineRule="exact"/>
              <w:jc w:val="right"/>
              <w:rPr>
                <w:rFonts w:ascii="宋体" w:hAnsi="宋体" w:cs="宋体"/>
                <w:sz w:val="18"/>
                <w:szCs w:val="18"/>
              </w:rPr>
            </w:pP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95,024,005.31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6.7114</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637,744,109.24</w:t>
            </w:r>
          </w:p>
        </w:tc>
      </w:tr>
      <w:tr w:rsidR="00C526AC" w:rsidTr="00C41BC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rsidP="00C41BCA">
            <w:pPr>
              <w:spacing w:line="240" w:lineRule="exact"/>
              <w:ind w:firstLineChars="300" w:firstLine="540"/>
              <w:jc w:val="left"/>
              <w:rPr>
                <w:rFonts w:ascii="宋体" w:hAnsi="宋体" w:cs="宋体"/>
                <w:sz w:val="18"/>
                <w:szCs w:val="18"/>
              </w:rPr>
            </w:pPr>
            <w:r>
              <w:rPr>
                <w:rFonts w:ascii="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252,129,580.58</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0.8552</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rsidP="00C41BCA">
            <w:pPr>
              <w:spacing w:line="240" w:lineRule="exact"/>
              <w:jc w:val="right"/>
              <w:rPr>
                <w:rFonts w:ascii="宋体" w:hAnsi="宋体" w:cs="宋体"/>
                <w:sz w:val="18"/>
                <w:szCs w:val="18"/>
              </w:rPr>
            </w:pPr>
            <w:r>
              <w:rPr>
                <w:rFonts w:ascii="宋体" w:hAnsi="宋体" w:cs="宋体"/>
                <w:sz w:val="18"/>
                <w:szCs w:val="18"/>
              </w:rPr>
              <w:t>215,618,864.49</w:t>
            </w:r>
          </w:p>
        </w:tc>
      </w:tr>
    </w:tbl>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61" w:name="_Toc989251"/>
      <w:r>
        <w:rPr>
          <w:rFonts w:ascii="宋体" w:hAnsi="宋体" w:cs="宋体"/>
          <w:b/>
          <w:bCs/>
          <w:szCs w:val="21"/>
        </w:rPr>
        <w:t>（2） 境外经营实体说明，包括对于重要的境外经营实体，应披露其境外主要经营地、记账本位币及选择依据，记账本位币发生变化的还应披露原因。</w:t>
      </w:r>
      <w:bookmarkEnd w:id="261"/>
    </w:p>
    <w:p w:rsidR="00C526AC" w:rsidRDefault="00E0175D">
      <w:pPr>
        <w:spacing w:before="40" w:after="40" w:line="240" w:lineRule="exact"/>
        <w:jc w:val="left"/>
        <w:rPr>
          <w:rFonts w:ascii="宋体" w:hAnsi="宋体" w:cs="宋体"/>
          <w:sz w:val="18"/>
          <w:szCs w:val="18"/>
        </w:rPr>
      </w:pPr>
      <w:r>
        <w:rPr>
          <w:rFonts w:ascii="宋体" w:hAnsi="宋体" w:cs="宋体"/>
          <w:sz w:val="18"/>
          <w:szCs w:val="18"/>
        </w:rPr>
        <w:sym w:font="Wingdings 2" w:char="F052"/>
      </w:r>
      <w:r>
        <w:rPr>
          <w:rFonts w:ascii="宋体" w:hAnsi="宋体" w:cs="宋体"/>
          <w:sz w:val="18"/>
          <w:szCs w:val="18"/>
        </w:rPr>
        <w:t>适用 □不适用</w:t>
      </w:r>
    </w:p>
    <w:p w:rsidR="00C526AC" w:rsidRDefault="00E0175D">
      <w:pPr>
        <w:pStyle w:val="a3"/>
        <w:widowControl/>
        <w:spacing w:beforeAutospacing="0" w:afterAutospacing="0"/>
        <w:ind w:firstLine="360"/>
        <w:jc w:val="both"/>
        <w:rPr>
          <w:sz w:val="18"/>
          <w:szCs w:val="18"/>
        </w:rPr>
      </w:pPr>
      <w:r>
        <w:rPr>
          <w:rFonts w:ascii="宋体" w:hAnsi="宋体" w:cs="宋体" w:hint="eastAsia"/>
          <w:sz w:val="18"/>
          <w:szCs w:val="18"/>
        </w:rPr>
        <w:t>本公司之全资子</w:t>
      </w:r>
      <w:r>
        <w:rPr>
          <w:sz w:val="18"/>
          <w:szCs w:val="18"/>
        </w:rPr>
        <w:t>(</w:t>
      </w:r>
      <w:r>
        <w:rPr>
          <w:rFonts w:ascii="宋体" w:hAnsi="宋体" w:cs="宋体" w:hint="eastAsia"/>
          <w:sz w:val="18"/>
          <w:szCs w:val="18"/>
        </w:rPr>
        <w:t>孙</w:t>
      </w:r>
      <w:r>
        <w:rPr>
          <w:sz w:val="18"/>
          <w:szCs w:val="18"/>
        </w:rPr>
        <w:t>)</w:t>
      </w:r>
      <w:r>
        <w:rPr>
          <w:rFonts w:ascii="宋体" w:hAnsi="宋体" w:cs="宋体" w:hint="eastAsia"/>
          <w:sz w:val="18"/>
          <w:szCs w:val="18"/>
        </w:rPr>
        <w:t>公司香港华孚有限、香港华孚贸易注册于香港，以港币为记账本位币；本公司之全资子</w:t>
      </w:r>
      <w:r>
        <w:rPr>
          <w:sz w:val="18"/>
          <w:szCs w:val="18"/>
        </w:rPr>
        <w:t>(</w:t>
      </w:r>
      <w:r>
        <w:rPr>
          <w:rFonts w:ascii="宋体" w:hAnsi="宋体" w:cs="宋体" w:hint="eastAsia"/>
          <w:sz w:val="18"/>
          <w:szCs w:val="18"/>
        </w:rPr>
        <w:t>孙</w:t>
      </w:r>
      <w:r>
        <w:rPr>
          <w:sz w:val="18"/>
          <w:szCs w:val="18"/>
        </w:rPr>
        <w:t>)</w:t>
      </w:r>
      <w:r>
        <w:rPr>
          <w:rFonts w:ascii="宋体" w:hAnsi="宋体" w:cs="宋体" w:hint="eastAsia"/>
          <w:sz w:val="18"/>
          <w:szCs w:val="18"/>
        </w:rPr>
        <w:t>公司澳门华孚注册于澳门，以澳门元为记账本位币；本公司之全资子</w:t>
      </w:r>
      <w:r>
        <w:rPr>
          <w:sz w:val="18"/>
          <w:szCs w:val="18"/>
        </w:rPr>
        <w:t>(</w:t>
      </w:r>
      <w:r>
        <w:rPr>
          <w:rFonts w:ascii="宋体" w:hAnsi="宋体" w:cs="宋体" w:hint="eastAsia"/>
          <w:sz w:val="18"/>
          <w:szCs w:val="18"/>
        </w:rPr>
        <w:t>孙</w:t>
      </w:r>
      <w:r>
        <w:rPr>
          <w:sz w:val="18"/>
          <w:szCs w:val="18"/>
        </w:rPr>
        <w:t>)</w:t>
      </w:r>
      <w:r>
        <w:rPr>
          <w:rFonts w:ascii="宋体" w:hAnsi="宋体" w:cs="宋体" w:hint="eastAsia"/>
          <w:sz w:val="18"/>
          <w:szCs w:val="18"/>
        </w:rPr>
        <w:t>公司顺道实业、越南英鸿注册于越南，以越南盾为记账本位币。本公司之全资子公司新加坡耀佳国际注册在新加坡，以美元为记账本位币。</w:t>
      </w:r>
    </w:p>
    <w:p w:rsidR="00C526AC" w:rsidRDefault="00E0175D">
      <w:pPr>
        <w:keepNext/>
        <w:keepLines/>
        <w:spacing w:before="300" w:after="300" w:line="280" w:lineRule="exact"/>
        <w:jc w:val="left"/>
        <w:outlineLvl w:val="2"/>
        <w:rPr>
          <w:rFonts w:ascii="宋体" w:hAnsi="宋体" w:cs="宋体"/>
          <w:b/>
          <w:bCs/>
          <w:szCs w:val="21"/>
        </w:rPr>
      </w:pPr>
      <w:bookmarkStart w:id="262" w:name="_Toc989252"/>
      <w:r>
        <w:rPr>
          <w:rFonts w:ascii="宋体" w:hAnsi="宋体" w:cs="宋体"/>
          <w:b/>
          <w:bCs/>
          <w:szCs w:val="21"/>
        </w:rPr>
        <w:t>83、套期</w:t>
      </w:r>
      <w:bookmarkEnd w:id="262"/>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按照套期类别披露套期项目及相关套期工具、被套期风险的定性和定量信息：</w:t>
      </w:r>
    </w:p>
    <w:p w:rsidR="00C526AC" w:rsidRDefault="00E0175D">
      <w:pPr>
        <w:pStyle w:val="a3"/>
        <w:widowControl/>
      </w:pPr>
      <w:r>
        <w:rPr>
          <w:rFonts w:ascii="宋体" w:hAnsi="宋体" w:cs="宋体" w:hint="eastAsia"/>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263" w:name="_Toc989253"/>
      <w:r>
        <w:rPr>
          <w:rFonts w:ascii="宋体" w:hAnsi="宋体" w:cs="宋体"/>
          <w:b/>
          <w:bCs/>
          <w:szCs w:val="21"/>
        </w:rPr>
        <w:t>84、政府补助</w:t>
      </w:r>
      <w:bookmarkEnd w:id="263"/>
    </w:p>
    <w:p w:rsidR="00C526AC" w:rsidRDefault="00E0175D">
      <w:pPr>
        <w:keepNext/>
        <w:keepLines/>
        <w:spacing w:before="300" w:after="300" w:line="280" w:lineRule="exact"/>
        <w:jc w:val="left"/>
        <w:outlineLvl w:val="3"/>
        <w:rPr>
          <w:rFonts w:ascii="宋体" w:hAnsi="宋体" w:cs="宋体"/>
          <w:b/>
          <w:bCs/>
          <w:szCs w:val="21"/>
        </w:rPr>
      </w:pPr>
      <w:bookmarkStart w:id="264" w:name="_Toc989254"/>
      <w:r>
        <w:rPr>
          <w:rFonts w:ascii="宋体" w:hAnsi="宋体" w:cs="宋体"/>
          <w:b/>
          <w:bCs/>
          <w:szCs w:val="21"/>
        </w:rPr>
        <w:t>（1） 政府补助基本情况</w:t>
      </w:r>
      <w:bookmarkEnd w:id="26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rsidTr="007B6DF4">
        <w:trPr>
          <w:trHeight w:val="240"/>
        </w:trPr>
        <w:tc>
          <w:tcPr>
            <w:tcW w:w="2410" w:type="dxa"/>
            <w:tcBorders>
              <w:top w:val="single" w:sz="8"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列报项目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计入当期损益的金额</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计入其他收益的政府补助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24,267,340.56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24,267,340.56</w:t>
            </w:r>
          </w:p>
        </w:tc>
      </w:tr>
      <w:tr w:rsidR="00C526AC" w:rsidTr="007B6DF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冲减成本费用的政府补助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97,312,412.00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成本费用</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97,312,412.00</w:t>
            </w:r>
          </w:p>
        </w:tc>
      </w:tr>
      <w:tr w:rsidR="00C526AC" w:rsidTr="007B6DF4">
        <w:trPr>
          <w:trHeight w:val="240"/>
        </w:trPr>
        <w:tc>
          <w:tcPr>
            <w:tcW w:w="2410" w:type="dxa"/>
            <w:tcBorders>
              <w:top w:val="single" w:sz="2" w:space="0" w:color="auto"/>
              <w:left w:val="single" w:sz="2" w:space="0" w:color="auto"/>
              <w:bottom w:val="single" w:sz="8"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121,579,752.56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121,579,752.56</w:t>
            </w:r>
          </w:p>
        </w:tc>
      </w:tr>
    </w:tbl>
    <w:p w:rsidR="00C526AC" w:rsidRDefault="00E0175D">
      <w:pPr>
        <w:keepNext/>
        <w:keepLines/>
        <w:spacing w:before="300" w:after="300" w:line="280" w:lineRule="exact"/>
        <w:jc w:val="left"/>
        <w:outlineLvl w:val="3"/>
        <w:rPr>
          <w:rFonts w:ascii="宋体" w:hAnsi="宋体" w:cs="宋体"/>
          <w:b/>
          <w:bCs/>
          <w:szCs w:val="21"/>
        </w:rPr>
      </w:pPr>
      <w:bookmarkStart w:id="265" w:name="_Toc989255"/>
      <w:r>
        <w:rPr>
          <w:rFonts w:ascii="宋体" w:hAnsi="宋体" w:cs="宋体"/>
          <w:b/>
          <w:bCs/>
          <w:szCs w:val="21"/>
        </w:rPr>
        <w:t>（2） 政府补助退回情况</w:t>
      </w:r>
      <w:bookmarkEnd w:id="265"/>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66" w:name="_Toc989256"/>
      <w:r>
        <w:rPr>
          <w:rFonts w:ascii="宋体" w:hAnsi="宋体" w:cs="宋体"/>
          <w:b/>
          <w:bCs/>
          <w:szCs w:val="21"/>
        </w:rPr>
        <w:t>85、其他</w:t>
      </w:r>
      <w:bookmarkEnd w:id="266"/>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267" w:name="_Toc989257"/>
      <w:r>
        <w:rPr>
          <w:rFonts w:ascii="宋体" w:hAnsi="宋体" w:cs="宋体"/>
          <w:b/>
          <w:bCs/>
          <w:sz w:val="24"/>
          <w:szCs w:val="24"/>
        </w:rPr>
        <w:t>八、合并范围的变更</w:t>
      </w:r>
      <w:bookmarkEnd w:id="267"/>
    </w:p>
    <w:p w:rsidR="00C526AC" w:rsidRDefault="00E0175D">
      <w:pPr>
        <w:keepNext/>
        <w:keepLines/>
        <w:spacing w:before="300" w:after="300" w:line="280" w:lineRule="exact"/>
        <w:jc w:val="left"/>
        <w:outlineLvl w:val="2"/>
        <w:rPr>
          <w:rFonts w:ascii="宋体" w:hAnsi="宋体" w:cs="宋体"/>
          <w:b/>
          <w:bCs/>
          <w:szCs w:val="21"/>
        </w:rPr>
      </w:pPr>
      <w:bookmarkStart w:id="268" w:name="_Toc989258"/>
      <w:r>
        <w:rPr>
          <w:rFonts w:ascii="宋体" w:hAnsi="宋体" w:cs="宋体"/>
          <w:b/>
          <w:bCs/>
          <w:szCs w:val="21"/>
        </w:rPr>
        <w:t>1、非同一控制下企业合并</w:t>
      </w:r>
      <w:bookmarkEnd w:id="268"/>
    </w:p>
    <w:p w:rsidR="00C526AC" w:rsidRDefault="00E0175D">
      <w:pPr>
        <w:keepNext/>
        <w:keepLines/>
        <w:spacing w:before="300" w:after="300" w:line="280" w:lineRule="exact"/>
        <w:jc w:val="left"/>
        <w:outlineLvl w:val="3"/>
        <w:rPr>
          <w:rFonts w:ascii="宋体" w:hAnsi="宋体" w:cs="宋体"/>
          <w:b/>
          <w:bCs/>
          <w:sz w:val="18"/>
          <w:szCs w:val="18"/>
        </w:rPr>
      </w:pPr>
      <w:bookmarkStart w:id="269" w:name="_Toc989259"/>
      <w:r>
        <w:rPr>
          <w:rFonts w:ascii="宋体" w:hAnsi="宋体" w:cs="宋体"/>
          <w:b/>
          <w:bCs/>
          <w:sz w:val="18"/>
          <w:szCs w:val="18"/>
        </w:rPr>
        <w:t>（1） 本期发生的非同一控制下企业合并</w:t>
      </w:r>
      <w:bookmarkEnd w:id="269"/>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70" w:name="_Toc989260"/>
      <w:r>
        <w:rPr>
          <w:rFonts w:ascii="宋体" w:hAnsi="宋体" w:cs="宋体"/>
          <w:b/>
          <w:bCs/>
          <w:sz w:val="18"/>
          <w:szCs w:val="18"/>
        </w:rPr>
        <w:t>（2） 合并成本及商誉</w:t>
      </w:r>
      <w:bookmarkEnd w:id="270"/>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合并成本公允价值的确定方法、或有对价及其变动的说明：</w:t>
      </w:r>
      <w:r>
        <w:rPr>
          <w:rFonts w:ascii="宋体" w:hAnsi="宋体" w:cs="宋体" w:hint="eastAsia"/>
          <w:sz w:val="18"/>
          <w:szCs w:val="18"/>
        </w:rPr>
        <w:t>无。</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大额商誉形成的主要原因：</w:t>
      </w:r>
      <w:r>
        <w:rPr>
          <w:rFonts w:ascii="宋体" w:hAnsi="宋体" w:cs="宋体" w:hint="eastAsia"/>
          <w:sz w:val="18"/>
          <w:szCs w:val="18"/>
        </w:rPr>
        <w:t>无。</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71" w:name="_Toc989261"/>
      <w:r>
        <w:rPr>
          <w:rFonts w:ascii="宋体" w:hAnsi="宋体" w:cs="宋体"/>
          <w:b/>
          <w:bCs/>
          <w:sz w:val="18"/>
          <w:szCs w:val="18"/>
        </w:rPr>
        <w:t>（3） 被购买方于购买日可辨认资产、负债</w:t>
      </w:r>
      <w:bookmarkEnd w:id="271"/>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可辨认资产、负债公允价值的确定方法：</w:t>
      </w:r>
      <w:r>
        <w:rPr>
          <w:rFonts w:ascii="宋体" w:hAnsi="宋体" w:cs="宋体" w:hint="eastAsia"/>
          <w:sz w:val="18"/>
          <w:szCs w:val="18"/>
        </w:rPr>
        <w:t>无。</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企业合并中承担的被购买方的或有负债：</w:t>
      </w:r>
      <w:r>
        <w:rPr>
          <w:rFonts w:ascii="宋体" w:hAnsi="宋体" w:cs="宋体" w:hint="eastAsia"/>
          <w:sz w:val="18"/>
          <w:szCs w:val="18"/>
        </w:rPr>
        <w:t>无。</w:t>
      </w:r>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72" w:name="_Toc989262"/>
      <w:r>
        <w:rPr>
          <w:rFonts w:ascii="宋体" w:hAnsi="宋体" w:cs="宋体"/>
          <w:b/>
          <w:bCs/>
          <w:sz w:val="18"/>
          <w:szCs w:val="18"/>
        </w:rPr>
        <w:t>（4） 购买日之前持有的股权按照公允价值重新计量产生的利得或损失</w:t>
      </w:r>
      <w:bookmarkEnd w:id="272"/>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是否存在通过多次交易分步实现企业合并且在报告期内取得控制权的交易</w:t>
      </w:r>
    </w:p>
    <w:p w:rsidR="00C526AC" w:rsidRDefault="00E0175D">
      <w:pPr>
        <w:spacing w:line="240" w:lineRule="exact"/>
        <w:jc w:val="left"/>
        <w:rPr>
          <w:rFonts w:ascii="宋体" w:hAnsi="宋体" w:cs="宋体"/>
          <w:sz w:val="18"/>
          <w:szCs w:val="18"/>
        </w:rPr>
      </w:pPr>
      <w:r>
        <w:rPr>
          <w:rFonts w:ascii="宋体" w:hAnsi="宋体" w:cs="宋体"/>
          <w:sz w:val="18"/>
          <w:szCs w:val="18"/>
        </w:rPr>
        <w:t xml:space="preserve">□是 </w:t>
      </w:r>
      <w:r>
        <w:rPr>
          <w:rFonts w:ascii="宋体" w:hAnsi="宋体" w:cs="宋体"/>
          <w:sz w:val="18"/>
          <w:szCs w:val="18"/>
        </w:rPr>
        <w:sym w:font="Wingdings 2" w:char="F052"/>
      </w:r>
      <w:r>
        <w:rPr>
          <w:rFonts w:ascii="宋体" w:hAnsi="宋体" w:cs="宋体"/>
          <w:sz w:val="18"/>
          <w:szCs w:val="18"/>
        </w:rPr>
        <w:t>否</w:t>
      </w:r>
    </w:p>
    <w:p w:rsidR="00C526AC" w:rsidRDefault="00E0175D">
      <w:pPr>
        <w:keepNext/>
        <w:keepLines/>
        <w:spacing w:before="300" w:after="300" w:line="280" w:lineRule="exact"/>
        <w:jc w:val="left"/>
        <w:outlineLvl w:val="3"/>
        <w:rPr>
          <w:rFonts w:ascii="宋体" w:hAnsi="宋体" w:cs="宋体"/>
          <w:b/>
          <w:bCs/>
          <w:sz w:val="18"/>
          <w:szCs w:val="18"/>
        </w:rPr>
      </w:pPr>
      <w:bookmarkStart w:id="273" w:name="_Toc989263"/>
      <w:r>
        <w:rPr>
          <w:rFonts w:ascii="宋体" w:hAnsi="宋体" w:cs="宋体"/>
          <w:b/>
          <w:bCs/>
          <w:sz w:val="18"/>
          <w:szCs w:val="18"/>
        </w:rPr>
        <w:t>（5） 购买日或合并当期期末无法合理确定合并对价或被购买方可辨认资产、负债公允价值的相关说明</w:t>
      </w:r>
      <w:bookmarkEnd w:id="273"/>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74" w:name="_Toc989264"/>
      <w:r>
        <w:rPr>
          <w:rFonts w:ascii="宋体" w:hAnsi="宋体" w:cs="宋体"/>
          <w:b/>
          <w:bCs/>
          <w:sz w:val="18"/>
          <w:szCs w:val="18"/>
        </w:rPr>
        <w:t>（6） 其他说明</w:t>
      </w:r>
      <w:bookmarkEnd w:id="274"/>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75" w:name="_Toc989265"/>
      <w:r>
        <w:rPr>
          <w:rFonts w:ascii="宋体" w:hAnsi="宋体" w:cs="宋体"/>
          <w:b/>
          <w:bCs/>
          <w:szCs w:val="21"/>
        </w:rPr>
        <w:t>2、同一控制下企业合并</w:t>
      </w:r>
      <w:bookmarkEnd w:id="275"/>
    </w:p>
    <w:p w:rsidR="00C526AC" w:rsidRDefault="00E0175D">
      <w:pPr>
        <w:keepNext/>
        <w:keepLines/>
        <w:spacing w:before="300" w:after="300" w:line="280" w:lineRule="exact"/>
        <w:jc w:val="left"/>
        <w:outlineLvl w:val="3"/>
        <w:rPr>
          <w:rFonts w:ascii="宋体" w:hAnsi="宋体" w:cs="宋体"/>
          <w:b/>
          <w:bCs/>
          <w:sz w:val="18"/>
          <w:szCs w:val="18"/>
        </w:rPr>
      </w:pPr>
      <w:bookmarkStart w:id="276" w:name="_Toc989266"/>
      <w:r>
        <w:rPr>
          <w:rFonts w:ascii="宋体" w:hAnsi="宋体" w:cs="宋体"/>
          <w:b/>
          <w:bCs/>
          <w:sz w:val="18"/>
          <w:szCs w:val="18"/>
        </w:rPr>
        <w:t>（1） 本期发生的同一控制下企业合并</w:t>
      </w:r>
      <w:bookmarkEnd w:id="276"/>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77" w:name="_Toc989267"/>
      <w:r>
        <w:rPr>
          <w:rFonts w:ascii="宋体" w:hAnsi="宋体" w:cs="宋体"/>
          <w:b/>
          <w:bCs/>
          <w:sz w:val="18"/>
          <w:szCs w:val="18"/>
        </w:rPr>
        <w:t>（2） 合并成本</w:t>
      </w:r>
      <w:bookmarkEnd w:id="277"/>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或有对价及其变动的说明：</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r w:rsidR="00C41BCA">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78" w:name="_Toc989268"/>
      <w:r>
        <w:rPr>
          <w:rFonts w:ascii="宋体" w:hAnsi="宋体" w:cs="宋体"/>
          <w:b/>
          <w:bCs/>
          <w:sz w:val="18"/>
          <w:szCs w:val="18"/>
        </w:rPr>
        <w:t>（3） 合并日被合并方资产、负债的账面价值</w:t>
      </w:r>
      <w:bookmarkEnd w:id="278"/>
    </w:p>
    <w:p w:rsidR="00C526AC" w:rsidRPr="00C41BCA" w:rsidRDefault="00E0175D" w:rsidP="00C41BCA">
      <w:pPr>
        <w:spacing w:before="100" w:after="100" w:line="240" w:lineRule="exact"/>
        <w:jc w:val="left"/>
        <w:rPr>
          <w:rFonts w:ascii="宋体" w:hAnsi="宋体" w:cs="宋体"/>
          <w:sz w:val="18"/>
          <w:szCs w:val="18"/>
        </w:rPr>
      </w:pPr>
      <w:r>
        <w:rPr>
          <w:rFonts w:ascii="宋体" w:hAnsi="宋体" w:cs="宋体"/>
          <w:sz w:val="18"/>
          <w:szCs w:val="18"/>
        </w:rPr>
        <w:t>企业合并中承担的被合并方的或有负债：</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p>
    <w:p w:rsidR="00C526AC" w:rsidRDefault="00E0175D">
      <w:pPr>
        <w:keepNext/>
        <w:keepLines/>
        <w:spacing w:before="300" w:after="300" w:line="280" w:lineRule="exact"/>
        <w:jc w:val="left"/>
        <w:outlineLvl w:val="2"/>
        <w:rPr>
          <w:rFonts w:ascii="宋体" w:hAnsi="宋体" w:cs="宋体"/>
          <w:b/>
          <w:bCs/>
          <w:szCs w:val="21"/>
        </w:rPr>
      </w:pPr>
      <w:bookmarkStart w:id="279" w:name="_Toc989269"/>
      <w:r>
        <w:rPr>
          <w:rFonts w:ascii="宋体" w:hAnsi="宋体" w:cs="宋体"/>
          <w:b/>
          <w:bCs/>
          <w:szCs w:val="21"/>
        </w:rPr>
        <w:t>3、反向购买</w:t>
      </w:r>
      <w:bookmarkEnd w:id="279"/>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交易基本信息、交易构成反向购买的依据、上市公司保留的资产、负债是否构成业务及其依据、合并成本的确定、按照权益性交易处理时调整权益的金额及其计算：</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80" w:name="_Toc989270"/>
      <w:r>
        <w:rPr>
          <w:rFonts w:ascii="宋体" w:hAnsi="宋体" w:cs="宋体"/>
          <w:b/>
          <w:bCs/>
          <w:szCs w:val="21"/>
        </w:rPr>
        <w:t>4、处置子公司</w:t>
      </w:r>
      <w:bookmarkEnd w:id="280"/>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是否存在单次处置对子公司投资即丧失控制权的情形</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sym w:font="Wingdings 2" w:char="F052"/>
      </w:r>
      <w:r>
        <w:rPr>
          <w:rFonts w:ascii="宋体" w:hAnsi="宋体" w:cs="宋体"/>
          <w:sz w:val="18"/>
          <w:szCs w:val="18"/>
        </w:rPr>
        <w:t>是 □否</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2"/>
        <w:gridCol w:w="742"/>
        <w:gridCol w:w="742"/>
        <w:gridCol w:w="742"/>
        <w:gridCol w:w="742"/>
        <w:gridCol w:w="742"/>
        <w:gridCol w:w="741"/>
        <w:gridCol w:w="741"/>
        <w:gridCol w:w="741"/>
        <w:gridCol w:w="741"/>
        <w:gridCol w:w="741"/>
        <w:gridCol w:w="741"/>
        <w:gridCol w:w="741"/>
      </w:tblGrid>
      <w:tr w:rsidR="00C526AC">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子公司名称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股权处置价款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股权处置比例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股权处置方式</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丧失控制权的时点</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丧失控制权时点的确定依据</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处置价款与处置投资对应的合并财务报表层面享有该子公司净资产份额的差额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丧失控制权之日剩余股权的比例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丧失控制权之日剩余股权的账面价值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丧失控制权之日剩余股权的公允价值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按照公允价值重新计量剩余股权产生的利得或损失</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丧失控制权之日剩余股权公允价值的确定方法及主要假设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与原子公司股权投资相关的其他综合收益转入投资损益的金额</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浙江易孚电子商务有限公司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注销</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2022年03月28日</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工商注销</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注销</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2022年01月12日</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工商注销</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是否存在通过多次交易分步处置对子公司投资且在本期丧失控制权的情形</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□是 </w:t>
      </w:r>
      <w:r>
        <w:rPr>
          <w:rFonts w:ascii="宋体" w:hAnsi="宋体" w:cs="宋体"/>
          <w:sz w:val="18"/>
          <w:szCs w:val="18"/>
        </w:rPr>
        <w:sym w:font="Wingdings 2" w:char="F052"/>
      </w:r>
      <w:r>
        <w:rPr>
          <w:rFonts w:ascii="宋体" w:hAnsi="宋体" w:cs="宋体"/>
          <w:sz w:val="18"/>
          <w:szCs w:val="18"/>
        </w:rPr>
        <w:t>否</w:t>
      </w:r>
    </w:p>
    <w:p w:rsidR="00C526AC" w:rsidRDefault="00E0175D">
      <w:pPr>
        <w:keepNext/>
        <w:keepLines/>
        <w:spacing w:before="300" w:after="300" w:line="280" w:lineRule="exact"/>
        <w:jc w:val="left"/>
        <w:outlineLvl w:val="2"/>
        <w:rPr>
          <w:rFonts w:ascii="宋体" w:hAnsi="宋体" w:cs="宋体"/>
          <w:b/>
          <w:bCs/>
          <w:szCs w:val="21"/>
        </w:rPr>
      </w:pPr>
      <w:bookmarkStart w:id="281" w:name="_Toc989271"/>
      <w:r>
        <w:rPr>
          <w:rFonts w:ascii="宋体" w:hAnsi="宋体" w:cs="宋体"/>
          <w:b/>
          <w:bCs/>
          <w:szCs w:val="21"/>
        </w:rPr>
        <w:t>5、其他原因的合并范围变动</w:t>
      </w:r>
      <w:bookmarkEnd w:id="281"/>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说明其他原因导致的合并范围变动（如，新设子公司、清算子公司等）及其相关情况：</w:t>
      </w:r>
    </w:p>
    <w:tbl>
      <w:tblPr>
        <w:tblW w:w="9508" w:type="dxa"/>
        <w:tblCellMar>
          <w:left w:w="0" w:type="dxa"/>
          <w:right w:w="0" w:type="dxa"/>
        </w:tblCellMar>
        <w:tblLook w:val="04A0" w:firstRow="1" w:lastRow="0" w:firstColumn="1" w:lastColumn="0" w:noHBand="0" w:noVBand="1"/>
      </w:tblPr>
      <w:tblGrid>
        <w:gridCol w:w="4080"/>
        <w:gridCol w:w="5428"/>
      </w:tblGrid>
      <w:tr w:rsidR="00C526AC" w:rsidTr="007B6DF4">
        <w:trPr>
          <w:trHeight w:val="675"/>
        </w:trPr>
        <w:tc>
          <w:tcPr>
            <w:tcW w:w="4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公司名称</w:t>
            </w:r>
          </w:p>
        </w:tc>
        <w:tc>
          <w:tcPr>
            <w:tcW w:w="5428" w:type="dxa"/>
            <w:tcBorders>
              <w:top w:val="single" w:sz="8" w:space="0" w:color="auto"/>
              <w:left w:val="nil"/>
              <w:bottom w:val="single" w:sz="8" w:space="0" w:color="auto"/>
              <w:right w:val="single" w:sz="8" w:space="0" w:color="auto"/>
            </w:tcBorders>
            <w:shd w:val="clear" w:color="auto" w:fill="D3D3D3"/>
            <w:vAlign w:val="center"/>
          </w:tcPr>
          <w:p w:rsidR="00C526AC" w:rsidRDefault="00E0175D">
            <w:pPr>
              <w:widowControl/>
              <w:jc w:val="center"/>
              <w:textAlignment w:val="center"/>
              <w:rPr>
                <w:rFonts w:ascii="宋体" w:hAnsi="宋体" w:cs="宋体"/>
                <w:sz w:val="18"/>
                <w:szCs w:val="18"/>
              </w:rPr>
            </w:pPr>
            <w:r>
              <w:rPr>
                <w:rFonts w:ascii="宋体" w:hAnsi="宋体" w:cs="宋体" w:hint="eastAsia"/>
                <w:sz w:val="18"/>
                <w:szCs w:val="18"/>
                <w:lang w:bidi="ar"/>
              </w:rPr>
              <w:t>其他原因导致子公司变动</w:t>
            </w:r>
          </w:p>
        </w:tc>
      </w:tr>
      <w:tr w:rsidR="00C526AC" w:rsidTr="007B6DF4">
        <w:trPr>
          <w:trHeight w:val="285"/>
        </w:trPr>
        <w:tc>
          <w:tcPr>
            <w:tcW w:w="4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26AC" w:rsidRDefault="00E0175D">
            <w:pPr>
              <w:widowControl/>
              <w:jc w:val="left"/>
              <w:textAlignment w:val="center"/>
              <w:rPr>
                <w:rFonts w:ascii="宋体" w:hAnsi="宋体" w:cs="宋体"/>
                <w:sz w:val="20"/>
                <w:szCs w:val="20"/>
              </w:rPr>
            </w:pPr>
            <w:r>
              <w:rPr>
                <w:rFonts w:ascii="宋体" w:hAnsi="宋体" w:cs="宋体" w:hint="eastAsia"/>
                <w:sz w:val="20"/>
                <w:szCs w:val="20"/>
                <w:lang w:bidi="ar"/>
              </w:rPr>
              <w:t>金华市菁英物业发展有限公司</w:t>
            </w:r>
          </w:p>
        </w:tc>
        <w:tc>
          <w:tcPr>
            <w:tcW w:w="5428" w:type="dxa"/>
            <w:tcBorders>
              <w:top w:val="nil"/>
              <w:left w:val="nil"/>
              <w:bottom w:val="single" w:sz="8" w:space="0" w:color="auto"/>
              <w:right w:val="single" w:sz="8" w:space="0" w:color="auto"/>
            </w:tcBorders>
            <w:shd w:val="clear" w:color="auto" w:fill="FFFFFF"/>
            <w:vAlign w:val="center"/>
          </w:tcPr>
          <w:p w:rsidR="00C526AC" w:rsidRDefault="00E0175D">
            <w:pPr>
              <w:widowControl/>
              <w:jc w:val="left"/>
              <w:textAlignment w:val="center"/>
              <w:rPr>
                <w:rFonts w:ascii="宋体" w:hAnsi="宋体" w:cs="宋体"/>
                <w:sz w:val="20"/>
                <w:szCs w:val="20"/>
              </w:rPr>
            </w:pPr>
            <w:r>
              <w:rPr>
                <w:rFonts w:ascii="宋体" w:hAnsi="宋体" w:cs="宋体" w:hint="eastAsia"/>
                <w:sz w:val="20"/>
                <w:szCs w:val="20"/>
                <w:lang w:bidi="ar"/>
              </w:rPr>
              <w:t>新设</w:t>
            </w:r>
          </w:p>
        </w:tc>
      </w:tr>
      <w:tr w:rsidR="00C526AC" w:rsidTr="007B6DF4">
        <w:trPr>
          <w:trHeight w:val="285"/>
        </w:trPr>
        <w:tc>
          <w:tcPr>
            <w:tcW w:w="408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C526AC" w:rsidRDefault="00E0175D">
            <w:pPr>
              <w:widowControl/>
              <w:jc w:val="left"/>
              <w:textAlignment w:val="center"/>
              <w:rPr>
                <w:rFonts w:ascii="宋体" w:hAnsi="宋体" w:cs="宋体"/>
                <w:sz w:val="20"/>
                <w:szCs w:val="20"/>
              </w:rPr>
            </w:pPr>
            <w:r>
              <w:rPr>
                <w:rFonts w:ascii="宋体" w:hAnsi="宋体" w:cs="宋体" w:hint="eastAsia"/>
                <w:sz w:val="20"/>
                <w:szCs w:val="20"/>
                <w:lang w:bidi="ar"/>
              </w:rPr>
              <w:t>安徽博忆纺织科技有限公司</w:t>
            </w:r>
          </w:p>
        </w:tc>
        <w:tc>
          <w:tcPr>
            <w:tcW w:w="5428" w:type="dxa"/>
            <w:tcBorders>
              <w:top w:val="nil"/>
              <w:left w:val="nil"/>
              <w:bottom w:val="single" w:sz="8" w:space="0" w:color="auto"/>
              <w:right w:val="single" w:sz="8" w:space="0" w:color="auto"/>
            </w:tcBorders>
            <w:shd w:val="clear" w:color="auto" w:fill="FFFFFF"/>
            <w:vAlign w:val="center"/>
          </w:tcPr>
          <w:p w:rsidR="00C526AC" w:rsidRDefault="00E0175D">
            <w:pPr>
              <w:widowControl/>
              <w:jc w:val="left"/>
              <w:textAlignment w:val="center"/>
              <w:rPr>
                <w:rFonts w:ascii="宋体" w:hAnsi="宋体" w:cs="宋体"/>
                <w:sz w:val="20"/>
                <w:szCs w:val="20"/>
              </w:rPr>
            </w:pPr>
            <w:r>
              <w:rPr>
                <w:rFonts w:ascii="宋体" w:hAnsi="宋体" w:cs="宋体" w:hint="eastAsia"/>
                <w:sz w:val="20"/>
                <w:szCs w:val="20"/>
                <w:lang w:bidi="ar"/>
              </w:rPr>
              <w:t>新设</w:t>
            </w:r>
          </w:p>
        </w:tc>
      </w:tr>
      <w:tr w:rsidR="00C526AC" w:rsidTr="007B6DF4">
        <w:trPr>
          <w:trHeight w:val="285"/>
        </w:trPr>
        <w:tc>
          <w:tcPr>
            <w:tcW w:w="408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C526AC" w:rsidRDefault="00E0175D">
            <w:pPr>
              <w:widowControl/>
              <w:jc w:val="left"/>
              <w:textAlignment w:val="center"/>
              <w:rPr>
                <w:rFonts w:ascii="宋体" w:hAnsi="宋体" w:cs="宋体"/>
                <w:sz w:val="20"/>
                <w:szCs w:val="20"/>
              </w:rPr>
            </w:pPr>
            <w:r>
              <w:rPr>
                <w:rFonts w:ascii="宋体" w:hAnsi="宋体" w:cs="宋体" w:hint="eastAsia"/>
                <w:sz w:val="20"/>
                <w:szCs w:val="20"/>
                <w:lang w:bidi="ar"/>
              </w:rPr>
              <w:t>阿克苏华孚新能源有限公司</w:t>
            </w:r>
          </w:p>
        </w:tc>
        <w:tc>
          <w:tcPr>
            <w:tcW w:w="5428" w:type="dxa"/>
            <w:tcBorders>
              <w:top w:val="nil"/>
              <w:left w:val="nil"/>
              <w:bottom w:val="single" w:sz="8" w:space="0" w:color="auto"/>
              <w:right w:val="single" w:sz="8" w:space="0" w:color="auto"/>
            </w:tcBorders>
            <w:shd w:val="clear" w:color="auto" w:fill="FFFFFF"/>
            <w:vAlign w:val="center"/>
          </w:tcPr>
          <w:p w:rsidR="00C526AC" w:rsidRDefault="00E0175D">
            <w:pPr>
              <w:widowControl/>
              <w:jc w:val="left"/>
              <w:textAlignment w:val="center"/>
              <w:rPr>
                <w:rFonts w:ascii="宋体" w:hAnsi="宋体" w:cs="宋体"/>
                <w:sz w:val="20"/>
                <w:szCs w:val="20"/>
              </w:rPr>
            </w:pPr>
            <w:r>
              <w:rPr>
                <w:rFonts w:ascii="宋体" w:hAnsi="宋体" w:cs="宋体" w:hint="eastAsia"/>
                <w:sz w:val="20"/>
                <w:szCs w:val="20"/>
                <w:lang w:bidi="ar"/>
              </w:rPr>
              <w:t>新设</w:t>
            </w:r>
          </w:p>
        </w:tc>
      </w:tr>
    </w:tbl>
    <w:p w:rsidR="00C526AC" w:rsidRDefault="00E0175D">
      <w:pPr>
        <w:pStyle w:val="a3"/>
        <w:widowControl/>
      </w:pPr>
      <w:r>
        <w:rPr>
          <w:rFonts w:ascii="宋体" w:hAnsi="宋体" w:cs="宋体" w:hint="eastAsia"/>
          <w:sz w:val="18"/>
          <w:szCs w:val="18"/>
        </w:rPr>
        <w:t> </w:t>
      </w:r>
    </w:p>
    <w:p w:rsidR="00C526AC" w:rsidRDefault="00E0175D">
      <w:pPr>
        <w:keepNext/>
        <w:keepLines/>
        <w:spacing w:before="300" w:after="300" w:line="280" w:lineRule="exact"/>
        <w:jc w:val="left"/>
        <w:outlineLvl w:val="2"/>
        <w:rPr>
          <w:rFonts w:ascii="宋体" w:hAnsi="宋体" w:cs="宋体"/>
          <w:b/>
          <w:bCs/>
          <w:szCs w:val="21"/>
        </w:rPr>
      </w:pPr>
      <w:bookmarkStart w:id="282" w:name="_Toc989272"/>
      <w:r>
        <w:rPr>
          <w:rFonts w:ascii="宋体" w:hAnsi="宋体" w:cs="宋体"/>
          <w:b/>
          <w:bCs/>
          <w:szCs w:val="21"/>
        </w:rPr>
        <w:t>6、其他</w:t>
      </w:r>
      <w:bookmarkEnd w:id="282"/>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283" w:name="_Toc989273"/>
      <w:r>
        <w:rPr>
          <w:rFonts w:ascii="宋体" w:hAnsi="宋体" w:cs="宋体"/>
          <w:b/>
          <w:bCs/>
          <w:sz w:val="24"/>
          <w:szCs w:val="24"/>
        </w:rPr>
        <w:t>九、在其他主体中的权益</w:t>
      </w:r>
      <w:bookmarkEnd w:id="283"/>
    </w:p>
    <w:p w:rsidR="00C526AC" w:rsidRDefault="00E0175D">
      <w:pPr>
        <w:keepNext/>
        <w:keepLines/>
        <w:spacing w:before="300" w:after="300" w:line="280" w:lineRule="exact"/>
        <w:jc w:val="left"/>
        <w:outlineLvl w:val="2"/>
        <w:rPr>
          <w:rFonts w:ascii="宋体" w:hAnsi="宋体" w:cs="宋体"/>
          <w:b/>
          <w:bCs/>
          <w:szCs w:val="21"/>
        </w:rPr>
      </w:pPr>
      <w:bookmarkStart w:id="284" w:name="_Toc989274"/>
      <w:r>
        <w:rPr>
          <w:rFonts w:ascii="宋体" w:hAnsi="宋体" w:cs="宋体"/>
          <w:b/>
          <w:bCs/>
          <w:szCs w:val="21"/>
        </w:rPr>
        <w:t>1、在子公司中的权益</w:t>
      </w:r>
      <w:bookmarkEnd w:id="284"/>
    </w:p>
    <w:p w:rsidR="00C526AC" w:rsidRDefault="00E0175D">
      <w:pPr>
        <w:keepNext/>
        <w:keepLines/>
        <w:spacing w:before="300" w:after="300" w:line="280" w:lineRule="exact"/>
        <w:jc w:val="left"/>
        <w:outlineLvl w:val="3"/>
        <w:rPr>
          <w:rFonts w:ascii="宋体" w:hAnsi="宋体" w:cs="宋体"/>
          <w:b/>
          <w:bCs/>
          <w:sz w:val="18"/>
          <w:szCs w:val="18"/>
        </w:rPr>
      </w:pPr>
      <w:bookmarkStart w:id="285" w:name="_Toc989275"/>
      <w:r>
        <w:rPr>
          <w:rFonts w:ascii="宋体" w:hAnsi="宋体" w:cs="宋体"/>
          <w:b/>
          <w:bCs/>
          <w:sz w:val="18"/>
          <w:szCs w:val="18"/>
        </w:rPr>
        <w:t>（1） 企业集团的构成</w:t>
      </w:r>
      <w:bookmarkEnd w:id="28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子公司名称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取得方式</w:t>
            </w:r>
          </w:p>
        </w:tc>
      </w:tr>
      <w:tr w:rsidR="00C526AC">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宁波华孚东浩实业有限公司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浙江宁波</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浙江宁波</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绍兴市上虞华孚物流有限公司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物流业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九江中浩纺织有限公司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江西省九江市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江西省九江市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阿克苏华孚色纺有限公司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新疆六孚纺织工业园有限公司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新疆五家渠市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新疆五家渠市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浙江昇孚贸易有限公司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79.80%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顺道（越南）实业独资有限公司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越南隆安省</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越南隆安省</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深圳华孚网链投资有限公司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新疆华孚色纺集团有限公司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纺织制造业等</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深圳市华孚进出口有限公司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浙江华孚色纺有限公司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浙江省上虞市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浙江省上虞市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26.90%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73.10%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宁海华孚纺织有限公司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余姚华孚纺织有限公司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浙江省余姚市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浙江省余姚市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平湖市华孚金瓶纺织有限公司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浙江省平湖市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浙江省平湖市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浙江缙云华孚纺织有限公司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浙江省丽水市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浙江省丽水市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70.30%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浙江金华华孚纺织有限公司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37.50%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62.50%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浙江聚丰贸易有限公司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阿瓦提华孚纺织有限公司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新疆阿瓦提市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新疆阿瓦提市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石河子标配纤维有限公司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淮北市华孚纺织有限公司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华孚澳门离岸商业服务有限公司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澳门</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澳门</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新疆天宏新八棉产业有限公司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新疆奎屯市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新疆奎屯市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阿克苏标信纤维有限公司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新疆天孚棉花供应链股份有限公司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浙江服人网络科技有限公司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浙江社标纤维有限公司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浙江绍省兴市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浙江维新贸易有限公司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浙江易孚贸易有限公司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浙江菁英电商管理服务有限公司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上海华孚色纺贸易有限公司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新疆棉花产业集团伽师棉业有限公司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新疆棉花产业集团岳普湖棉业有限公司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新疆棉花产业集团泽普棉业有限公司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新疆棉花产业（集团）叶城棉业有限责任公司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浙江菁英创业服务有限公司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新疆棉花交易市场有限责任公司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70.40%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新疆华孚棉业集团有限公司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阿克苏银星物流有限公司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物流运输业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浙江万服生长投资管理有限公司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浙江省舟山市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浙江省舟山市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淮北华孚供应链管理有限公司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阿大纺织股份有限公司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阿瓦提银花棉业有限责任公司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库车银花棉业有限责任公司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沙雅银花棉业有限责任公司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新和银花棉业有限责任公司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库车县纵横棉业有限责任公司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库车县恒丰棉业有限责任公司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呼图壁县宏盛棉业有限公司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新疆昌吉州</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新疆昌吉州</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新疆华孚恒丰棉业有限公司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乌什县阿大纺织有限公司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新疆阿克苏乌什县</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新疆阿克苏乌什县</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石河子华孚宏盛棉业有限公司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香港天成贸易有限公司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浙江双琪进出口有限公司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浙江诸暨科宁投资有限公司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新疆科宁针纺科技有限公司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诸暨广昊纺织有限公司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非同一控制下企业合并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浙江阿大贸易有限公司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金华市菁英职业技能培训学校有限公司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综合服务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胡杨河华孚宏盛棉业有限公司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新疆胡杨河市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新疆胡杨河市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耀佳国际新加坡有限公司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新加坡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新加坡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新疆阿大数字科技产业园有限公司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浙江恒孚贸易有限公司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金华市菁英网红品牌管理有限公司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新疆天路制造有限公司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61.34%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38.66%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越南隆安英鸿投资股份有限公司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越南</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浙江阿大互联科技股份有限公司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软件和信息技术服务业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99.00%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浙江铭孚针纺有限公司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上海清澄时尚生活用品有限公司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上海市上海市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上海市上海市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66.70%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江苏清澄家生活用品有限公司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江苏省无锡市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江苏省无锡市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66.70%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浙江鲲驰互联科技有限公司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科技推广和应用服务业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诸暨中昊投资管理有限公司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诸暨市鲲驰投资管理合伙企业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诸暨市卡拉美拉科技有限公司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诸暨市湛泸电子商务有限公司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诸暨市渊虹电子商务有限公司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诸暨市雪霁电子商务有限公司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诸暨市承影电子商务有限公司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诸暨市纯钧电子商务有限公司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杭州一酷服饰有限公司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48.65%</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杭州棉格品牌管理有限公司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诸暨市龙渊电子商务有限公司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诸暨市胜跃纺织有限公司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诸暨市新亭电子商务有限公司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诸暨市赤霄电子商务有限公司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非同控合并</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纺织业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金华市菁英物业发展有限公司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阿克苏华孚新能源有限公司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电力、热力生产和供应业</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投资设立</w:t>
            </w: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在子公司的持股比例不同于表决权比例的说明：</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持有半数或以下表决权但仍控制被投资单位、以及持有半数以上表决权但不控制被投资单位的依据：</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对于纳入合并范围的重要的结构化主体，控制的依据：</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确定公司是代理人还是委托人的依据：</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86" w:name="_Toc989276"/>
      <w:r>
        <w:rPr>
          <w:rFonts w:ascii="宋体" w:hAnsi="宋体" w:cs="宋体"/>
          <w:b/>
          <w:bCs/>
          <w:sz w:val="18"/>
          <w:szCs w:val="18"/>
        </w:rPr>
        <w:t>（2） 重要的非全资子公司</w:t>
      </w:r>
      <w:bookmarkEnd w:id="28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期末少数股东权益余额</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平湖华孚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1,003,487.11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25,586,463.46</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卡拉美拉</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1,311,992.49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16,775,387.87</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菁英电商</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513,285.65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12,812,314.24</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浙江博忆</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3,995,948.45</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48,411,675.67</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新疆天孚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-361,726.51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105,024,792.27</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-3,590,927.31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16,742,502.82</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新疆棉花交易市场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931,530.01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23,799,922.11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伽师棉业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3,681,348.86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40,772,982.06</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岳普湖棉业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2,203,469.46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29,909,889.57</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银星物流</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3,915,331.96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61,562,523.30</w:t>
            </w: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子公司少数股东的持股比例不同于表决权比例的说明：</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87" w:name="_Toc989277"/>
      <w:r>
        <w:rPr>
          <w:rFonts w:ascii="宋体" w:hAnsi="宋体" w:cs="宋体"/>
          <w:b/>
          <w:bCs/>
          <w:sz w:val="18"/>
          <w:szCs w:val="18"/>
        </w:rPr>
        <w:t>（3） 重要非全资子公司的主要财务信息</w:t>
      </w:r>
      <w:bookmarkEnd w:id="28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1"/>
        <w:gridCol w:w="741"/>
        <w:gridCol w:w="741"/>
        <w:gridCol w:w="741"/>
        <w:gridCol w:w="741"/>
        <w:gridCol w:w="741"/>
        <w:gridCol w:w="744"/>
        <w:gridCol w:w="741"/>
        <w:gridCol w:w="741"/>
        <w:gridCol w:w="741"/>
        <w:gridCol w:w="741"/>
        <w:gridCol w:w="741"/>
        <w:gridCol w:w="744"/>
      </w:tblGrid>
      <w:tr w:rsidR="00C526AC">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负债合计</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406,898,332.30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307,285,034.60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714,183,366.90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663,310,496.25</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138,013.63</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663,448,509.88</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195,531,200.00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322,660,900.00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518,192,000.00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456,310,500.00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265,100.00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456,575,600.00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平湖华孚</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131,549,689.96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70,080,833.12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201,630,523.08</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83,365,525.59</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48,139,257.87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131,504,783.46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58,556,300.00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71,673,000.00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130,229,300.00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14,915,700.00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48,139,300.00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63,055,000.00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新疆天孚</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86,342,688.01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279,977,064.09</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366,319,752.10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151,983,441.34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151,983,441.34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95,376,000.00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279,981,100.00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375,357,100.00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160,282,600.00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160,282,600.00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菁英电商</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19,295,555.44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15,014,441.74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34,309,997.18</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8,162,417.11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8,162,417.11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17,189,300.00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16,082,200.00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33,271,500.00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8,171,000.00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8,171,400.00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新疆棉花交易市场</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307,431,901.01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1,525,797.16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308,957,698.17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221,396,193.32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221,396,193.32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443,194,500.00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1,531,300.00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444,725,700.00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365,713,700.00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365,713,700.00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银星物流</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51,101,156.17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83,053,192.49</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134,154,348.66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11,241,699.47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11,241,699.47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52,660,500.00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86,147,300.00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138,807,800.00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19,308,000.00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19,308,000.00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伽师棉业</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607,061,338.96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65,090,601.82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672,151,940.78</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515,727,884.32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515,727,884.32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1,171,633,700.00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67,888,000.00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123,952.17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1,090,610,600.00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109,061.06</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岳普湖棉业</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675,778,796.12</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77,543,967.61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753,322,763.73</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609,237,764.87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609,237,764.87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913,365,400.00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79,684,100.00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993,049,600.00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853,461,400.00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853,461,400.00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浙江博忆</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137,241,258.35</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68,469,413.96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205,710,672.31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157,098,261.34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8,346,747.07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165,445,008.41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146,441,300.00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94,107,600.00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240,548,900.00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141,557,800.00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8,346,700.00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149,904,600.00</w:t>
            </w:r>
          </w:p>
        </w:tc>
      </w:tr>
      <w:tr w:rsidR="00C526AC">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卡拉美拉</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95,082,004.97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23,512,097.46</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118,594,102.43</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51,092,395.04</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9,022,535.87</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60,114,930.91</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118,303,300.00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14,370,200.00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132,673,500.00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56,955,800.00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6,300,000.00</w:t>
            </w:r>
          </w:p>
        </w:tc>
        <w:tc>
          <w:tcPr>
            <w:tcW w:w="74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63,255,800.00</w:t>
            </w:r>
          </w:p>
        </w:tc>
      </w:tr>
    </w:tbl>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1071"/>
        <w:gridCol w:w="1071"/>
        <w:gridCol w:w="1071"/>
        <w:gridCol w:w="1071"/>
        <w:gridCol w:w="1071"/>
        <w:gridCol w:w="1071"/>
        <w:gridCol w:w="1071"/>
        <w:gridCol w:w="1071"/>
      </w:tblGrid>
      <w:tr w:rsidR="00C526AC">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经营活动现金流量</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535,637,324.99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7,512,956.85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7,512,956.85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428,936,062.65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313,193,350.02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2,934,200.34</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2,934,200.34</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154,008,566.49</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平湖华孚</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95,948,114.97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2,951,432.67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2,951,432.67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-899,307.95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87,159,024.17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2,487,844.40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2,487,844.40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-392,543.79</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新疆天孚</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17,902,444.10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-738,217.37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-738,217.37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-905,800.28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73,188,702.01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-8,858,563.70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-8,858,563.70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-3,761,851.98</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菁英电商</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14,437,949.15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1,047,521.73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1,047,521.73</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794,228.00</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9,697,963.37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2,273,457.58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2,273,457.58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3,872,316.99</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新疆棉花交易市场</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1,550,889,447.11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7,023,698.95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7,023,698.95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46,143,939.84</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2,056,043,156.28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-1,636,729.39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-1,636,729.39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-3,772,447.81</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银星物流</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10,343,594.82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7,990,473.39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7,990,473.39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121,770.86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12,433,952.87</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2,617,979.96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2,617,979.96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6,997,838.88</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伽师棉业</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535,637,324.99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7,512,956.85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7,512,956.85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428,936,062.65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356,664,476.98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11,587,585.31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11,587,585.31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300,135,867.19</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岳普湖棉业</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225,832,133.91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4,496,876.45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4,496,876.45</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144,526,579.91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205,205,156.72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7,679,195.82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7,679,195.82</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143,156,908.88</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浙江博忆</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89,862,970.71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5,981,354.28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5,981,354.28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-5,047,106.69</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42,790,069.08</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2,738,010.26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2,738,010.26</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3,931,021.99</w:t>
            </w:r>
          </w:p>
        </w:tc>
      </w:tr>
      <w:tr w:rsidR="00C526AC">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卡拉美拉</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66,885,162.84</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2,672,218.01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2,672,218.01</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-6,951,671.24</w:t>
            </w: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88" w:name="_Toc989278"/>
      <w:r>
        <w:rPr>
          <w:rFonts w:ascii="宋体" w:hAnsi="宋体" w:cs="宋体"/>
          <w:b/>
          <w:bCs/>
          <w:sz w:val="18"/>
          <w:szCs w:val="18"/>
        </w:rPr>
        <w:t>（4） 使用企业集团资产和清偿企业集团债务的重大限制</w:t>
      </w:r>
      <w:bookmarkEnd w:id="288"/>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89" w:name="_Toc989279"/>
      <w:r>
        <w:rPr>
          <w:rFonts w:ascii="宋体" w:hAnsi="宋体" w:cs="宋体"/>
          <w:b/>
          <w:bCs/>
          <w:sz w:val="18"/>
          <w:szCs w:val="18"/>
        </w:rPr>
        <w:t>（5） 向纳入合并财务报表范围的结构化主体提供的财务支持或其他支持</w:t>
      </w:r>
      <w:bookmarkEnd w:id="289"/>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90" w:name="_Toc989280"/>
      <w:r>
        <w:rPr>
          <w:rFonts w:ascii="宋体" w:hAnsi="宋体" w:cs="宋体"/>
          <w:b/>
          <w:bCs/>
          <w:szCs w:val="21"/>
        </w:rPr>
        <w:t>2、在子公司的所有者权益份额发生变化且仍控制子公司的交易</w:t>
      </w:r>
      <w:bookmarkEnd w:id="290"/>
    </w:p>
    <w:p w:rsidR="00C526AC" w:rsidRDefault="00E0175D">
      <w:pPr>
        <w:keepNext/>
        <w:keepLines/>
        <w:spacing w:before="300" w:after="300" w:line="280" w:lineRule="exact"/>
        <w:jc w:val="left"/>
        <w:outlineLvl w:val="3"/>
        <w:rPr>
          <w:rFonts w:ascii="宋体" w:hAnsi="宋体" w:cs="宋体"/>
          <w:b/>
          <w:bCs/>
          <w:sz w:val="18"/>
          <w:szCs w:val="18"/>
        </w:rPr>
      </w:pPr>
      <w:bookmarkStart w:id="291" w:name="_Toc989281"/>
      <w:r>
        <w:rPr>
          <w:rFonts w:ascii="宋体" w:hAnsi="宋体" w:cs="宋体"/>
          <w:b/>
          <w:bCs/>
          <w:sz w:val="18"/>
          <w:szCs w:val="18"/>
        </w:rPr>
        <w:t>（1） 在子公司所有者权益份额发生变化的情况说明</w:t>
      </w:r>
      <w:bookmarkEnd w:id="291"/>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292" w:name="_Toc989282"/>
      <w:r>
        <w:rPr>
          <w:rFonts w:ascii="宋体" w:hAnsi="宋体" w:cs="宋体"/>
          <w:b/>
          <w:bCs/>
          <w:sz w:val="18"/>
          <w:szCs w:val="18"/>
        </w:rPr>
        <w:t>（2） 交易对于少数股东权益及归属于母公司所有者权益的影响</w:t>
      </w:r>
      <w:bookmarkEnd w:id="292"/>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293" w:name="_Toc989283"/>
      <w:r>
        <w:rPr>
          <w:rFonts w:ascii="宋体" w:hAnsi="宋体" w:cs="宋体"/>
          <w:b/>
          <w:bCs/>
          <w:szCs w:val="21"/>
        </w:rPr>
        <w:t>3、在合营安排或联营企业中的权益</w:t>
      </w:r>
      <w:bookmarkEnd w:id="293"/>
    </w:p>
    <w:p w:rsidR="00C526AC" w:rsidRDefault="00E0175D">
      <w:pPr>
        <w:keepNext/>
        <w:keepLines/>
        <w:spacing w:before="300" w:after="300" w:line="280" w:lineRule="exact"/>
        <w:jc w:val="left"/>
        <w:outlineLvl w:val="3"/>
        <w:rPr>
          <w:rFonts w:ascii="宋体" w:hAnsi="宋体" w:cs="宋体"/>
          <w:b/>
          <w:bCs/>
          <w:szCs w:val="21"/>
        </w:rPr>
      </w:pPr>
      <w:bookmarkStart w:id="294" w:name="_Toc989284"/>
      <w:r>
        <w:rPr>
          <w:rFonts w:ascii="宋体" w:hAnsi="宋体" w:cs="宋体"/>
          <w:b/>
          <w:bCs/>
          <w:szCs w:val="21"/>
        </w:rPr>
        <w:t>（1） 重要的合营企业或联营企业</w:t>
      </w:r>
      <w:bookmarkEnd w:id="294"/>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在合营企业或联营企业的持股比例不同于表决权比例的说明：</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持有20%以下表决权但具有重大影响，或者持有20%或以上表决权但不具有重大影响的依据：</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95" w:name="_Toc989285"/>
      <w:r>
        <w:rPr>
          <w:rFonts w:ascii="宋体" w:hAnsi="宋体" w:cs="宋体"/>
          <w:b/>
          <w:bCs/>
          <w:szCs w:val="21"/>
        </w:rPr>
        <w:t>（2） 重要合营企业的主要财务信息</w:t>
      </w:r>
      <w:bookmarkEnd w:id="295"/>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96" w:name="_Toc989286"/>
      <w:r>
        <w:rPr>
          <w:rFonts w:ascii="宋体" w:hAnsi="宋体" w:cs="宋体"/>
          <w:b/>
          <w:bCs/>
          <w:szCs w:val="21"/>
        </w:rPr>
        <w:t>（3） 重要联营企业的主要财务信息</w:t>
      </w:r>
      <w:bookmarkEnd w:id="296"/>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97" w:name="_Toc989287"/>
      <w:r>
        <w:rPr>
          <w:rFonts w:ascii="宋体" w:hAnsi="宋体" w:cs="宋体"/>
          <w:b/>
          <w:bCs/>
          <w:szCs w:val="21"/>
        </w:rPr>
        <w:t>（4） 不重要的合营企业和联营企业的汇总财务信息</w:t>
      </w:r>
      <w:bookmarkEnd w:id="297"/>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98" w:name="_Toc989288"/>
      <w:r>
        <w:rPr>
          <w:rFonts w:ascii="宋体" w:hAnsi="宋体" w:cs="宋体"/>
          <w:b/>
          <w:bCs/>
          <w:szCs w:val="21"/>
        </w:rPr>
        <w:t>（5） 合营企业或联营企业向本公司转移资金的能力存在重大限制的说明</w:t>
      </w:r>
      <w:bookmarkEnd w:id="298"/>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299" w:name="_Toc989289"/>
      <w:r>
        <w:rPr>
          <w:rFonts w:ascii="宋体" w:hAnsi="宋体" w:cs="宋体"/>
          <w:b/>
          <w:bCs/>
          <w:szCs w:val="21"/>
        </w:rPr>
        <w:t>（6） 合营企业或联营企业发生的超额亏损</w:t>
      </w:r>
      <w:bookmarkEnd w:id="299"/>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00" w:name="_Toc989290"/>
      <w:r>
        <w:rPr>
          <w:rFonts w:ascii="宋体" w:hAnsi="宋体" w:cs="宋体"/>
          <w:b/>
          <w:bCs/>
          <w:szCs w:val="21"/>
        </w:rPr>
        <w:t>（7） 与合营企业投资相关的未确认承诺</w:t>
      </w:r>
      <w:bookmarkEnd w:id="300"/>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01" w:name="_Toc989291"/>
      <w:r>
        <w:rPr>
          <w:rFonts w:ascii="宋体" w:hAnsi="宋体" w:cs="宋体"/>
          <w:b/>
          <w:bCs/>
          <w:szCs w:val="21"/>
        </w:rPr>
        <w:t>（8） 与合营企业或联营企业投资相关的或有负债</w:t>
      </w:r>
      <w:bookmarkEnd w:id="301"/>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02" w:name="_Toc989292"/>
      <w:r>
        <w:rPr>
          <w:rFonts w:ascii="宋体" w:hAnsi="宋体" w:cs="宋体"/>
          <w:b/>
          <w:bCs/>
          <w:szCs w:val="21"/>
        </w:rPr>
        <w:t>4、重要的共同经营</w:t>
      </w:r>
      <w:bookmarkEnd w:id="302"/>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在共同经营中的持股比例或享有的份额不同于表决权比例的说明：</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共同经营为单独主体的，分类为共同经营的依据：</w:t>
      </w:r>
      <w:r>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03" w:name="_Toc989293"/>
      <w:r>
        <w:rPr>
          <w:rFonts w:ascii="宋体" w:hAnsi="宋体" w:cs="宋体"/>
          <w:b/>
          <w:bCs/>
          <w:szCs w:val="21"/>
        </w:rPr>
        <w:t>5、在未纳入合并财务报表范围的结构化主体中的权益</w:t>
      </w:r>
      <w:bookmarkEnd w:id="303"/>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未纳入合并财务报表范围的结构化主体的相关说明：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04" w:name="_Toc989294"/>
      <w:r>
        <w:rPr>
          <w:rFonts w:ascii="宋体" w:hAnsi="宋体" w:cs="宋体"/>
          <w:b/>
          <w:bCs/>
          <w:szCs w:val="21"/>
        </w:rPr>
        <w:t>6、其他</w:t>
      </w:r>
      <w:bookmarkEnd w:id="304"/>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305" w:name="_Toc989295"/>
      <w:r>
        <w:rPr>
          <w:rFonts w:ascii="宋体" w:hAnsi="宋体" w:cs="宋体"/>
          <w:b/>
          <w:bCs/>
          <w:sz w:val="24"/>
          <w:szCs w:val="24"/>
        </w:rPr>
        <w:t>十、与金融工具相关的风险</w:t>
      </w:r>
      <w:bookmarkEnd w:id="305"/>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306" w:name="_Toc989296"/>
      <w:r>
        <w:rPr>
          <w:rFonts w:ascii="宋体" w:hAnsi="宋体" w:cs="宋体"/>
          <w:b/>
          <w:bCs/>
          <w:sz w:val="24"/>
          <w:szCs w:val="24"/>
        </w:rPr>
        <w:t>十一、公允价值的披露</w:t>
      </w:r>
      <w:bookmarkEnd w:id="306"/>
    </w:p>
    <w:p w:rsidR="00C526AC" w:rsidRDefault="00E0175D">
      <w:pPr>
        <w:keepNext/>
        <w:keepLines/>
        <w:spacing w:before="300" w:after="300" w:line="280" w:lineRule="exact"/>
        <w:jc w:val="left"/>
        <w:outlineLvl w:val="2"/>
        <w:rPr>
          <w:rFonts w:ascii="宋体" w:hAnsi="宋体" w:cs="宋体"/>
          <w:b/>
          <w:bCs/>
          <w:szCs w:val="21"/>
        </w:rPr>
      </w:pPr>
      <w:bookmarkStart w:id="307" w:name="_Toc989297"/>
      <w:r>
        <w:rPr>
          <w:rFonts w:ascii="宋体" w:hAnsi="宋体" w:cs="宋体"/>
          <w:b/>
          <w:bCs/>
          <w:szCs w:val="21"/>
        </w:rPr>
        <w:t>1、以公允价值计量的资产和负债的期末公允价值</w:t>
      </w:r>
      <w:bookmarkEnd w:id="30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期末公允价值</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538,194,302.48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538,194,302.48</w:t>
            </w: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（3）衍生金融资产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187,988,152.70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187,988,152.70</w:t>
            </w: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理财产品</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350,206,149.78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350,206,149.78</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r>
    </w:tbl>
    <w:p w:rsidR="00C526AC" w:rsidRDefault="00E0175D">
      <w:pPr>
        <w:keepNext/>
        <w:keepLines/>
        <w:spacing w:before="300" w:after="300" w:line="280" w:lineRule="exact"/>
        <w:jc w:val="left"/>
        <w:outlineLvl w:val="2"/>
        <w:rPr>
          <w:rFonts w:ascii="宋体" w:hAnsi="宋体" w:cs="宋体"/>
          <w:b/>
          <w:bCs/>
          <w:szCs w:val="21"/>
        </w:rPr>
      </w:pPr>
      <w:bookmarkStart w:id="308" w:name="_Toc989298"/>
      <w:r>
        <w:rPr>
          <w:rFonts w:ascii="宋体" w:hAnsi="宋体" w:cs="宋体"/>
          <w:b/>
          <w:bCs/>
          <w:szCs w:val="21"/>
        </w:rPr>
        <w:t>2、持续和非持续第一层次公允价值计量项目市价的确定依据</w:t>
      </w:r>
      <w:bookmarkEnd w:id="308"/>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09" w:name="_Toc989299"/>
      <w:r>
        <w:rPr>
          <w:rFonts w:ascii="宋体" w:hAnsi="宋体" w:cs="宋体"/>
          <w:b/>
          <w:bCs/>
          <w:szCs w:val="21"/>
        </w:rPr>
        <w:t>3、持续和非持续第二层次公允价值计量项目，采用的估值技术和重要参数的定性及定量信息</w:t>
      </w:r>
      <w:bookmarkEnd w:id="309"/>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10" w:name="_Toc989300"/>
      <w:r>
        <w:rPr>
          <w:rFonts w:ascii="宋体" w:hAnsi="宋体" w:cs="宋体"/>
          <w:b/>
          <w:bCs/>
          <w:szCs w:val="21"/>
        </w:rPr>
        <w:t>4、持续和非持续第三层次公允价值计量项目，采用的估值技术和重要参数的定性及定量信息</w:t>
      </w:r>
      <w:bookmarkEnd w:id="310"/>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11" w:name="_Toc989301"/>
      <w:r>
        <w:rPr>
          <w:rFonts w:ascii="宋体" w:hAnsi="宋体" w:cs="宋体"/>
          <w:b/>
          <w:bCs/>
          <w:szCs w:val="21"/>
        </w:rPr>
        <w:t>5、持续的第三层次公允价值计量项目，期初与期末账面价值间的调节信息及不可观察参数敏感性分析</w:t>
      </w:r>
      <w:bookmarkEnd w:id="311"/>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12" w:name="_Toc989302"/>
      <w:r>
        <w:rPr>
          <w:rFonts w:ascii="宋体" w:hAnsi="宋体" w:cs="宋体"/>
          <w:b/>
          <w:bCs/>
          <w:szCs w:val="21"/>
        </w:rPr>
        <w:t>6、持续的公允价值计量项目，本期内发生各层级之间转换的，转换的原因及确定转换时点的政策</w:t>
      </w:r>
      <w:bookmarkEnd w:id="312"/>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13" w:name="_Toc989303"/>
      <w:r>
        <w:rPr>
          <w:rFonts w:ascii="宋体" w:hAnsi="宋体" w:cs="宋体"/>
          <w:b/>
          <w:bCs/>
          <w:szCs w:val="21"/>
        </w:rPr>
        <w:t>7、本期内发生的估值技术变更及变更原因</w:t>
      </w:r>
      <w:bookmarkEnd w:id="313"/>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14" w:name="_Toc989304"/>
      <w:r>
        <w:rPr>
          <w:rFonts w:ascii="宋体" w:hAnsi="宋体" w:cs="宋体"/>
          <w:b/>
          <w:bCs/>
          <w:szCs w:val="21"/>
        </w:rPr>
        <w:t>8、不以公允价值计量的金融资产和金融负债的公允价值情况</w:t>
      </w:r>
      <w:bookmarkEnd w:id="314"/>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15" w:name="_Toc989305"/>
      <w:r>
        <w:rPr>
          <w:rFonts w:ascii="宋体" w:hAnsi="宋体" w:cs="宋体"/>
          <w:b/>
          <w:bCs/>
          <w:szCs w:val="21"/>
        </w:rPr>
        <w:t>9、其他</w:t>
      </w:r>
      <w:bookmarkEnd w:id="315"/>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316" w:name="_Toc989306"/>
      <w:r>
        <w:rPr>
          <w:rFonts w:ascii="宋体" w:hAnsi="宋体" w:cs="宋体"/>
          <w:b/>
          <w:bCs/>
          <w:sz w:val="24"/>
          <w:szCs w:val="24"/>
        </w:rPr>
        <w:t>十二、关联方及关联交易</w:t>
      </w:r>
      <w:bookmarkEnd w:id="316"/>
    </w:p>
    <w:p w:rsidR="00C526AC" w:rsidRDefault="00E0175D">
      <w:pPr>
        <w:keepNext/>
        <w:keepLines/>
        <w:spacing w:before="300" w:after="300" w:line="280" w:lineRule="exact"/>
        <w:jc w:val="left"/>
        <w:outlineLvl w:val="2"/>
        <w:rPr>
          <w:rFonts w:ascii="宋体" w:hAnsi="宋体" w:cs="宋体"/>
          <w:b/>
          <w:bCs/>
          <w:szCs w:val="21"/>
        </w:rPr>
      </w:pPr>
      <w:bookmarkStart w:id="317" w:name="_Toc989307"/>
      <w:r>
        <w:rPr>
          <w:rFonts w:ascii="宋体" w:hAnsi="宋体" w:cs="宋体"/>
          <w:b/>
          <w:bCs/>
          <w:szCs w:val="21"/>
        </w:rPr>
        <w:t>1、本企业的母公司情况</w:t>
      </w:r>
      <w:bookmarkEnd w:id="317"/>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84"/>
        <w:gridCol w:w="851"/>
        <w:gridCol w:w="2976"/>
        <w:gridCol w:w="1214"/>
        <w:gridCol w:w="1607"/>
        <w:gridCol w:w="1607"/>
      </w:tblGrid>
      <w:tr w:rsidR="00C526AC" w:rsidTr="004A5A58">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母公司名称</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注册地</w:t>
            </w:r>
          </w:p>
        </w:tc>
        <w:tc>
          <w:tcPr>
            <w:tcW w:w="29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业务性质</w:t>
            </w:r>
          </w:p>
        </w:tc>
        <w:tc>
          <w:tcPr>
            <w:tcW w:w="121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注册资本</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母公司对本企业的持股比例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母公司对本企业的表决权比例</w:t>
            </w:r>
          </w:p>
        </w:tc>
      </w:tr>
      <w:tr w:rsidR="00C526AC" w:rsidTr="004A5A58">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华孚控股有限公司</w:t>
            </w:r>
          </w:p>
        </w:tc>
        <w:tc>
          <w:tcPr>
            <w:tcW w:w="851"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广东省</w:t>
            </w:r>
          </w:p>
        </w:tc>
        <w:tc>
          <w:tcPr>
            <w:tcW w:w="29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投资兴办实业(具体项目另行申报)；色纺纱、服装经营；纺织设备进出口业务；在合法取得的土地使用权范围内从事房地产开发、经营；计算机应用、软件开发。</w:t>
            </w:r>
          </w:p>
        </w:tc>
        <w:tc>
          <w:tcPr>
            <w:tcW w:w="1214"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41,300万元</w:t>
            </w:r>
          </w:p>
        </w:tc>
        <w:tc>
          <w:tcPr>
            <w:tcW w:w="160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30.62%</w:t>
            </w:r>
          </w:p>
        </w:tc>
        <w:tc>
          <w:tcPr>
            <w:tcW w:w="160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30.62%</w:t>
            </w: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本企业的母公司情况的说明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本企业最终控制方是孙伟挺和陈玲芬。</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18" w:name="_Toc989308"/>
      <w:r>
        <w:rPr>
          <w:rFonts w:ascii="宋体" w:hAnsi="宋体" w:cs="宋体"/>
          <w:b/>
          <w:bCs/>
          <w:szCs w:val="21"/>
        </w:rPr>
        <w:t>2、本企业的子公司情况</w:t>
      </w:r>
      <w:bookmarkEnd w:id="318"/>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本企业子公司的情况详见附注九（一）在子公司中的权益。</w:t>
      </w:r>
    </w:p>
    <w:p w:rsidR="00C526AC" w:rsidRDefault="00E0175D">
      <w:pPr>
        <w:keepNext/>
        <w:keepLines/>
        <w:spacing w:before="300" w:after="300" w:line="280" w:lineRule="exact"/>
        <w:jc w:val="left"/>
        <w:outlineLvl w:val="2"/>
        <w:rPr>
          <w:rFonts w:ascii="宋体" w:hAnsi="宋体" w:cs="宋体"/>
          <w:b/>
          <w:bCs/>
          <w:szCs w:val="21"/>
        </w:rPr>
      </w:pPr>
      <w:bookmarkStart w:id="319" w:name="_Toc989309"/>
      <w:r>
        <w:rPr>
          <w:rFonts w:ascii="宋体" w:hAnsi="宋体" w:cs="宋体"/>
          <w:b/>
          <w:bCs/>
          <w:szCs w:val="21"/>
        </w:rPr>
        <w:t>3、本企业合营和联营企业情况</w:t>
      </w:r>
      <w:bookmarkEnd w:id="319"/>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本企业重要的合营或联营企业详见附注七、注释17长期股权投资。</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20" w:name="_Toc989310"/>
      <w:r>
        <w:rPr>
          <w:rFonts w:ascii="宋体" w:hAnsi="宋体" w:cs="宋体"/>
          <w:b/>
          <w:bCs/>
          <w:szCs w:val="21"/>
        </w:rPr>
        <w:t>4、其他关联方情况</w:t>
      </w:r>
      <w:bookmarkEnd w:id="320"/>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其他关联方与本企业关系</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宁海华联纺织有限公司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宁海县华兴纺织原料有限公司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实际控制人控制的公司</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浙江华孚纺织有限公司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余姚华联纺织有限公司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浙江万孚置业集团有限公司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安徽新一棉纺织有限公司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深圳市华人投资有限公司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本公司股东、实际控制人控制的公司</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浙江万孚物业管理有限公司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安徽飞亚纺织集团有限公司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本公司股东、与本公司为同一控股股东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石河子国民村镇银行有限责任公司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本公司持有5%的股权</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上虞市华孚房地产开发有限公司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新疆恒孚棉产业集团有限公司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控股子公司少数股东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孙伟挺，陈玲芬，陈翰，孔祥云，高卫东，黄亚英，程桂松，王国友，张正，盛永月，熊旭锋，宣刚江</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本公司董事、监事及其他高级管理人员</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新疆纺织工业城有限公司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与本公司为同一控股股东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新疆锦晟胡杨资产管理有限公司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控股子公司奎屯锦孚纺织持股33%的少数股东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张晚霞、许栩光</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控股子公司浙江博忆、诸暨力旗持股49%的少数股东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钟耀栋、蔡珊妮</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控股子公司浙江鲲驰互联持股35.0485%的少数股东</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江阴市传澄电子商务有限公司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其他关联方</w:t>
            </w: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21" w:name="_Toc989311"/>
      <w:r>
        <w:rPr>
          <w:rFonts w:ascii="宋体" w:hAnsi="宋体" w:cs="宋体"/>
          <w:b/>
          <w:bCs/>
          <w:szCs w:val="21"/>
        </w:rPr>
        <w:t>5、关联交易情况</w:t>
      </w:r>
      <w:bookmarkEnd w:id="321"/>
    </w:p>
    <w:p w:rsidR="00C526AC" w:rsidRDefault="00E0175D">
      <w:pPr>
        <w:keepNext/>
        <w:keepLines/>
        <w:spacing w:before="300" w:after="300" w:line="280" w:lineRule="exact"/>
        <w:jc w:val="left"/>
        <w:outlineLvl w:val="3"/>
        <w:rPr>
          <w:rFonts w:ascii="宋体" w:hAnsi="宋体" w:cs="宋体"/>
          <w:b/>
          <w:bCs/>
          <w:szCs w:val="21"/>
        </w:rPr>
      </w:pPr>
      <w:bookmarkStart w:id="322" w:name="_Toc989312"/>
      <w:r>
        <w:rPr>
          <w:rFonts w:ascii="宋体" w:hAnsi="宋体" w:cs="宋体"/>
          <w:b/>
          <w:bCs/>
          <w:szCs w:val="21"/>
        </w:rPr>
        <w:t>（1） 购销商品、提供和接受劳务的关联交易</w:t>
      </w:r>
      <w:bookmarkEnd w:id="322"/>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采购商品/接受劳务情况表</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获批的交易额度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是否超过交易额度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江苏科孚纺织品贸易有限公司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采购棉花</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21,163,993.80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300,000,000.00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购销商品、提供和接受劳务的关联交易说明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23" w:name="_Toc989313"/>
      <w:r>
        <w:rPr>
          <w:rFonts w:ascii="宋体" w:hAnsi="宋体" w:cs="宋体"/>
          <w:b/>
          <w:bCs/>
          <w:szCs w:val="21"/>
        </w:rPr>
        <w:t>（2） 关联受托管理/承包及委托管理/出包情况</w:t>
      </w:r>
      <w:bookmarkEnd w:id="323"/>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关联托管/承包情况说明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本公司委托管理/出包情况表：</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关联管理/出包情况说明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24" w:name="_Toc989314"/>
      <w:r>
        <w:rPr>
          <w:rFonts w:ascii="宋体" w:hAnsi="宋体" w:cs="宋体"/>
          <w:b/>
          <w:bCs/>
          <w:szCs w:val="21"/>
        </w:rPr>
        <w:t>（3） 关联租赁情况</w:t>
      </w:r>
      <w:bookmarkEnd w:id="324"/>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关联租赁情况说明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25" w:name="_Toc989315"/>
      <w:r>
        <w:rPr>
          <w:rFonts w:ascii="宋体" w:hAnsi="宋体" w:cs="宋体"/>
          <w:b/>
          <w:bCs/>
          <w:szCs w:val="21"/>
        </w:rPr>
        <w:t>（4） 关联担保情况</w:t>
      </w:r>
      <w:bookmarkEnd w:id="325"/>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本公司作为担保方</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被担保方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担保是否已经履行完毕</w:t>
            </w:r>
          </w:p>
        </w:tc>
      </w:tr>
    </w:tbl>
    <w:p w:rsidR="00C526AC" w:rsidRDefault="00E0175D">
      <w:pPr>
        <w:spacing w:before="100" w:after="40" w:line="240" w:lineRule="exact"/>
        <w:jc w:val="left"/>
        <w:rPr>
          <w:rFonts w:ascii="宋体" w:hAnsi="宋体" w:cs="宋体"/>
          <w:sz w:val="18"/>
          <w:szCs w:val="18"/>
        </w:rPr>
      </w:pPr>
      <w:r>
        <w:rPr>
          <w:rFonts w:ascii="宋体" w:hAnsi="宋体" w:cs="宋体"/>
          <w:sz w:val="18"/>
          <w:szCs w:val="18"/>
        </w:rPr>
        <w:t>本公司作为被担保方</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担保是否已经履行完毕</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67,114,000.00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2021年09月30日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2022年09月30日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33,557,000.00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2022年01月13日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2022年09月30日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20,134,200.00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2022年03月25日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2022年07月24日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87,248,200.00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2022年03月30日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2022年07月28日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35,570,420.00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2022年04月04日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2022年08月02日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28,322,108.00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2022年04月13日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2022年08月11日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32,550,290.00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2022年04月13日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2022年07月28日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44,966,380.00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2022年04月27日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2022年08月25日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48,456,308.00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2022年05月19日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2022年09月16日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21,824,448.80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2022年05月20日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2022年08月18日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28,178,510.50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2022年08月30日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18,703,005.30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2022年08月29日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20,404,833.40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2022年06月02日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2022年08月31日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29,367,224.60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2022年06月14日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2022年09月13日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13,708,695.70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2022年10月21日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21,080,433.50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2022年06月27日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2022年10月21日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香港华孚、深圳进出口、澳门华孚、孙伟挺、陈玲芬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16,454,024.08</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2022年06月27日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2022年10月21日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90,500,000.00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2023年03月10日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18,107,707.54</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2022年03月30日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2022年09月23日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2022年05月31日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2023年05月31日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2022年06月17日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2023年06月17日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46,190,000.00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2020年05月19日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2029年05月18日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2021年07月02日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2021年07月02日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2021年07月02日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2021年07月02日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2021年10月29日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2022年10月24日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2021年12月01日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2022年11月24日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2022年01月19日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2022年07月18日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2023年02月17日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2023年02月07日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2022年10月19日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2022年11月22日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110,000,000.00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2022年03月01日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2023年02月23日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2022年03月24日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2023年03月17日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2022年03月24日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2023年03月17日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2022年03月28日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2023年03月24日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2022年05月16日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2023年05月11日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华孚控股、华孚时尚、浙江色纺、九江中浩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2022年05月25日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2023年04月21日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华孚控股、华孚时尚</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2022年06月20日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2023年06月16日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否</w:t>
            </w: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关联担保情况说明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26" w:name="_Toc989316"/>
      <w:r>
        <w:rPr>
          <w:rFonts w:ascii="宋体" w:hAnsi="宋体" w:cs="宋体"/>
          <w:b/>
          <w:bCs/>
          <w:szCs w:val="21"/>
        </w:rPr>
        <w:t>（5） 关联方资金拆借</w:t>
      </w:r>
      <w:bookmarkEnd w:id="326"/>
    </w:p>
    <w:p w:rsidR="004A5A58" w:rsidRPr="004A5A58" w:rsidRDefault="004A5A58" w:rsidP="004A5A58">
      <w:pPr>
        <w:pStyle w:val="a3"/>
        <w:widowControl/>
        <w:rPr>
          <w:rFonts w:ascii="宋体" w:hAnsi="宋体" w:cs="宋体"/>
          <w:sz w:val="18"/>
          <w:szCs w:val="18"/>
        </w:rPr>
      </w:pPr>
      <w:r w:rsidRPr="004A5A58">
        <w:rPr>
          <w:rFonts w:ascii="宋体" w:hAnsi="宋体" w:cs="宋体" w:hint="eastAsia"/>
          <w:sz w:val="18"/>
          <w:szCs w:val="18"/>
        </w:rPr>
        <w:t>无</w:t>
      </w:r>
      <w:r>
        <w:rPr>
          <w:rFonts w:ascii="宋体" w:hAnsi="宋体" w:cs="宋体" w:hint="eastAsia"/>
          <w:sz w:val="18"/>
          <w:szCs w:val="18"/>
        </w:rPr>
        <w:t>。</w:t>
      </w:r>
    </w:p>
    <w:p w:rsidR="00C526AC" w:rsidRDefault="00E0175D">
      <w:pPr>
        <w:keepNext/>
        <w:keepLines/>
        <w:spacing w:before="300" w:after="300" w:line="280" w:lineRule="exact"/>
        <w:jc w:val="left"/>
        <w:outlineLvl w:val="3"/>
        <w:rPr>
          <w:rFonts w:ascii="宋体" w:hAnsi="宋体" w:cs="宋体"/>
          <w:b/>
          <w:bCs/>
          <w:szCs w:val="21"/>
        </w:rPr>
      </w:pPr>
      <w:bookmarkStart w:id="327" w:name="_Toc989317"/>
      <w:r>
        <w:rPr>
          <w:rFonts w:ascii="宋体" w:hAnsi="宋体" w:cs="宋体"/>
          <w:b/>
          <w:bCs/>
          <w:szCs w:val="21"/>
        </w:rPr>
        <w:t>（6） 关联方资产转让、债务重组情况</w:t>
      </w:r>
      <w:bookmarkEnd w:id="327"/>
    </w:p>
    <w:p w:rsidR="004A5A58" w:rsidRPr="004A5A58" w:rsidRDefault="004A5A58" w:rsidP="004A5A58">
      <w:pPr>
        <w:pStyle w:val="a3"/>
        <w:widowControl/>
        <w:rPr>
          <w:rFonts w:ascii="宋体" w:hAnsi="宋体" w:cs="宋体"/>
          <w:sz w:val="18"/>
          <w:szCs w:val="18"/>
        </w:rPr>
      </w:pPr>
      <w:bookmarkStart w:id="328" w:name="_Toc989318"/>
      <w:r w:rsidRPr="004A5A58">
        <w:rPr>
          <w:rFonts w:ascii="宋体" w:hAnsi="宋体" w:cs="宋体" w:hint="eastAsia"/>
          <w:sz w:val="18"/>
          <w:szCs w:val="18"/>
        </w:rPr>
        <w:t>无</w:t>
      </w:r>
      <w:r>
        <w:rPr>
          <w:rFonts w:ascii="宋体" w:hAnsi="宋体" w:cs="宋体" w:hint="eastAsia"/>
          <w:sz w:val="18"/>
          <w:szCs w:val="18"/>
        </w:rPr>
        <w:t>。</w:t>
      </w:r>
    </w:p>
    <w:p w:rsidR="00C526AC" w:rsidRDefault="00E0175D">
      <w:pPr>
        <w:keepNext/>
        <w:keepLines/>
        <w:spacing w:before="300" w:after="300" w:line="280" w:lineRule="exact"/>
        <w:jc w:val="left"/>
        <w:outlineLvl w:val="3"/>
        <w:rPr>
          <w:rFonts w:ascii="宋体" w:hAnsi="宋体" w:cs="宋体"/>
          <w:b/>
          <w:bCs/>
          <w:szCs w:val="21"/>
        </w:rPr>
      </w:pPr>
      <w:r>
        <w:rPr>
          <w:rFonts w:ascii="宋体" w:hAnsi="宋体" w:cs="宋体"/>
          <w:b/>
          <w:bCs/>
          <w:szCs w:val="21"/>
        </w:rPr>
        <w:t>（7） 关键管理人员报酬</w:t>
      </w:r>
      <w:bookmarkEnd w:id="328"/>
    </w:p>
    <w:p w:rsidR="004A5A58" w:rsidRPr="004A5A58" w:rsidRDefault="004A5A58" w:rsidP="004A5A58">
      <w:pPr>
        <w:pStyle w:val="a3"/>
        <w:widowControl/>
        <w:rPr>
          <w:rFonts w:ascii="宋体" w:hAnsi="宋体" w:cs="宋体"/>
          <w:sz w:val="18"/>
          <w:szCs w:val="18"/>
        </w:rPr>
      </w:pPr>
      <w:bookmarkStart w:id="329" w:name="_Toc989319"/>
      <w:r w:rsidRPr="004A5A58">
        <w:rPr>
          <w:rFonts w:ascii="宋体" w:hAnsi="宋体" w:cs="宋体" w:hint="eastAsia"/>
          <w:sz w:val="18"/>
          <w:szCs w:val="18"/>
        </w:rPr>
        <w:t>无</w:t>
      </w:r>
      <w:r>
        <w:rPr>
          <w:rFonts w:ascii="宋体" w:hAnsi="宋体" w:cs="宋体" w:hint="eastAsia"/>
          <w:sz w:val="18"/>
          <w:szCs w:val="18"/>
        </w:rPr>
        <w:t>。</w:t>
      </w:r>
    </w:p>
    <w:p w:rsidR="00C526AC" w:rsidRDefault="00E0175D">
      <w:pPr>
        <w:keepNext/>
        <w:keepLines/>
        <w:spacing w:before="300" w:after="300" w:line="280" w:lineRule="exact"/>
        <w:jc w:val="left"/>
        <w:outlineLvl w:val="3"/>
        <w:rPr>
          <w:rFonts w:ascii="宋体" w:hAnsi="宋体" w:cs="宋体"/>
          <w:b/>
          <w:bCs/>
          <w:szCs w:val="21"/>
        </w:rPr>
      </w:pPr>
      <w:r>
        <w:rPr>
          <w:rFonts w:ascii="宋体" w:hAnsi="宋体" w:cs="宋体"/>
          <w:b/>
          <w:bCs/>
          <w:szCs w:val="21"/>
        </w:rPr>
        <w:t>（8） 其他关联交易</w:t>
      </w:r>
      <w:bookmarkEnd w:id="329"/>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30" w:name="_Toc989320"/>
      <w:r>
        <w:rPr>
          <w:rFonts w:ascii="宋体" w:hAnsi="宋体" w:cs="宋体"/>
          <w:b/>
          <w:bCs/>
          <w:szCs w:val="21"/>
        </w:rPr>
        <w:t>6、关联方应收应付款项</w:t>
      </w:r>
      <w:bookmarkEnd w:id="330"/>
    </w:p>
    <w:p w:rsidR="00C526AC" w:rsidRDefault="00E0175D">
      <w:pPr>
        <w:keepNext/>
        <w:keepLines/>
        <w:spacing w:before="300" w:after="300" w:line="280" w:lineRule="exact"/>
        <w:jc w:val="left"/>
        <w:outlineLvl w:val="3"/>
        <w:rPr>
          <w:rFonts w:ascii="宋体" w:hAnsi="宋体" w:cs="宋体"/>
          <w:b/>
          <w:bCs/>
          <w:szCs w:val="21"/>
        </w:rPr>
      </w:pPr>
      <w:bookmarkStart w:id="331" w:name="_Toc989321"/>
      <w:r>
        <w:rPr>
          <w:rFonts w:ascii="宋体" w:hAnsi="宋体" w:cs="宋体"/>
          <w:b/>
          <w:bCs/>
          <w:szCs w:val="21"/>
        </w:rPr>
        <w:t>（1） 应收项目</w:t>
      </w:r>
      <w:bookmarkEnd w:id="33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7"/>
        <w:gridCol w:w="1606"/>
        <w:gridCol w:w="1606"/>
        <w:gridCol w:w="1607"/>
        <w:gridCol w:w="1606"/>
        <w:gridCol w:w="1607"/>
      </w:tblGrid>
      <w:tr w:rsidR="00C526AC">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江阴市传澄电子商务有限公司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16,649.00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832.45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16,649.00</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832.45</w:t>
            </w: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新疆棉花产业集团有限公司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12,132,893.35</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12,132,893.35</w:t>
            </w: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第七师国有资产经营有限公司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371,904.51</w:t>
            </w:r>
          </w:p>
        </w:tc>
      </w:tr>
      <w:tr w:rsidR="00C526AC">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江阴市传澄电子商务有限公司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6,314,666.67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315,733.33</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9,004,386.67</w:t>
            </w:r>
          </w:p>
        </w:tc>
        <w:tc>
          <w:tcPr>
            <w:tcW w:w="160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450,219.33</w:t>
            </w:r>
          </w:p>
        </w:tc>
      </w:tr>
    </w:tbl>
    <w:p w:rsidR="00C526AC" w:rsidRDefault="00E0175D">
      <w:pPr>
        <w:keepNext/>
        <w:keepLines/>
        <w:spacing w:before="300" w:after="300" w:line="280" w:lineRule="exact"/>
        <w:jc w:val="left"/>
        <w:outlineLvl w:val="3"/>
        <w:rPr>
          <w:rFonts w:ascii="宋体" w:hAnsi="宋体" w:cs="宋体"/>
          <w:b/>
          <w:bCs/>
          <w:szCs w:val="21"/>
        </w:rPr>
      </w:pPr>
      <w:bookmarkStart w:id="332" w:name="_Toc989322"/>
      <w:r>
        <w:rPr>
          <w:rFonts w:ascii="宋体" w:hAnsi="宋体" w:cs="宋体"/>
          <w:b/>
          <w:bCs/>
          <w:szCs w:val="21"/>
        </w:rPr>
        <w:t>（2） 应付项目</w:t>
      </w:r>
      <w:bookmarkEnd w:id="33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期初账面余额</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香港汉盛有限公司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514,918.05</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江阴福汇纺织有限公司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17,053.00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东莞沙田丽海纺织印染有限公司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5,264.33</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盐城福汇纺织有限公司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1,274.86</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张晚霞</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4,584,646.16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4,618,941.56</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许栩光</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5,895,765.91</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5,844,320.96</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钟耀栋</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10,831,000.00</w:t>
            </w:r>
          </w:p>
        </w:tc>
      </w:tr>
    </w:tbl>
    <w:p w:rsidR="00C526AC" w:rsidRDefault="00E0175D">
      <w:pPr>
        <w:keepNext/>
        <w:keepLines/>
        <w:spacing w:before="300" w:after="300" w:line="280" w:lineRule="exact"/>
        <w:jc w:val="left"/>
        <w:outlineLvl w:val="2"/>
        <w:rPr>
          <w:rFonts w:ascii="宋体" w:hAnsi="宋体" w:cs="宋体"/>
          <w:b/>
          <w:bCs/>
          <w:szCs w:val="21"/>
        </w:rPr>
      </w:pPr>
      <w:bookmarkStart w:id="333" w:name="_Toc989323"/>
      <w:r>
        <w:rPr>
          <w:rFonts w:ascii="宋体" w:hAnsi="宋体" w:cs="宋体"/>
          <w:b/>
          <w:bCs/>
          <w:szCs w:val="21"/>
        </w:rPr>
        <w:t>7、关联方承诺</w:t>
      </w:r>
      <w:bookmarkEnd w:id="333"/>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34" w:name="_Toc989324"/>
      <w:r>
        <w:rPr>
          <w:rFonts w:ascii="宋体" w:hAnsi="宋体" w:cs="宋体"/>
          <w:b/>
          <w:bCs/>
          <w:szCs w:val="21"/>
        </w:rPr>
        <w:t>8、其他</w:t>
      </w:r>
      <w:bookmarkEnd w:id="334"/>
    </w:p>
    <w:p w:rsidR="00C526AC" w:rsidRDefault="00E0175D">
      <w:pPr>
        <w:pStyle w:val="a3"/>
        <w:widowControl/>
        <w:spacing w:beforeAutospacing="0" w:afterAutospacing="0"/>
        <w:rPr>
          <w:sz w:val="18"/>
          <w:szCs w:val="18"/>
        </w:rPr>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335" w:name="_Toc989325"/>
      <w:r>
        <w:rPr>
          <w:rFonts w:ascii="宋体" w:hAnsi="宋体" w:cs="宋体"/>
          <w:b/>
          <w:bCs/>
          <w:sz w:val="24"/>
          <w:szCs w:val="24"/>
        </w:rPr>
        <w:t>十三、股份支付</w:t>
      </w:r>
      <w:bookmarkEnd w:id="335"/>
    </w:p>
    <w:p w:rsidR="00C526AC" w:rsidRDefault="00E0175D">
      <w:pPr>
        <w:keepNext/>
        <w:keepLines/>
        <w:spacing w:before="300" w:after="300" w:line="280" w:lineRule="exact"/>
        <w:jc w:val="left"/>
        <w:outlineLvl w:val="2"/>
        <w:rPr>
          <w:rFonts w:ascii="宋体" w:hAnsi="宋体" w:cs="宋体"/>
          <w:b/>
          <w:bCs/>
          <w:szCs w:val="21"/>
        </w:rPr>
      </w:pPr>
      <w:bookmarkStart w:id="336" w:name="_Toc989326"/>
      <w:r>
        <w:rPr>
          <w:rFonts w:ascii="宋体" w:hAnsi="宋体" w:cs="宋体"/>
          <w:b/>
          <w:bCs/>
          <w:szCs w:val="21"/>
        </w:rPr>
        <w:t>1、股份支付总体情况</w:t>
      </w:r>
      <w:bookmarkEnd w:id="336"/>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337" w:name="_Toc989327"/>
      <w:r>
        <w:rPr>
          <w:rFonts w:ascii="宋体" w:hAnsi="宋体" w:cs="宋体"/>
          <w:b/>
          <w:bCs/>
          <w:szCs w:val="21"/>
        </w:rPr>
        <w:t>2、以权益结算的股份支付情况</w:t>
      </w:r>
      <w:bookmarkEnd w:id="337"/>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338" w:name="_Toc989328"/>
      <w:r>
        <w:rPr>
          <w:rFonts w:ascii="宋体" w:hAnsi="宋体" w:cs="宋体"/>
          <w:b/>
          <w:bCs/>
          <w:szCs w:val="21"/>
        </w:rPr>
        <w:t>3、以现金结算的股份支付情况</w:t>
      </w:r>
      <w:bookmarkEnd w:id="338"/>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339" w:name="_Toc989329"/>
      <w:r>
        <w:rPr>
          <w:rFonts w:ascii="宋体" w:hAnsi="宋体" w:cs="宋体"/>
          <w:b/>
          <w:bCs/>
          <w:szCs w:val="21"/>
        </w:rPr>
        <w:t>4、股份支付的修改、终止情况</w:t>
      </w:r>
      <w:bookmarkEnd w:id="339"/>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40" w:name="_Toc989330"/>
      <w:r>
        <w:rPr>
          <w:rFonts w:ascii="宋体" w:hAnsi="宋体" w:cs="宋体"/>
          <w:b/>
          <w:bCs/>
          <w:szCs w:val="21"/>
        </w:rPr>
        <w:t xml:space="preserve">5、其他 </w:t>
      </w:r>
      <w:bookmarkEnd w:id="340"/>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341" w:name="_Toc989331"/>
      <w:r>
        <w:rPr>
          <w:rFonts w:ascii="宋体" w:hAnsi="宋体" w:cs="宋体"/>
          <w:b/>
          <w:bCs/>
          <w:sz w:val="24"/>
          <w:szCs w:val="24"/>
        </w:rPr>
        <w:t>十四、承诺及或有事项</w:t>
      </w:r>
      <w:bookmarkEnd w:id="341"/>
    </w:p>
    <w:p w:rsidR="00C526AC" w:rsidRDefault="00E0175D">
      <w:pPr>
        <w:keepNext/>
        <w:keepLines/>
        <w:spacing w:before="300" w:after="300" w:line="280" w:lineRule="exact"/>
        <w:jc w:val="left"/>
        <w:outlineLvl w:val="2"/>
        <w:rPr>
          <w:rFonts w:ascii="宋体" w:hAnsi="宋体" w:cs="宋体"/>
          <w:b/>
          <w:bCs/>
          <w:szCs w:val="21"/>
        </w:rPr>
      </w:pPr>
      <w:bookmarkStart w:id="342" w:name="_Toc989332"/>
      <w:r>
        <w:rPr>
          <w:rFonts w:ascii="宋体" w:hAnsi="宋体" w:cs="宋体"/>
          <w:b/>
          <w:bCs/>
          <w:szCs w:val="21"/>
        </w:rPr>
        <w:t>1、重要承诺事项</w:t>
      </w:r>
      <w:bookmarkEnd w:id="342"/>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资产负债表日存在的重要承诺</w:t>
      </w:r>
    </w:p>
    <w:p w:rsidR="00C526AC" w:rsidRDefault="00E0175D">
      <w:pPr>
        <w:pStyle w:val="a3"/>
        <w:widowControl/>
        <w:spacing w:before="120" w:beforeAutospacing="0" w:afterAutospacing="0"/>
        <w:jc w:val="both"/>
        <w:rPr>
          <w:sz w:val="18"/>
          <w:szCs w:val="18"/>
        </w:rPr>
      </w:pPr>
      <w:r>
        <w:rPr>
          <w:rFonts w:ascii="宋体" w:hAnsi="宋体" w:cs="宋体" w:hint="eastAsia"/>
          <w:sz w:val="18"/>
          <w:szCs w:val="18"/>
        </w:rPr>
        <w:t>截至</w:t>
      </w:r>
      <w:r>
        <w:rPr>
          <w:sz w:val="18"/>
          <w:szCs w:val="18"/>
        </w:rPr>
        <w:t>2022</w:t>
      </w:r>
      <w:r>
        <w:rPr>
          <w:rFonts w:ascii="宋体" w:hAnsi="宋体" w:cs="宋体" w:hint="eastAsia"/>
          <w:sz w:val="18"/>
          <w:szCs w:val="18"/>
        </w:rPr>
        <w:t>年</w:t>
      </w:r>
      <w:r>
        <w:rPr>
          <w:sz w:val="18"/>
          <w:szCs w:val="18"/>
        </w:rPr>
        <w:t>6</w:t>
      </w:r>
      <w:r>
        <w:rPr>
          <w:rFonts w:ascii="宋体" w:hAnsi="宋体" w:cs="宋体" w:hint="eastAsia"/>
          <w:sz w:val="18"/>
          <w:szCs w:val="18"/>
        </w:rPr>
        <w:t>月</w:t>
      </w:r>
      <w:r>
        <w:rPr>
          <w:sz w:val="18"/>
          <w:szCs w:val="18"/>
        </w:rPr>
        <w:t>30</w:t>
      </w:r>
      <w:r>
        <w:rPr>
          <w:rFonts w:ascii="宋体" w:hAnsi="宋体" w:cs="宋体" w:hint="eastAsia"/>
          <w:sz w:val="18"/>
          <w:szCs w:val="18"/>
        </w:rPr>
        <w:t>日止，本公司无应披露未披露的重大承诺事项。</w:t>
      </w:r>
    </w:p>
    <w:p w:rsidR="00C526AC" w:rsidRDefault="00E0175D">
      <w:pPr>
        <w:keepNext/>
        <w:keepLines/>
        <w:spacing w:before="300" w:after="300" w:line="280" w:lineRule="exact"/>
        <w:jc w:val="left"/>
        <w:outlineLvl w:val="2"/>
        <w:rPr>
          <w:rFonts w:ascii="宋体" w:hAnsi="宋体" w:cs="宋体"/>
          <w:b/>
          <w:bCs/>
          <w:szCs w:val="21"/>
        </w:rPr>
      </w:pPr>
      <w:bookmarkStart w:id="343" w:name="_Toc989333"/>
      <w:r>
        <w:rPr>
          <w:rFonts w:ascii="宋体" w:hAnsi="宋体" w:cs="宋体"/>
          <w:b/>
          <w:bCs/>
          <w:szCs w:val="21"/>
        </w:rPr>
        <w:t>2、或有事项</w:t>
      </w:r>
      <w:bookmarkEnd w:id="343"/>
    </w:p>
    <w:p w:rsidR="00C526AC" w:rsidRDefault="00E0175D">
      <w:pPr>
        <w:keepNext/>
        <w:keepLines/>
        <w:spacing w:before="300" w:after="300" w:line="280" w:lineRule="exact"/>
        <w:jc w:val="left"/>
        <w:outlineLvl w:val="3"/>
        <w:rPr>
          <w:rFonts w:ascii="宋体" w:hAnsi="宋体" w:cs="宋体"/>
          <w:b/>
          <w:bCs/>
          <w:szCs w:val="21"/>
        </w:rPr>
      </w:pPr>
      <w:bookmarkStart w:id="344" w:name="_Toc989334"/>
      <w:r>
        <w:rPr>
          <w:rFonts w:ascii="宋体" w:hAnsi="宋体" w:cs="宋体"/>
          <w:b/>
          <w:bCs/>
          <w:szCs w:val="21"/>
        </w:rPr>
        <w:t>（1） 资产负债表日存在的重要或有事项</w:t>
      </w:r>
      <w:bookmarkEnd w:id="344"/>
    </w:p>
    <w:p w:rsidR="00C526AC" w:rsidRDefault="00E0175D">
      <w:pPr>
        <w:pStyle w:val="a3"/>
        <w:widowControl/>
        <w:spacing w:before="120" w:beforeAutospacing="0" w:afterAutospacing="0"/>
        <w:jc w:val="both"/>
        <w:rPr>
          <w:sz w:val="18"/>
          <w:szCs w:val="18"/>
        </w:rPr>
      </w:pPr>
      <w:r>
        <w:rPr>
          <w:rFonts w:ascii="宋体" w:hAnsi="宋体" w:cs="宋体" w:hint="eastAsia"/>
          <w:sz w:val="18"/>
          <w:szCs w:val="18"/>
        </w:rPr>
        <w:t>截至</w:t>
      </w:r>
      <w:r>
        <w:rPr>
          <w:sz w:val="18"/>
          <w:szCs w:val="18"/>
        </w:rPr>
        <w:t>2022</w:t>
      </w:r>
      <w:r>
        <w:rPr>
          <w:rFonts w:ascii="宋体" w:hAnsi="宋体" w:cs="宋体" w:hint="eastAsia"/>
          <w:sz w:val="18"/>
          <w:szCs w:val="18"/>
        </w:rPr>
        <w:t>年</w:t>
      </w:r>
      <w:r>
        <w:rPr>
          <w:sz w:val="18"/>
          <w:szCs w:val="18"/>
        </w:rPr>
        <w:t>6</w:t>
      </w:r>
      <w:r>
        <w:rPr>
          <w:rFonts w:ascii="宋体" w:hAnsi="宋体" w:cs="宋体" w:hint="eastAsia"/>
          <w:sz w:val="18"/>
          <w:szCs w:val="18"/>
        </w:rPr>
        <w:t>月</w:t>
      </w:r>
      <w:r>
        <w:rPr>
          <w:sz w:val="18"/>
          <w:szCs w:val="18"/>
        </w:rPr>
        <w:t>30</w:t>
      </w:r>
      <w:r>
        <w:rPr>
          <w:rFonts w:ascii="宋体" w:hAnsi="宋体" w:cs="宋体" w:hint="eastAsia"/>
          <w:sz w:val="18"/>
          <w:szCs w:val="18"/>
        </w:rPr>
        <w:t>日止，本公司无应披露未披露的重大或有事项。</w:t>
      </w:r>
    </w:p>
    <w:p w:rsidR="00C526AC" w:rsidRDefault="00E0175D">
      <w:pPr>
        <w:keepNext/>
        <w:keepLines/>
        <w:spacing w:before="300" w:after="300" w:line="280" w:lineRule="exact"/>
        <w:jc w:val="left"/>
        <w:outlineLvl w:val="3"/>
        <w:rPr>
          <w:rFonts w:ascii="宋体" w:hAnsi="宋体" w:cs="宋体"/>
          <w:b/>
          <w:bCs/>
          <w:szCs w:val="21"/>
        </w:rPr>
      </w:pPr>
      <w:bookmarkStart w:id="345" w:name="_Toc989335"/>
      <w:r>
        <w:rPr>
          <w:rFonts w:ascii="宋体" w:hAnsi="宋体" w:cs="宋体"/>
          <w:b/>
          <w:bCs/>
          <w:szCs w:val="21"/>
        </w:rPr>
        <w:t>（2） 公司没有需要披露的重要或有事项，也应予以说明</w:t>
      </w:r>
      <w:bookmarkEnd w:id="345"/>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公司不存在需要披露的重要或有事项。</w:t>
      </w:r>
    </w:p>
    <w:p w:rsidR="00C526AC" w:rsidRDefault="00E0175D">
      <w:pPr>
        <w:keepNext/>
        <w:keepLines/>
        <w:spacing w:before="300" w:after="300" w:line="280" w:lineRule="exact"/>
        <w:jc w:val="left"/>
        <w:outlineLvl w:val="2"/>
        <w:rPr>
          <w:rFonts w:ascii="宋体" w:hAnsi="宋体" w:cs="宋体"/>
          <w:b/>
          <w:bCs/>
          <w:szCs w:val="21"/>
        </w:rPr>
      </w:pPr>
      <w:bookmarkStart w:id="346" w:name="_Toc989336"/>
      <w:r>
        <w:rPr>
          <w:rFonts w:ascii="宋体" w:hAnsi="宋体" w:cs="宋体"/>
          <w:b/>
          <w:bCs/>
          <w:szCs w:val="21"/>
        </w:rPr>
        <w:t>3、其他</w:t>
      </w:r>
      <w:bookmarkEnd w:id="346"/>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347" w:name="_Toc989337"/>
      <w:r>
        <w:rPr>
          <w:rFonts w:ascii="宋体" w:hAnsi="宋体" w:cs="宋体"/>
          <w:b/>
          <w:bCs/>
          <w:sz w:val="24"/>
          <w:szCs w:val="24"/>
        </w:rPr>
        <w:t>十五、资产负债表日后事项</w:t>
      </w:r>
      <w:bookmarkEnd w:id="347"/>
    </w:p>
    <w:p w:rsidR="00C526AC" w:rsidRDefault="00E0175D">
      <w:pPr>
        <w:keepNext/>
        <w:keepLines/>
        <w:spacing w:before="300" w:after="300" w:line="280" w:lineRule="exact"/>
        <w:jc w:val="left"/>
        <w:outlineLvl w:val="2"/>
        <w:rPr>
          <w:rFonts w:ascii="宋体" w:hAnsi="宋体" w:cs="宋体"/>
          <w:b/>
          <w:bCs/>
          <w:szCs w:val="21"/>
        </w:rPr>
      </w:pPr>
      <w:bookmarkStart w:id="348" w:name="_Toc989338"/>
      <w:r>
        <w:rPr>
          <w:rFonts w:ascii="宋体" w:hAnsi="宋体" w:cs="宋体"/>
          <w:b/>
          <w:bCs/>
          <w:szCs w:val="21"/>
        </w:rPr>
        <w:t>1、重要的非调整事项</w:t>
      </w:r>
      <w:bookmarkEnd w:id="348"/>
    </w:p>
    <w:p w:rsidR="004A5A58" w:rsidRDefault="004A5A58" w:rsidP="004A5A58">
      <w:pPr>
        <w:pStyle w:val="a3"/>
        <w:widowControl/>
      </w:pPr>
      <w:bookmarkStart w:id="349" w:name="_Toc989339"/>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r>
        <w:rPr>
          <w:rFonts w:ascii="宋体" w:hAnsi="宋体" w:cs="宋体"/>
          <w:b/>
          <w:bCs/>
          <w:szCs w:val="21"/>
        </w:rPr>
        <w:t>2、利润分配情况</w:t>
      </w:r>
      <w:bookmarkEnd w:id="349"/>
    </w:p>
    <w:p w:rsidR="004A5A58" w:rsidRDefault="004A5A58" w:rsidP="004A5A58">
      <w:pPr>
        <w:pStyle w:val="a3"/>
        <w:widowControl/>
      </w:pPr>
      <w:bookmarkStart w:id="350" w:name="_Toc989340"/>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r>
        <w:rPr>
          <w:rFonts w:ascii="宋体" w:hAnsi="宋体" w:cs="宋体"/>
          <w:b/>
          <w:bCs/>
          <w:szCs w:val="21"/>
        </w:rPr>
        <w:t>3、销售退回</w:t>
      </w:r>
      <w:bookmarkEnd w:id="350"/>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51" w:name="_Toc989341"/>
      <w:r>
        <w:rPr>
          <w:rFonts w:ascii="宋体" w:hAnsi="宋体" w:cs="宋体"/>
          <w:b/>
          <w:bCs/>
          <w:szCs w:val="21"/>
        </w:rPr>
        <w:t>4、其他资产负债表日后事项说明</w:t>
      </w:r>
      <w:bookmarkEnd w:id="351"/>
    </w:p>
    <w:p w:rsidR="004A5A58" w:rsidRDefault="004A5A58" w:rsidP="004A5A58">
      <w:pPr>
        <w:pStyle w:val="a3"/>
        <w:widowControl/>
      </w:pPr>
      <w:bookmarkStart w:id="352" w:name="_Toc989342"/>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r>
        <w:rPr>
          <w:rFonts w:ascii="宋体" w:hAnsi="宋体" w:cs="宋体"/>
          <w:b/>
          <w:bCs/>
          <w:sz w:val="24"/>
          <w:szCs w:val="24"/>
        </w:rPr>
        <w:t>十六、其他重要事项</w:t>
      </w:r>
      <w:bookmarkEnd w:id="352"/>
    </w:p>
    <w:p w:rsidR="00C526AC" w:rsidRDefault="00E0175D">
      <w:pPr>
        <w:keepNext/>
        <w:keepLines/>
        <w:spacing w:before="300" w:after="300" w:line="280" w:lineRule="exact"/>
        <w:jc w:val="left"/>
        <w:outlineLvl w:val="2"/>
        <w:rPr>
          <w:rFonts w:ascii="宋体" w:hAnsi="宋体" w:cs="宋体"/>
          <w:b/>
          <w:bCs/>
          <w:szCs w:val="21"/>
        </w:rPr>
      </w:pPr>
      <w:bookmarkStart w:id="353" w:name="_Toc989343"/>
      <w:r>
        <w:rPr>
          <w:rFonts w:ascii="宋体" w:hAnsi="宋体" w:cs="宋体"/>
          <w:b/>
          <w:bCs/>
          <w:szCs w:val="21"/>
        </w:rPr>
        <w:t>1、前期会计差错更正</w:t>
      </w:r>
      <w:bookmarkEnd w:id="353"/>
    </w:p>
    <w:p w:rsidR="004A5A58" w:rsidRDefault="004A5A58" w:rsidP="004A5A58">
      <w:pPr>
        <w:pStyle w:val="a3"/>
        <w:widowControl/>
      </w:pPr>
      <w:bookmarkStart w:id="354" w:name="_Toc989346"/>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r>
        <w:rPr>
          <w:rFonts w:ascii="宋体" w:hAnsi="宋体" w:cs="宋体"/>
          <w:b/>
          <w:bCs/>
          <w:szCs w:val="21"/>
        </w:rPr>
        <w:t>2、债务重组</w:t>
      </w:r>
      <w:bookmarkEnd w:id="354"/>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55" w:name="_Toc989347"/>
      <w:r>
        <w:rPr>
          <w:rFonts w:ascii="宋体" w:hAnsi="宋体" w:cs="宋体"/>
          <w:b/>
          <w:bCs/>
          <w:szCs w:val="21"/>
        </w:rPr>
        <w:t>3、资产置换</w:t>
      </w:r>
      <w:bookmarkEnd w:id="355"/>
    </w:p>
    <w:p w:rsidR="00C526AC" w:rsidRDefault="00E0175D">
      <w:pPr>
        <w:keepNext/>
        <w:keepLines/>
        <w:spacing w:before="300" w:after="300" w:line="280" w:lineRule="exact"/>
        <w:jc w:val="left"/>
        <w:outlineLvl w:val="3"/>
        <w:rPr>
          <w:rFonts w:ascii="宋体" w:hAnsi="宋体" w:cs="宋体"/>
          <w:b/>
          <w:bCs/>
          <w:szCs w:val="21"/>
        </w:rPr>
      </w:pPr>
      <w:bookmarkStart w:id="356" w:name="_Toc989348"/>
      <w:r>
        <w:rPr>
          <w:rFonts w:ascii="宋体" w:hAnsi="宋体" w:cs="宋体"/>
          <w:b/>
          <w:bCs/>
          <w:szCs w:val="21"/>
        </w:rPr>
        <w:t>（1） 非货币性资产交换</w:t>
      </w:r>
      <w:bookmarkEnd w:id="356"/>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57" w:name="_Toc989349"/>
      <w:r>
        <w:rPr>
          <w:rFonts w:ascii="宋体" w:hAnsi="宋体" w:cs="宋体"/>
          <w:b/>
          <w:bCs/>
          <w:szCs w:val="21"/>
        </w:rPr>
        <w:t>（2） 其他资产置换</w:t>
      </w:r>
      <w:bookmarkEnd w:id="357"/>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58" w:name="_Toc989350"/>
      <w:r>
        <w:rPr>
          <w:rFonts w:ascii="宋体" w:hAnsi="宋体" w:cs="宋体"/>
          <w:b/>
          <w:bCs/>
          <w:szCs w:val="21"/>
        </w:rPr>
        <w:t>4、年金计划</w:t>
      </w:r>
      <w:bookmarkEnd w:id="358"/>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59" w:name="_Toc989351"/>
      <w:r>
        <w:rPr>
          <w:rFonts w:ascii="宋体" w:hAnsi="宋体" w:cs="宋体"/>
          <w:b/>
          <w:bCs/>
          <w:szCs w:val="21"/>
        </w:rPr>
        <w:t>5、终止经营</w:t>
      </w:r>
      <w:bookmarkEnd w:id="359"/>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60" w:name="_Toc989352"/>
      <w:r>
        <w:rPr>
          <w:rFonts w:ascii="宋体" w:hAnsi="宋体" w:cs="宋体"/>
          <w:b/>
          <w:bCs/>
          <w:szCs w:val="21"/>
        </w:rPr>
        <w:t>6、分部信息</w:t>
      </w:r>
      <w:bookmarkEnd w:id="360"/>
    </w:p>
    <w:p w:rsidR="00C526AC" w:rsidRDefault="00E0175D">
      <w:pPr>
        <w:keepNext/>
        <w:keepLines/>
        <w:spacing w:before="300" w:after="300" w:line="280" w:lineRule="exact"/>
        <w:jc w:val="left"/>
        <w:outlineLvl w:val="3"/>
        <w:rPr>
          <w:rFonts w:ascii="宋体" w:hAnsi="宋体" w:cs="宋体"/>
          <w:b/>
          <w:bCs/>
          <w:szCs w:val="21"/>
        </w:rPr>
      </w:pPr>
      <w:bookmarkStart w:id="361" w:name="_Toc989353"/>
      <w:r>
        <w:rPr>
          <w:rFonts w:ascii="宋体" w:hAnsi="宋体" w:cs="宋体"/>
          <w:b/>
          <w:bCs/>
          <w:szCs w:val="21"/>
        </w:rPr>
        <w:t>（1） 报告分部的确定依据与会计政策</w:t>
      </w:r>
      <w:bookmarkEnd w:id="361"/>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62" w:name="_Toc989354"/>
      <w:r>
        <w:rPr>
          <w:rFonts w:ascii="宋体" w:hAnsi="宋体" w:cs="宋体"/>
          <w:b/>
          <w:bCs/>
          <w:szCs w:val="21"/>
        </w:rPr>
        <w:t>（2） 报告分部的财务信息</w:t>
      </w:r>
      <w:bookmarkEnd w:id="362"/>
    </w:p>
    <w:p w:rsidR="004A5A58" w:rsidRDefault="004A5A58" w:rsidP="004A5A58">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63" w:name="_Toc989355"/>
      <w:r>
        <w:rPr>
          <w:rFonts w:ascii="宋体" w:hAnsi="宋体" w:cs="宋体"/>
          <w:b/>
          <w:bCs/>
          <w:szCs w:val="21"/>
        </w:rPr>
        <w:t>（3） 公司无报告分部的，或者不能披露各报告分部的资产总额和负债总额的，应说明原因</w:t>
      </w:r>
      <w:bookmarkEnd w:id="363"/>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64" w:name="_Toc989356"/>
      <w:r>
        <w:rPr>
          <w:rFonts w:ascii="宋体" w:hAnsi="宋体" w:cs="宋体"/>
          <w:b/>
          <w:bCs/>
          <w:szCs w:val="21"/>
        </w:rPr>
        <w:t>（4） 其他说明</w:t>
      </w:r>
      <w:bookmarkEnd w:id="364"/>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65" w:name="_Toc989357"/>
      <w:r>
        <w:rPr>
          <w:rFonts w:ascii="宋体" w:hAnsi="宋体" w:cs="宋体"/>
          <w:b/>
          <w:bCs/>
          <w:szCs w:val="21"/>
        </w:rPr>
        <w:t>7、其他对投资者决策有影响的重要交易和事项</w:t>
      </w:r>
      <w:bookmarkEnd w:id="365"/>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66" w:name="_Toc989358"/>
      <w:r>
        <w:rPr>
          <w:rFonts w:ascii="宋体" w:hAnsi="宋体" w:cs="宋体"/>
          <w:b/>
          <w:bCs/>
          <w:szCs w:val="21"/>
        </w:rPr>
        <w:t>8、其他</w:t>
      </w:r>
      <w:bookmarkEnd w:id="366"/>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320" w:lineRule="exact"/>
        <w:jc w:val="left"/>
        <w:outlineLvl w:val="1"/>
        <w:rPr>
          <w:rFonts w:ascii="宋体" w:hAnsi="宋体" w:cs="宋体"/>
          <w:b/>
          <w:bCs/>
          <w:sz w:val="24"/>
          <w:szCs w:val="24"/>
        </w:rPr>
      </w:pPr>
      <w:bookmarkStart w:id="367" w:name="_Toc989359"/>
      <w:r>
        <w:rPr>
          <w:rFonts w:ascii="宋体" w:hAnsi="宋体" w:cs="宋体"/>
          <w:b/>
          <w:bCs/>
          <w:sz w:val="24"/>
          <w:szCs w:val="24"/>
        </w:rPr>
        <w:t>十七、母公司财务报表主要项目注释</w:t>
      </w:r>
      <w:bookmarkEnd w:id="367"/>
    </w:p>
    <w:p w:rsidR="00C526AC" w:rsidRDefault="00E0175D">
      <w:pPr>
        <w:keepNext/>
        <w:keepLines/>
        <w:spacing w:before="300" w:after="300" w:line="280" w:lineRule="exact"/>
        <w:jc w:val="left"/>
        <w:outlineLvl w:val="2"/>
        <w:rPr>
          <w:rFonts w:ascii="宋体" w:hAnsi="宋体" w:cs="宋体"/>
          <w:b/>
          <w:bCs/>
          <w:szCs w:val="21"/>
        </w:rPr>
      </w:pPr>
      <w:bookmarkStart w:id="368" w:name="_Toc989360"/>
      <w:r>
        <w:rPr>
          <w:rFonts w:ascii="宋体" w:hAnsi="宋体" w:cs="宋体"/>
          <w:b/>
          <w:bCs/>
          <w:szCs w:val="21"/>
        </w:rPr>
        <w:t>1、应收账款</w:t>
      </w:r>
      <w:bookmarkEnd w:id="368"/>
    </w:p>
    <w:p w:rsidR="00C526AC" w:rsidRDefault="00E0175D">
      <w:pPr>
        <w:keepNext/>
        <w:keepLines/>
        <w:spacing w:before="300" w:after="300" w:line="280" w:lineRule="exact"/>
        <w:jc w:val="left"/>
        <w:outlineLvl w:val="3"/>
        <w:rPr>
          <w:rFonts w:ascii="宋体" w:hAnsi="宋体" w:cs="宋体"/>
          <w:b/>
          <w:bCs/>
          <w:szCs w:val="21"/>
        </w:rPr>
      </w:pPr>
      <w:bookmarkStart w:id="369" w:name="_Toc989361"/>
      <w:r>
        <w:rPr>
          <w:rFonts w:ascii="宋体" w:hAnsi="宋体" w:cs="宋体"/>
          <w:b/>
          <w:bCs/>
          <w:szCs w:val="21"/>
        </w:rPr>
        <w:t>（1） 应收账款分类披露</w:t>
      </w:r>
      <w:bookmarkEnd w:id="36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5"/>
        <w:gridCol w:w="876"/>
        <w:gridCol w:w="877"/>
        <w:gridCol w:w="876"/>
        <w:gridCol w:w="877"/>
        <w:gridCol w:w="876"/>
        <w:gridCol w:w="876"/>
        <w:gridCol w:w="877"/>
        <w:gridCol w:w="876"/>
        <w:gridCol w:w="877"/>
        <w:gridCol w:w="876"/>
      </w:tblGrid>
      <w:tr w:rsidR="00C526AC">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r>
      <w:tr w:rsidR="00C526AC">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14,250.00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8,396,316.73</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419,815.84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7,976,500.89</w:t>
            </w:r>
          </w:p>
        </w:tc>
      </w:tr>
      <w:tr w:rsidR="00C526AC" w:rsidTr="009541AB">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100" w:firstLine="180"/>
              <w:jc w:val="left"/>
              <w:rPr>
                <w:rFonts w:ascii="宋体" w:hAnsi="宋体" w:cs="宋体"/>
                <w:sz w:val="18"/>
                <w:szCs w:val="18"/>
              </w:rPr>
            </w:pPr>
            <w:r>
              <w:rPr>
                <w:rFonts w:ascii="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Pr="009541AB" w:rsidRDefault="00E0175D">
            <w:pPr>
              <w:spacing w:line="240" w:lineRule="exact"/>
              <w:jc w:val="left"/>
              <w:rPr>
                <w:rFonts w:ascii="宋体" w:hAnsi="宋体" w:cs="宋体"/>
                <w:sz w:val="18"/>
                <w:szCs w:val="18"/>
                <w:shd w:val="clear" w:color="auto" w:fill="D9D9D9" w:themeFill="background1" w:themeFillShade="D9"/>
              </w:rPr>
            </w:pPr>
            <w:r w:rsidRPr="009541AB">
              <w:rPr>
                <w:rFonts w:ascii="宋体" w:hAnsi="宋体" w:cs="宋体"/>
                <w:sz w:val="18"/>
                <w:szCs w:val="18"/>
                <w:shd w:val="clear" w:color="auto" w:fill="D9D9D9" w:themeFill="background1" w:themeFillShade="D9"/>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14,250.00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8,396,316.73</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419,815.84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7,976,500.89</w:t>
            </w:r>
          </w:p>
        </w:tc>
      </w:tr>
      <w:tr w:rsidR="00C526AC" w:rsidTr="009541AB">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Pr="009541AB" w:rsidRDefault="00E0175D">
            <w:pPr>
              <w:spacing w:line="240" w:lineRule="exact"/>
              <w:jc w:val="left"/>
              <w:rPr>
                <w:rFonts w:ascii="宋体" w:hAnsi="宋体" w:cs="宋体"/>
                <w:sz w:val="18"/>
                <w:szCs w:val="18"/>
                <w:shd w:val="clear" w:color="auto" w:fill="D9D9D9" w:themeFill="background1" w:themeFillShade="D9"/>
              </w:rPr>
            </w:pPr>
            <w:r w:rsidRPr="009541AB">
              <w:rPr>
                <w:rFonts w:ascii="宋体" w:hAnsi="宋体" w:cs="宋体"/>
                <w:sz w:val="18"/>
                <w:szCs w:val="18"/>
                <w:shd w:val="clear" w:color="auto" w:fill="D9D9D9" w:themeFill="background1" w:themeFillShade="D9"/>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14,250.00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8,396,316.73</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419,815.84</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7,976,500.89</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如是按照预期信用损失一般模型计提应收账款坏账准备，请参照其他应收款的披露方式披露坏账准备的相关信息：</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按账龄披露</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w:t>
            </w:r>
          </w:p>
        </w:tc>
      </w:tr>
    </w:tbl>
    <w:p w:rsidR="00C526AC" w:rsidRDefault="00E0175D">
      <w:pPr>
        <w:keepNext/>
        <w:keepLines/>
        <w:spacing w:before="300" w:after="300" w:line="280" w:lineRule="exact"/>
        <w:jc w:val="left"/>
        <w:outlineLvl w:val="3"/>
        <w:rPr>
          <w:rFonts w:ascii="宋体" w:hAnsi="宋体" w:cs="宋体"/>
          <w:b/>
          <w:bCs/>
          <w:szCs w:val="21"/>
        </w:rPr>
      </w:pPr>
      <w:bookmarkStart w:id="370" w:name="_Toc989362"/>
      <w:r>
        <w:rPr>
          <w:rFonts w:ascii="宋体" w:hAnsi="宋体" w:cs="宋体"/>
          <w:b/>
          <w:bCs/>
          <w:szCs w:val="21"/>
        </w:rPr>
        <w:t>（2） 本期计提、收回或转回的坏账准备情况</w:t>
      </w:r>
      <w:bookmarkEnd w:id="370"/>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本期计提坏账准备情况：</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9541AB">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预期</w:t>
            </w:r>
            <w:r w:rsidRPr="009541AB">
              <w:rPr>
                <w:rFonts w:ascii="宋体" w:hAnsi="宋体" w:cs="宋体"/>
                <w:sz w:val="18"/>
                <w:szCs w:val="18"/>
                <w:shd w:val="clear" w:color="auto" w:fill="D9D9D9" w:themeFill="background1" w:themeFillShade="D9"/>
              </w:rPr>
              <w:t>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419,815.84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419,065.84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750.00</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419,815.84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419,065.84</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750.00</w:t>
            </w:r>
          </w:p>
        </w:tc>
      </w:tr>
    </w:tbl>
    <w:p w:rsidR="00C526AC" w:rsidRDefault="00E0175D" w:rsidP="004A5A58">
      <w:pPr>
        <w:spacing w:before="100" w:after="100" w:line="240" w:lineRule="exact"/>
        <w:jc w:val="left"/>
      </w:pPr>
      <w:r>
        <w:rPr>
          <w:rFonts w:ascii="宋体" w:hAnsi="宋体" w:cs="宋体"/>
          <w:sz w:val="18"/>
          <w:szCs w:val="18"/>
        </w:rPr>
        <w:t>其中本期坏账准备收回或转回金额重要的：</w:t>
      </w:r>
      <w:r w:rsidR="004A5A58">
        <w:rPr>
          <w:rFonts w:ascii="宋体" w:hAnsi="宋体" w:cs="宋体" w:hint="eastAsia"/>
          <w:sz w:val="18"/>
          <w:szCs w:val="18"/>
        </w:rPr>
        <w:t>无</w:t>
      </w:r>
      <w:r w:rsidR="004A5A58">
        <w:t xml:space="preserve"> </w:t>
      </w:r>
    </w:p>
    <w:p w:rsidR="00C526AC" w:rsidRDefault="00E0175D">
      <w:pPr>
        <w:keepNext/>
        <w:keepLines/>
        <w:spacing w:before="300" w:after="300" w:line="280" w:lineRule="exact"/>
        <w:jc w:val="left"/>
        <w:outlineLvl w:val="3"/>
        <w:rPr>
          <w:rFonts w:ascii="宋体" w:hAnsi="宋体" w:cs="宋体"/>
          <w:b/>
          <w:bCs/>
          <w:szCs w:val="21"/>
        </w:rPr>
      </w:pPr>
      <w:bookmarkStart w:id="371" w:name="_Toc989363"/>
      <w:r>
        <w:rPr>
          <w:rFonts w:ascii="宋体" w:hAnsi="宋体" w:cs="宋体"/>
          <w:b/>
          <w:bCs/>
          <w:szCs w:val="21"/>
        </w:rPr>
        <w:t>（3） 本期实际核销的应收账款情况</w:t>
      </w:r>
      <w:bookmarkEnd w:id="371"/>
    </w:p>
    <w:p w:rsidR="004A5A58" w:rsidRDefault="00E0175D" w:rsidP="004A5A58">
      <w:pPr>
        <w:pStyle w:val="a3"/>
        <w:widowControl/>
      </w:pPr>
      <w:r>
        <w:rPr>
          <w:rFonts w:ascii="宋体" w:hAnsi="宋体" w:cs="宋体"/>
          <w:sz w:val="18"/>
          <w:szCs w:val="18"/>
        </w:rPr>
        <w:t>其中重要的应收账款核销情况：</w:t>
      </w:r>
      <w:r w:rsidR="004A5A58">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应收账款核销说明：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72" w:name="_Toc989364"/>
      <w:r>
        <w:rPr>
          <w:rFonts w:ascii="宋体" w:hAnsi="宋体" w:cs="宋体"/>
          <w:b/>
          <w:bCs/>
          <w:szCs w:val="21"/>
        </w:rPr>
        <w:t>（4） 按欠款方归集的期末余额前五名的应收账款情况</w:t>
      </w:r>
      <w:bookmarkEnd w:id="372"/>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坏账准备期末余额</w:t>
            </w:r>
          </w:p>
        </w:tc>
      </w:tr>
      <w:tr w:rsidR="00C526AC" w:rsidTr="009541A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第一名</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750.00</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15,000.00</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bl>
    <w:p w:rsidR="00C526AC" w:rsidRDefault="00E0175D">
      <w:pPr>
        <w:keepNext/>
        <w:keepLines/>
        <w:spacing w:before="300" w:after="300" w:line="280" w:lineRule="exact"/>
        <w:jc w:val="left"/>
        <w:outlineLvl w:val="3"/>
        <w:rPr>
          <w:rFonts w:ascii="宋体" w:hAnsi="宋体" w:cs="宋体"/>
          <w:b/>
          <w:bCs/>
          <w:szCs w:val="21"/>
        </w:rPr>
      </w:pPr>
      <w:bookmarkStart w:id="373" w:name="_Toc989365"/>
      <w:r>
        <w:rPr>
          <w:rFonts w:ascii="宋体" w:hAnsi="宋体" w:cs="宋体"/>
          <w:b/>
          <w:bCs/>
          <w:szCs w:val="21"/>
        </w:rPr>
        <w:t>（5） 因金融资产转移而终止确认的应收账款</w:t>
      </w:r>
      <w:bookmarkEnd w:id="373"/>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bookmarkStart w:id="374" w:name="_Toc989366"/>
      <w:r>
        <w:rPr>
          <w:rFonts w:ascii="宋体" w:hAnsi="宋体" w:cs="宋体"/>
          <w:b/>
          <w:bCs/>
          <w:szCs w:val="21"/>
        </w:rPr>
        <w:t>（6） 转移应收账款且继续涉入形成的资产、负债金额</w:t>
      </w:r>
      <w:bookmarkEnd w:id="374"/>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r w:rsidR="004A5A58">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75" w:name="_Toc989367"/>
      <w:r>
        <w:rPr>
          <w:rFonts w:ascii="宋体" w:hAnsi="宋体" w:cs="宋体"/>
          <w:b/>
          <w:bCs/>
          <w:szCs w:val="21"/>
        </w:rPr>
        <w:t>2、其他应收款</w:t>
      </w:r>
      <w:bookmarkEnd w:id="37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7,295,981.12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247,378,819.30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677,033,934.18</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254,674,800.42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777,033,934.18</w:t>
            </w:r>
          </w:p>
        </w:tc>
      </w:tr>
    </w:tbl>
    <w:p w:rsidR="00C526AC" w:rsidRDefault="00E0175D">
      <w:pPr>
        <w:keepNext/>
        <w:keepLines/>
        <w:spacing w:before="300" w:after="300" w:line="280" w:lineRule="exact"/>
        <w:jc w:val="left"/>
        <w:outlineLvl w:val="3"/>
        <w:rPr>
          <w:rFonts w:ascii="宋体" w:hAnsi="宋体" w:cs="宋体"/>
          <w:b/>
          <w:bCs/>
          <w:sz w:val="18"/>
          <w:szCs w:val="18"/>
        </w:rPr>
      </w:pPr>
      <w:bookmarkStart w:id="376" w:name="_Toc989368"/>
      <w:r>
        <w:rPr>
          <w:rFonts w:ascii="宋体" w:hAnsi="宋体" w:cs="宋体"/>
          <w:b/>
          <w:bCs/>
          <w:sz w:val="18"/>
          <w:szCs w:val="18"/>
        </w:rPr>
        <w:t>（1） 应收利息</w:t>
      </w:r>
      <w:bookmarkEnd w:id="376"/>
    </w:p>
    <w:p w:rsidR="00C526AC" w:rsidRDefault="00E0175D">
      <w:pPr>
        <w:keepNext/>
        <w:keepLines/>
        <w:spacing w:before="300" w:after="300" w:line="280" w:lineRule="exact"/>
        <w:jc w:val="left"/>
        <w:outlineLvl w:val="4"/>
        <w:rPr>
          <w:rFonts w:ascii="宋体" w:hAnsi="宋体" w:cs="宋体"/>
          <w:b/>
          <w:bCs/>
          <w:sz w:val="18"/>
          <w:szCs w:val="18"/>
        </w:rPr>
      </w:pPr>
      <w:bookmarkStart w:id="377" w:name="_Toc989369"/>
      <w:r>
        <w:rPr>
          <w:rFonts w:ascii="宋体" w:hAnsi="宋体" w:cs="宋体"/>
          <w:b/>
          <w:bCs/>
          <w:sz w:val="18"/>
          <w:szCs w:val="18"/>
        </w:rPr>
        <w:t>1） 应收利息分类</w:t>
      </w:r>
      <w:bookmarkEnd w:id="377"/>
    </w:p>
    <w:p w:rsidR="004A5A58" w:rsidRDefault="004A5A58" w:rsidP="004A5A58">
      <w:pPr>
        <w:pStyle w:val="a3"/>
        <w:widowControl/>
      </w:pPr>
      <w:bookmarkStart w:id="378" w:name="_Toc989370"/>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 w:val="18"/>
          <w:szCs w:val="18"/>
        </w:rPr>
      </w:pPr>
      <w:r>
        <w:rPr>
          <w:rFonts w:ascii="宋体" w:hAnsi="宋体" w:cs="宋体"/>
          <w:b/>
          <w:bCs/>
          <w:sz w:val="18"/>
          <w:szCs w:val="18"/>
        </w:rPr>
        <w:t>2） 重要逾期利息</w:t>
      </w:r>
      <w:bookmarkEnd w:id="378"/>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 w:val="18"/>
          <w:szCs w:val="18"/>
        </w:rPr>
      </w:pPr>
      <w:bookmarkStart w:id="379" w:name="_Toc989371"/>
      <w:r>
        <w:rPr>
          <w:rFonts w:ascii="宋体" w:hAnsi="宋体" w:cs="宋体"/>
          <w:b/>
          <w:bCs/>
          <w:sz w:val="18"/>
          <w:szCs w:val="18"/>
        </w:rPr>
        <w:t>3） 坏账准备计提情况</w:t>
      </w:r>
      <w:bookmarkEnd w:id="379"/>
    </w:p>
    <w:p w:rsidR="00C526AC" w:rsidRDefault="00E0175D">
      <w:pPr>
        <w:spacing w:before="40" w:after="40" w:line="240" w:lineRule="exact"/>
        <w:jc w:val="left"/>
        <w:rPr>
          <w:rFonts w:ascii="宋体" w:hAnsi="宋体" w:cs="宋体"/>
          <w:sz w:val="18"/>
          <w:szCs w:val="18"/>
        </w:rPr>
      </w:pPr>
      <w:r>
        <w:rPr>
          <w:rFonts w:ascii="宋体" w:hAnsi="宋体" w:cs="宋体"/>
          <w:sz w:val="18"/>
          <w:szCs w:val="18"/>
        </w:rPr>
        <w:sym w:font="Wingdings 2" w:char="F052"/>
      </w:r>
      <w:r>
        <w:rPr>
          <w:rFonts w:ascii="宋体" w:hAnsi="宋体" w:cs="宋体"/>
          <w:sz w:val="18"/>
          <w:szCs w:val="18"/>
        </w:rPr>
        <w:t>适用 □不适用</w:t>
      </w:r>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2,413,995.92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2,413,995.92</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9,609.81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9,609.81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2,423,605.73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2,423,605.73</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损失准备本期变动金额重大的账面余额变动情况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 w:val="18"/>
          <w:szCs w:val="18"/>
        </w:rPr>
      </w:pPr>
      <w:bookmarkStart w:id="380" w:name="_Toc989372"/>
      <w:r>
        <w:rPr>
          <w:rFonts w:ascii="宋体" w:hAnsi="宋体" w:cs="宋体"/>
          <w:b/>
          <w:bCs/>
          <w:sz w:val="18"/>
          <w:szCs w:val="18"/>
        </w:rPr>
        <w:t>（2） 应收股利</w:t>
      </w:r>
      <w:bookmarkEnd w:id="380"/>
    </w:p>
    <w:p w:rsidR="00C526AC" w:rsidRDefault="00E0175D">
      <w:pPr>
        <w:keepNext/>
        <w:keepLines/>
        <w:spacing w:before="300" w:after="300" w:line="280" w:lineRule="exact"/>
        <w:jc w:val="left"/>
        <w:outlineLvl w:val="4"/>
        <w:rPr>
          <w:rFonts w:ascii="宋体" w:hAnsi="宋体" w:cs="宋体"/>
          <w:b/>
          <w:bCs/>
          <w:sz w:val="18"/>
          <w:szCs w:val="18"/>
        </w:rPr>
      </w:pPr>
      <w:bookmarkStart w:id="381" w:name="_Toc989373"/>
      <w:r>
        <w:rPr>
          <w:rFonts w:ascii="宋体" w:hAnsi="宋体" w:cs="宋体"/>
          <w:b/>
          <w:bCs/>
          <w:sz w:val="18"/>
          <w:szCs w:val="18"/>
        </w:rPr>
        <w:t>1） 应收股利分类</w:t>
      </w:r>
      <w:bookmarkEnd w:id="381"/>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浙江华孚色纺有限公司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7,295,981.12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深圳市华孚进出口有限公司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7,295,981.12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w:t>
            </w:r>
          </w:p>
        </w:tc>
      </w:tr>
    </w:tbl>
    <w:p w:rsidR="00C526AC" w:rsidRDefault="00E0175D">
      <w:pPr>
        <w:keepNext/>
        <w:keepLines/>
        <w:spacing w:before="300" w:after="300" w:line="280" w:lineRule="exact"/>
        <w:jc w:val="left"/>
        <w:outlineLvl w:val="4"/>
        <w:rPr>
          <w:rFonts w:ascii="宋体" w:hAnsi="宋体" w:cs="宋体"/>
          <w:b/>
          <w:bCs/>
          <w:sz w:val="18"/>
          <w:szCs w:val="18"/>
        </w:rPr>
      </w:pPr>
      <w:bookmarkStart w:id="382" w:name="_Toc989374"/>
      <w:r>
        <w:rPr>
          <w:rFonts w:ascii="宋体" w:hAnsi="宋体" w:cs="宋体"/>
          <w:b/>
          <w:bCs/>
          <w:sz w:val="18"/>
          <w:szCs w:val="18"/>
        </w:rPr>
        <w:t>2） 重要的账龄超过1年的应收股利</w:t>
      </w:r>
      <w:bookmarkEnd w:id="382"/>
    </w:p>
    <w:p w:rsidR="004A5A58" w:rsidRDefault="004A5A58" w:rsidP="004A5A58">
      <w:pPr>
        <w:pStyle w:val="a3"/>
        <w:widowControl/>
      </w:pPr>
      <w:bookmarkStart w:id="383" w:name="_Toc989375"/>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 w:val="18"/>
          <w:szCs w:val="18"/>
        </w:rPr>
      </w:pPr>
      <w:r>
        <w:rPr>
          <w:rFonts w:ascii="宋体" w:hAnsi="宋体" w:cs="宋体"/>
          <w:b/>
          <w:bCs/>
          <w:sz w:val="18"/>
          <w:szCs w:val="18"/>
        </w:rPr>
        <w:t>3） 坏账准备计提情况</w:t>
      </w:r>
      <w:bookmarkEnd w:id="383"/>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 w:val="18"/>
          <w:szCs w:val="18"/>
        </w:rPr>
      </w:pPr>
      <w:bookmarkStart w:id="384" w:name="_Toc989376"/>
      <w:r>
        <w:rPr>
          <w:rFonts w:ascii="宋体" w:hAnsi="宋体" w:cs="宋体"/>
          <w:b/>
          <w:bCs/>
          <w:sz w:val="18"/>
          <w:szCs w:val="18"/>
        </w:rPr>
        <w:t>（3） 其他应收款</w:t>
      </w:r>
      <w:bookmarkEnd w:id="384"/>
    </w:p>
    <w:p w:rsidR="00C526AC" w:rsidRDefault="00E0175D">
      <w:pPr>
        <w:keepNext/>
        <w:keepLines/>
        <w:spacing w:before="300" w:after="300" w:line="280" w:lineRule="exact"/>
        <w:jc w:val="left"/>
        <w:outlineLvl w:val="4"/>
        <w:rPr>
          <w:rFonts w:ascii="宋体" w:hAnsi="宋体" w:cs="宋体"/>
          <w:b/>
          <w:bCs/>
          <w:sz w:val="18"/>
          <w:szCs w:val="18"/>
        </w:rPr>
      </w:pPr>
      <w:bookmarkStart w:id="385" w:name="_Toc989377"/>
      <w:r>
        <w:rPr>
          <w:rFonts w:ascii="宋体" w:hAnsi="宋体" w:cs="宋体"/>
          <w:b/>
          <w:bCs/>
          <w:sz w:val="18"/>
          <w:szCs w:val="18"/>
        </w:rPr>
        <w:t>1） 其他应收款按款项性质分类情况</w:t>
      </w:r>
      <w:bookmarkEnd w:id="385"/>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期初账面余额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暂借款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132,580.03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38,124,000.00</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132,580.03</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249,595,116.07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641,191,350.07</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应收股权转让款</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74,728.93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249,802,425.03</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679,447,930.10</w:t>
            </w:r>
          </w:p>
        </w:tc>
      </w:tr>
    </w:tbl>
    <w:p w:rsidR="00C526AC" w:rsidRDefault="00E0175D">
      <w:pPr>
        <w:keepNext/>
        <w:keepLines/>
        <w:spacing w:before="300" w:after="300" w:line="280" w:lineRule="exact"/>
        <w:jc w:val="left"/>
        <w:outlineLvl w:val="4"/>
        <w:rPr>
          <w:rFonts w:ascii="宋体" w:hAnsi="宋体" w:cs="宋体"/>
          <w:b/>
          <w:bCs/>
          <w:sz w:val="18"/>
          <w:szCs w:val="18"/>
        </w:rPr>
      </w:pPr>
      <w:bookmarkStart w:id="386" w:name="_Toc989378"/>
      <w:r>
        <w:rPr>
          <w:rFonts w:ascii="宋体" w:hAnsi="宋体" w:cs="宋体"/>
          <w:b/>
          <w:bCs/>
          <w:sz w:val="18"/>
          <w:szCs w:val="18"/>
        </w:rPr>
        <w:t>2） 坏账准备计提情况</w:t>
      </w:r>
      <w:bookmarkEnd w:id="386"/>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2,413,995.92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2,413,995.92</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9,609.81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9,609.81</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2022年6月30日余额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2,423,605.73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2,423,605.73</w:t>
            </w:r>
          </w:p>
        </w:tc>
      </w:tr>
    </w:tbl>
    <w:p w:rsidR="00C526AC" w:rsidRDefault="00E0175D">
      <w:pPr>
        <w:spacing w:before="100" w:after="40" w:line="240" w:lineRule="exact"/>
        <w:jc w:val="left"/>
        <w:rPr>
          <w:rFonts w:ascii="宋体" w:hAnsi="宋体" w:cs="宋体"/>
          <w:sz w:val="18"/>
          <w:szCs w:val="18"/>
        </w:rPr>
      </w:pPr>
      <w:r>
        <w:rPr>
          <w:rFonts w:ascii="宋体" w:hAnsi="宋体" w:cs="宋体"/>
          <w:sz w:val="18"/>
          <w:szCs w:val="18"/>
        </w:rPr>
        <w:t>损失准备本期变动金额重大的账面余额变动情况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spacing w:before="100" w:after="40" w:line="240" w:lineRule="exact"/>
        <w:jc w:val="left"/>
        <w:rPr>
          <w:rFonts w:ascii="宋体" w:hAnsi="宋体" w:cs="宋体"/>
          <w:sz w:val="18"/>
          <w:szCs w:val="18"/>
        </w:rPr>
      </w:pPr>
      <w:r>
        <w:rPr>
          <w:rFonts w:ascii="宋体" w:hAnsi="宋体" w:cs="宋体"/>
          <w:sz w:val="18"/>
          <w:szCs w:val="18"/>
        </w:rPr>
        <w:t>按账龄披露</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20"/>
        <w:gridCol w:w="4819"/>
      </w:tblGrid>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239,667,845.00</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10,131,467.24</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3,112.79</w:t>
            </w:r>
          </w:p>
        </w:tc>
      </w:tr>
      <w:tr w:rsidR="00C526AC">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526AC" w:rsidRDefault="00AC6922">
            <w:pPr>
              <w:spacing w:line="240" w:lineRule="exact"/>
              <w:jc w:val="right"/>
              <w:rPr>
                <w:rFonts w:ascii="宋体" w:hAnsi="宋体" w:cs="宋体"/>
                <w:sz w:val="18"/>
                <w:szCs w:val="18"/>
              </w:rPr>
            </w:pPr>
            <w:r w:rsidRPr="00AC6922">
              <w:rPr>
                <w:rFonts w:ascii="宋体" w:hAnsi="宋体" w:cs="宋体"/>
                <w:sz w:val="18"/>
                <w:szCs w:val="18"/>
              </w:rPr>
              <w:t>249,802,425.03</w:t>
            </w:r>
          </w:p>
        </w:tc>
      </w:tr>
    </w:tbl>
    <w:p w:rsidR="00C526AC" w:rsidRDefault="00E0175D">
      <w:pPr>
        <w:keepNext/>
        <w:keepLines/>
        <w:spacing w:before="300" w:after="300" w:line="280" w:lineRule="exact"/>
        <w:jc w:val="left"/>
        <w:outlineLvl w:val="4"/>
        <w:rPr>
          <w:rFonts w:ascii="宋体" w:hAnsi="宋体" w:cs="宋体"/>
          <w:b/>
          <w:bCs/>
          <w:sz w:val="18"/>
          <w:szCs w:val="18"/>
        </w:rPr>
      </w:pPr>
      <w:bookmarkStart w:id="387" w:name="_Toc989379"/>
      <w:r>
        <w:rPr>
          <w:rFonts w:ascii="宋体" w:hAnsi="宋体" w:cs="宋体"/>
          <w:b/>
          <w:bCs/>
          <w:sz w:val="18"/>
          <w:szCs w:val="18"/>
        </w:rPr>
        <w:t>3） 本期计提、收回或转回的坏账准备情况</w:t>
      </w:r>
      <w:bookmarkEnd w:id="387"/>
    </w:p>
    <w:p w:rsidR="00C526AC" w:rsidRDefault="00E0175D">
      <w:pPr>
        <w:spacing w:line="240" w:lineRule="exact"/>
        <w:jc w:val="left"/>
        <w:rPr>
          <w:rFonts w:ascii="宋体" w:hAnsi="宋体" w:cs="宋体"/>
          <w:sz w:val="18"/>
          <w:szCs w:val="18"/>
        </w:rPr>
      </w:pPr>
      <w:r>
        <w:rPr>
          <w:rFonts w:ascii="宋体" w:hAnsi="宋体" w:cs="宋体"/>
          <w:sz w:val="18"/>
          <w:szCs w:val="18"/>
        </w:rPr>
        <w:t>本期计提坏账准备情况：</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r>
      <w:tr w:rsidR="00C526AC" w:rsidTr="009541AB">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2,413,995.92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9,609.81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2,423,605.73</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2,413,995.92</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9,609.81</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2,423,605.73</w:t>
            </w:r>
          </w:p>
        </w:tc>
      </w:tr>
    </w:tbl>
    <w:p w:rsidR="004A5A58" w:rsidRDefault="00E0175D" w:rsidP="004A5A58">
      <w:pPr>
        <w:pStyle w:val="a3"/>
        <w:widowControl/>
      </w:pPr>
      <w:r>
        <w:rPr>
          <w:rFonts w:ascii="宋体" w:hAnsi="宋体" w:cs="宋体"/>
          <w:sz w:val="18"/>
          <w:szCs w:val="18"/>
        </w:rPr>
        <w:t>其中本期坏账准备转回或收回金额重要的：</w:t>
      </w:r>
      <w:r w:rsidR="004A5A58">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 w:val="18"/>
          <w:szCs w:val="18"/>
        </w:rPr>
      </w:pPr>
      <w:bookmarkStart w:id="388" w:name="_Toc989380"/>
      <w:r>
        <w:rPr>
          <w:rFonts w:ascii="宋体" w:hAnsi="宋体" w:cs="宋体"/>
          <w:b/>
          <w:bCs/>
          <w:sz w:val="18"/>
          <w:szCs w:val="18"/>
        </w:rPr>
        <w:t>4） 本期实际核销的其他应收款情况</w:t>
      </w:r>
      <w:bookmarkEnd w:id="388"/>
    </w:p>
    <w:p w:rsidR="004A5A58" w:rsidRDefault="00E0175D" w:rsidP="004A5A58">
      <w:pPr>
        <w:pStyle w:val="a3"/>
        <w:widowControl/>
      </w:pPr>
      <w:r>
        <w:rPr>
          <w:rFonts w:ascii="宋体" w:hAnsi="宋体" w:cs="宋体"/>
          <w:sz w:val="18"/>
          <w:szCs w:val="18"/>
        </w:rPr>
        <w:t>其中重要的其他应收款核销情况：</w:t>
      </w:r>
      <w:r w:rsidR="004A5A58">
        <w:rPr>
          <w:rFonts w:ascii="宋体" w:hAnsi="宋体" w:cs="宋体" w:hint="eastAsia"/>
          <w:sz w:val="18"/>
          <w:szCs w:val="18"/>
        </w:rPr>
        <w:t>无。</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其他应收款核销说明：</w:t>
      </w: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 w:val="18"/>
          <w:szCs w:val="18"/>
        </w:rPr>
      </w:pPr>
      <w:bookmarkStart w:id="389" w:name="_Toc989381"/>
      <w:r>
        <w:rPr>
          <w:rFonts w:ascii="宋体" w:hAnsi="宋体" w:cs="宋体"/>
          <w:b/>
          <w:bCs/>
          <w:sz w:val="18"/>
          <w:szCs w:val="18"/>
        </w:rPr>
        <w:t>5） 按欠款方归集的期末余额前五名的其他应收款情况</w:t>
      </w:r>
      <w:bookmarkEnd w:id="389"/>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06"/>
        <w:gridCol w:w="1606"/>
        <w:gridCol w:w="1606"/>
        <w:gridCol w:w="1607"/>
        <w:gridCol w:w="1607"/>
        <w:gridCol w:w="1607"/>
      </w:tblGrid>
      <w:tr w:rsidR="00C526AC" w:rsidTr="00AC692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账龄</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占其他应收款期末余额合计数的比例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坏账准备期末余额</w:t>
            </w:r>
          </w:p>
        </w:tc>
      </w:tr>
      <w:tr w:rsidR="00AC6922" w:rsidTr="00AC692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sidRPr="00AC6922">
              <w:rPr>
                <w:rFonts w:ascii="宋体" w:hAnsi="宋体" w:cs="宋体"/>
                <w:sz w:val="18"/>
                <w:szCs w:val="18"/>
              </w:rPr>
              <w:t>195,308,712.07</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rsidP="00C21F7C">
            <w:pPr>
              <w:spacing w:line="240" w:lineRule="exact"/>
              <w:jc w:val="right"/>
              <w:rPr>
                <w:rFonts w:ascii="宋体" w:hAnsi="宋体" w:cs="宋体"/>
                <w:sz w:val="18"/>
                <w:szCs w:val="18"/>
              </w:rPr>
            </w:pPr>
            <w:r>
              <w:rPr>
                <w:rFonts w:ascii="宋体" w:hAnsi="宋体" w:cs="宋体"/>
                <w:sz w:val="18"/>
                <w:szCs w:val="18"/>
              </w:rPr>
              <w:t>78.19%</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p>
        </w:tc>
      </w:tr>
      <w:tr w:rsidR="00AC6922" w:rsidTr="00AC692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Pr>
                <w:rFonts w:ascii="宋体" w:hAnsi="宋体" w:cs="宋体"/>
                <w:sz w:val="18"/>
                <w:szCs w:val="18"/>
              </w:rPr>
              <w:t>11,300,000.00</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rsidP="00C21F7C">
            <w:pPr>
              <w:spacing w:line="240" w:lineRule="exact"/>
              <w:jc w:val="right"/>
              <w:rPr>
                <w:rFonts w:ascii="宋体" w:hAnsi="宋体" w:cs="宋体"/>
                <w:sz w:val="18"/>
                <w:szCs w:val="18"/>
              </w:rPr>
            </w:pPr>
            <w:r>
              <w:rPr>
                <w:rFonts w:ascii="宋体" w:hAnsi="宋体" w:cs="宋体"/>
                <w:sz w:val="18"/>
                <w:szCs w:val="18"/>
              </w:rPr>
              <w:t>4.52%</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p>
        </w:tc>
      </w:tr>
      <w:tr w:rsidR="00AC6922" w:rsidTr="00AC692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Pr>
                <w:rFonts w:ascii="宋体" w:hAnsi="宋体" w:cs="宋体"/>
                <w:sz w:val="18"/>
                <w:szCs w:val="18"/>
              </w:rPr>
              <w:t>11,016,666.66</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1年以内，1-2年</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rsidP="00C21F7C">
            <w:pPr>
              <w:spacing w:line="240" w:lineRule="exact"/>
              <w:jc w:val="right"/>
              <w:rPr>
                <w:rFonts w:ascii="宋体" w:hAnsi="宋体" w:cs="宋体"/>
                <w:sz w:val="18"/>
                <w:szCs w:val="18"/>
              </w:rPr>
            </w:pPr>
            <w:r>
              <w:rPr>
                <w:rFonts w:ascii="宋体" w:hAnsi="宋体" w:cs="宋体"/>
                <w:sz w:val="18"/>
                <w:szCs w:val="18"/>
              </w:rPr>
              <w:t>4.41%</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Pr>
                <w:rFonts w:ascii="宋体" w:hAnsi="宋体" w:cs="宋体"/>
                <w:sz w:val="18"/>
                <w:szCs w:val="18"/>
              </w:rPr>
              <w:t>1,050,833.33</w:t>
            </w:r>
          </w:p>
        </w:tc>
      </w:tr>
      <w:tr w:rsidR="00AC6922" w:rsidTr="00AC692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Pr>
                <w:rFonts w:ascii="宋体" w:hAnsi="宋体" w:cs="宋体"/>
                <w:sz w:val="18"/>
                <w:szCs w:val="18"/>
              </w:rPr>
              <w:t>6,314,666.67</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rsidP="00C21F7C">
            <w:pPr>
              <w:spacing w:line="240" w:lineRule="exact"/>
              <w:jc w:val="right"/>
              <w:rPr>
                <w:rFonts w:ascii="宋体" w:hAnsi="宋体" w:cs="宋体"/>
                <w:sz w:val="18"/>
                <w:szCs w:val="18"/>
              </w:rPr>
            </w:pPr>
            <w:r>
              <w:rPr>
                <w:rFonts w:ascii="宋体" w:hAnsi="宋体" w:cs="宋体"/>
                <w:sz w:val="18"/>
                <w:szCs w:val="18"/>
              </w:rPr>
              <w:t>2.53%</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Pr>
                <w:rFonts w:ascii="宋体" w:hAnsi="宋体" w:cs="宋体"/>
                <w:sz w:val="18"/>
                <w:szCs w:val="18"/>
              </w:rPr>
              <w:t>315,733.33</w:t>
            </w:r>
          </w:p>
        </w:tc>
      </w:tr>
      <w:tr w:rsidR="00AC6922" w:rsidTr="00AC692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Pr>
                <w:rFonts w:ascii="宋体" w:hAnsi="宋体" w:cs="宋体"/>
                <w:sz w:val="18"/>
                <w:szCs w:val="18"/>
              </w:rPr>
              <w:t>4,862,404.00</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left"/>
              <w:rPr>
                <w:rFonts w:ascii="宋体" w:hAnsi="宋体" w:cs="宋体"/>
                <w:sz w:val="18"/>
                <w:szCs w:val="18"/>
              </w:rPr>
            </w:pPr>
            <w:r>
              <w:rPr>
                <w:rFonts w:ascii="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rsidP="00C21F7C">
            <w:pPr>
              <w:spacing w:line="240" w:lineRule="exact"/>
              <w:jc w:val="right"/>
              <w:rPr>
                <w:rFonts w:ascii="宋体" w:hAnsi="宋体" w:cs="宋体"/>
                <w:sz w:val="18"/>
                <w:szCs w:val="18"/>
              </w:rPr>
            </w:pPr>
            <w:r>
              <w:rPr>
                <w:rFonts w:ascii="宋体" w:hAnsi="宋体" w:cs="宋体"/>
                <w:sz w:val="18"/>
                <w:szCs w:val="18"/>
              </w:rPr>
              <w:t>1.95%</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p>
        </w:tc>
      </w:tr>
      <w:tr w:rsidR="00AC6922" w:rsidTr="00AC692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C6922" w:rsidRDefault="00AC6922">
            <w:pPr>
              <w:spacing w:before="40" w:after="40" w:line="240" w:lineRule="exact"/>
              <w:jc w:val="left"/>
              <w:rPr>
                <w:rFonts w:ascii="宋体" w:hAnsi="宋体" w:cs="宋体"/>
                <w:sz w:val="18"/>
                <w:szCs w:val="18"/>
              </w:rPr>
            </w:pPr>
            <w:r>
              <w:rPr>
                <w:rFonts w:ascii="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AC6922" w:rsidRDefault="00AC6922"/>
        </w:tc>
        <w:tc>
          <w:tcPr>
            <w:tcW w:w="1606"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sidRPr="00AC6922">
              <w:rPr>
                <w:rFonts w:ascii="宋体" w:hAnsi="宋体" w:cs="宋体"/>
                <w:sz w:val="18"/>
                <w:szCs w:val="18"/>
              </w:rPr>
              <w:t>228,802,449.40</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AC6922" w:rsidRDefault="00AC6922"/>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rsidP="00C21F7C">
            <w:pPr>
              <w:spacing w:line="240" w:lineRule="exact"/>
              <w:jc w:val="right"/>
              <w:rPr>
                <w:rFonts w:ascii="宋体" w:hAnsi="宋体" w:cs="宋体"/>
                <w:sz w:val="18"/>
                <w:szCs w:val="18"/>
              </w:rPr>
            </w:pPr>
            <w:r>
              <w:rPr>
                <w:rFonts w:ascii="宋体" w:hAnsi="宋体" w:cs="宋体"/>
                <w:sz w:val="18"/>
                <w:szCs w:val="18"/>
              </w:rPr>
              <w:t>91.60%</w:t>
            </w:r>
          </w:p>
        </w:tc>
        <w:tc>
          <w:tcPr>
            <w:tcW w:w="1607" w:type="dxa"/>
            <w:tcBorders>
              <w:top w:val="single" w:sz="2" w:space="0" w:color="auto"/>
              <w:left w:val="single" w:sz="2" w:space="0" w:color="auto"/>
              <w:bottom w:val="single" w:sz="2" w:space="0" w:color="auto"/>
              <w:right w:val="single" w:sz="2" w:space="0" w:color="auto"/>
            </w:tcBorders>
            <w:vAlign w:val="center"/>
          </w:tcPr>
          <w:p w:rsidR="00AC6922" w:rsidRDefault="00AC6922">
            <w:pPr>
              <w:spacing w:line="240" w:lineRule="exact"/>
              <w:jc w:val="right"/>
              <w:rPr>
                <w:rFonts w:ascii="宋体" w:hAnsi="宋体" w:cs="宋体"/>
                <w:sz w:val="18"/>
                <w:szCs w:val="18"/>
              </w:rPr>
            </w:pPr>
            <w:r>
              <w:rPr>
                <w:rFonts w:ascii="宋体" w:hAnsi="宋体" w:cs="宋体"/>
                <w:sz w:val="18"/>
                <w:szCs w:val="18"/>
              </w:rPr>
              <w:t>1,366,566.66</w:t>
            </w:r>
          </w:p>
        </w:tc>
      </w:tr>
    </w:tbl>
    <w:p w:rsidR="00C526AC" w:rsidRDefault="00E0175D">
      <w:pPr>
        <w:keepNext/>
        <w:keepLines/>
        <w:spacing w:before="300" w:after="300" w:line="280" w:lineRule="exact"/>
        <w:jc w:val="left"/>
        <w:outlineLvl w:val="4"/>
        <w:rPr>
          <w:rFonts w:ascii="宋体" w:hAnsi="宋体" w:cs="宋体"/>
          <w:b/>
          <w:bCs/>
          <w:sz w:val="18"/>
          <w:szCs w:val="18"/>
        </w:rPr>
      </w:pPr>
      <w:bookmarkStart w:id="390" w:name="_Toc989382"/>
      <w:r>
        <w:rPr>
          <w:rFonts w:ascii="宋体" w:hAnsi="宋体" w:cs="宋体"/>
          <w:b/>
          <w:bCs/>
          <w:sz w:val="18"/>
          <w:szCs w:val="18"/>
        </w:rPr>
        <w:t>6） 涉及政府补助的应收款项</w:t>
      </w:r>
      <w:bookmarkEnd w:id="390"/>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 w:val="18"/>
          <w:szCs w:val="18"/>
        </w:rPr>
      </w:pPr>
      <w:bookmarkStart w:id="391" w:name="_Toc989383"/>
      <w:r>
        <w:rPr>
          <w:rFonts w:ascii="宋体" w:hAnsi="宋体" w:cs="宋体"/>
          <w:b/>
          <w:bCs/>
          <w:sz w:val="18"/>
          <w:szCs w:val="18"/>
        </w:rPr>
        <w:t>7） 因金融资产转移而终止确认的其他应收款</w:t>
      </w:r>
      <w:bookmarkEnd w:id="391"/>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4"/>
        <w:rPr>
          <w:rFonts w:ascii="宋体" w:hAnsi="宋体" w:cs="宋体"/>
          <w:b/>
          <w:bCs/>
          <w:sz w:val="18"/>
          <w:szCs w:val="18"/>
        </w:rPr>
      </w:pPr>
      <w:bookmarkStart w:id="392" w:name="_Toc989384"/>
      <w:r>
        <w:rPr>
          <w:rFonts w:ascii="宋体" w:hAnsi="宋体" w:cs="宋体"/>
          <w:b/>
          <w:bCs/>
          <w:sz w:val="18"/>
          <w:szCs w:val="18"/>
        </w:rPr>
        <w:t>8） 转移其他应收款且继续涉入形成的资产、负债金额</w:t>
      </w:r>
      <w:bookmarkEnd w:id="392"/>
    </w:p>
    <w:p w:rsidR="00C526AC" w:rsidRDefault="00E0175D">
      <w:pPr>
        <w:pStyle w:val="a3"/>
        <w:widowControl/>
      </w:pPr>
      <w:r>
        <w:rPr>
          <w:rFonts w:ascii="宋体" w:hAnsi="宋体" w:cs="宋体" w:hint="eastAsia"/>
          <w:sz w:val="18"/>
          <w:szCs w:val="18"/>
        </w:rPr>
        <w:t>无。</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其他说明：</w:t>
      </w:r>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93" w:name="_Toc989385"/>
      <w:r>
        <w:rPr>
          <w:rFonts w:ascii="宋体" w:hAnsi="宋体" w:cs="宋体"/>
          <w:b/>
          <w:bCs/>
          <w:szCs w:val="21"/>
        </w:rPr>
        <w:t>3、长期股权投资</w:t>
      </w:r>
      <w:bookmarkEnd w:id="393"/>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C526AC">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w:t>
            </w:r>
          </w:p>
        </w:tc>
      </w:tr>
      <w:tr w:rsidR="00C526AC">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账面价值</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3,970,417,400.06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3,970,417,400.06</w:t>
            </w:r>
          </w:p>
        </w:tc>
      </w:tr>
      <w:tr w:rsidR="00C526A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3,970,417,400.06</w:t>
            </w: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3,970,417,400.06</w:t>
            </w:r>
          </w:p>
        </w:tc>
      </w:tr>
    </w:tbl>
    <w:p w:rsidR="00C526AC" w:rsidRDefault="00E0175D">
      <w:pPr>
        <w:keepNext/>
        <w:keepLines/>
        <w:spacing w:before="300" w:after="300" w:line="280" w:lineRule="exact"/>
        <w:jc w:val="left"/>
        <w:outlineLvl w:val="3"/>
        <w:rPr>
          <w:rFonts w:ascii="宋体" w:hAnsi="宋体" w:cs="宋体"/>
          <w:b/>
          <w:bCs/>
          <w:szCs w:val="21"/>
        </w:rPr>
      </w:pPr>
      <w:bookmarkStart w:id="394" w:name="_Toc989386"/>
      <w:r>
        <w:rPr>
          <w:rFonts w:ascii="宋体" w:hAnsi="宋体" w:cs="宋体"/>
          <w:b/>
          <w:bCs/>
          <w:szCs w:val="21"/>
        </w:rPr>
        <w:t>（1） 对子公司投资</w:t>
      </w:r>
      <w:bookmarkEnd w:id="394"/>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04"/>
        <w:gridCol w:w="1205"/>
        <w:gridCol w:w="1205"/>
        <w:gridCol w:w="1205"/>
        <w:gridCol w:w="1205"/>
        <w:gridCol w:w="1205"/>
        <w:gridCol w:w="1205"/>
        <w:gridCol w:w="1205"/>
      </w:tblGrid>
      <w:tr w:rsidR="00C526AC">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被投资单位</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期初余额（账面价值）</w:t>
            </w:r>
          </w:p>
        </w:tc>
        <w:tc>
          <w:tcPr>
            <w:tcW w:w="482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本期增减变动</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减值准备期末余额</w:t>
            </w:r>
          </w:p>
        </w:tc>
      </w:tr>
      <w:tr w:rsidR="00C526AC" w:rsidTr="009541AB">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追加投资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减少投资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计提减值准备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其他</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深圳进出口</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2,126,565,336.11</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2,126,565,336.11</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金华华孚</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44,257,636.45</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44,257,636.45</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缙云华孚</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29,754,027.50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29,754,027.50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浙江色纺</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360,000,000.00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360,000,000.00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淮北华孚</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200,000,000.00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奎屯锦孚</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154,330,400.00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154,330,400.00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华孚网链</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55,510,000.00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444,490,000.00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500,000,000.00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新疆华孚棉业</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1,000,000,000.00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3,970,417,400.06</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444,490,000.00</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BB1882">
            <w:pPr>
              <w:spacing w:line="240" w:lineRule="exact"/>
              <w:jc w:val="right"/>
              <w:rPr>
                <w:rFonts w:ascii="宋体" w:hAnsi="宋体" w:cs="宋体"/>
                <w:sz w:val="18"/>
                <w:szCs w:val="18"/>
              </w:rPr>
            </w:pPr>
            <w:r w:rsidRPr="00BB1882">
              <w:rPr>
                <w:rFonts w:ascii="宋体" w:hAnsi="宋体" w:cs="宋体"/>
                <w:sz w:val="18"/>
                <w:szCs w:val="18"/>
              </w:rPr>
              <w:t>4,414,907,400.06</w:t>
            </w:r>
          </w:p>
        </w:tc>
        <w:tc>
          <w:tcPr>
            <w:tcW w:w="1205"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bl>
    <w:p w:rsidR="00C526AC" w:rsidRDefault="00E0175D">
      <w:pPr>
        <w:keepNext/>
        <w:keepLines/>
        <w:spacing w:before="300" w:after="300" w:line="280" w:lineRule="exact"/>
        <w:jc w:val="left"/>
        <w:outlineLvl w:val="3"/>
        <w:rPr>
          <w:rFonts w:ascii="宋体" w:hAnsi="宋体" w:cs="宋体"/>
          <w:b/>
          <w:bCs/>
          <w:szCs w:val="21"/>
        </w:rPr>
      </w:pPr>
      <w:bookmarkStart w:id="395" w:name="_Toc989387"/>
      <w:r>
        <w:rPr>
          <w:rFonts w:ascii="宋体" w:hAnsi="宋体" w:cs="宋体"/>
          <w:b/>
          <w:bCs/>
          <w:szCs w:val="21"/>
        </w:rPr>
        <w:t>（2） 对联营、合营企业投资</w:t>
      </w:r>
      <w:bookmarkEnd w:id="395"/>
    </w:p>
    <w:p w:rsidR="004A5A58" w:rsidRDefault="004A5A58" w:rsidP="004A5A58">
      <w:pPr>
        <w:pStyle w:val="a3"/>
        <w:widowControl/>
      </w:pPr>
      <w:bookmarkStart w:id="396" w:name="_Toc989388"/>
      <w:r>
        <w:rPr>
          <w:rFonts w:ascii="宋体" w:hAnsi="宋体" w:cs="宋体" w:hint="eastAsia"/>
          <w:sz w:val="18"/>
          <w:szCs w:val="18"/>
        </w:rPr>
        <w:t>无。</w:t>
      </w:r>
    </w:p>
    <w:p w:rsidR="00C526AC" w:rsidRDefault="00E0175D">
      <w:pPr>
        <w:keepNext/>
        <w:keepLines/>
        <w:spacing w:before="300" w:after="300" w:line="280" w:lineRule="exact"/>
        <w:jc w:val="left"/>
        <w:outlineLvl w:val="3"/>
        <w:rPr>
          <w:rFonts w:ascii="宋体" w:hAnsi="宋体" w:cs="宋体"/>
          <w:b/>
          <w:bCs/>
          <w:szCs w:val="21"/>
        </w:rPr>
      </w:pPr>
      <w:r>
        <w:rPr>
          <w:rFonts w:ascii="宋体" w:hAnsi="宋体" w:cs="宋体"/>
          <w:b/>
          <w:bCs/>
          <w:szCs w:val="21"/>
        </w:rPr>
        <w:t>（3） 其他说明</w:t>
      </w:r>
      <w:bookmarkEnd w:id="396"/>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97" w:name="_Toc989389"/>
      <w:r>
        <w:rPr>
          <w:rFonts w:ascii="宋体" w:hAnsi="宋体" w:cs="宋体"/>
          <w:b/>
          <w:bCs/>
          <w:szCs w:val="21"/>
        </w:rPr>
        <w:t>4、营业收入和营业成本</w:t>
      </w:r>
      <w:bookmarkEnd w:id="397"/>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成本</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389,643,002.40</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358,628,194.01</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290,159,635.69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283,304,180.76</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2,954,743.09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32,460.43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1,202,220.97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19,299.38</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392,597,745.49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358,660,654.44</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291,361,856.66</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283,323,480.14</w:t>
            </w:r>
          </w:p>
        </w:tc>
      </w:tr>
    </w:tbl>
    <w:p w:rsidR="00C526AC" w:rsidRDefault="00E0175D">
      <w:pPr>
        <w:spacing w:before="100" w:after="40" w:line="240" w:lineRule="exact"/>
        <w:jc w:val="left"/>
        <w:rPr>
          <w:rFonts w:ascii="宋体" w:hAnsi="宋体" w:cs="宋体"/>
          <w:sz w:val="18"/>
          <w:szCs w:val="18"/>
        </w:rPr>
      </w:pPr>
      <w:r>
        <w:rPr>
          <w:rFonts w:ascii="宋体" w:hAnsi="宋体" w:cs="宋体"/>
          <w:sz w:val="18"/>
          <w:szCs w:val="18"/>
        </w:rPr>
        <w:t>收入相关信息：</w:t>
      </w:r>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927"/>
        <w:gridCol w:w="1928"/>
        <w:gridCol w:w="1928"/>
        <w:gridCol w:w="1928"/>
        <w:gridCol w:w="1928"/>
      </w:tblGrid>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center"/>
              <w:rPr>
                <w:rFonts w:ascii="宋体" w:hAnsi="宋体" w:cs="宋体"/>
                <w:sz w:val="18"/>
                <w:szCs w:val="18"/>
              </w:rPr>
            </w:pPr>
            <w:r>
              <w:rPr>
                <w:rFonts w:ascii="宋体" w:hAnsi="宋体" w:cs="宋体"/>
                <w:sz w:val="18"/>
                <w:szCs w:val="18"/>
              </w:rPr>
              <w:t>本期发生额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合计</w:t>
            </w: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纱线</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304,247,089.63</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304,247,089.63</w:t>
            </w: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原、色纤</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85,395,912.77</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85,395,912.77</w:t>
            </w: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2,954,743.09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2,954,743.09</w:t>
            </w: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境外销售</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境内销售</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392,597,745.49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392,597,745.49</w:t>
            </w: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392,597,745.49</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392,597,745.49</w:t>
            </w: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r>
      <w:tr w:rsidR="00C526AC" w:rsidTr="009541A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C526AC">
            <w:pPr>
              <w:spacing w:line="240" w:lineRule="exact"/>
              <w:jc w:val="lef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r w:rsidR="00C526A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right"/>
              <w:rPr>
                <w:rFonts w:ascii="宋体" w:hAnsi="宋体" w:cs="宋体"/>
                <w:sz w:val="18"/>
                <w:szCs w:val="18"/>
              </w:rPr>
            </w:pPr>
          </w:p>
        </w:tc>
      </w:tr>
    </w:tbl>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与履约义务相关的信息：</w:t>
      </w:r>
      <w:r>
        <w:rPr>
          <w:rFonts w:ascii="宋体" w:hAnsi="宋体" w:cs="宋体" w:hint="eastAsia"/>
          <w:sz w:val="18"/>
          <w:szCs w:val="18"/>
        </w:rPr>
        <w:t>无。</w:t>
      </w:r>
    </w:p>
    <w:p w:rsidR="00C526AC" w:rsidRDefault="00E0175D" w:rsidP="004A5A58">
      <w:pPr>
        <w:spacing w:before="100" w:after="100" w:line="240" w:lineRule="exact"/>
        <w:jc w:val="left"/>
        <w:rPr>
          <w:rFonts w:ascii="宋体" w:hAnsi="宋体" w:cs="宋体"/>
          <w:sz w:val="18"/>
          <w:szCs w:val="18"/>
        </w:rPr>
      </w:pPr>
      <w:r>
        <w:rPr>
          <w:rFonts w:ascii="宋体" w:hAnsi="宋体" w:cs="宋体"/>
          <w:sz w:val="18"/>
          <w:szCs w:val="18"/>
        </w:rPr>
        <w:t>与分摊至剩余履约义务的交易价格相关的信息：本报告期末已签订合同、但尚未履行或尚未履行完毕的履约义务所对应的收入金额为0.00元，其中，0.00元预计将于0年度确认收入，0.00元预计将于0年度确认收入，0.00元预计将于0年度确认收入。</w:t>
      </w:r>
    </w:p>
    <w:p w:rsidR="00C526AC" w:rsidRPr="004A5A58" w:rsidRDefault="00E0175D" w:rsidP="004A5A58">
      <w:pPr>
        <w:spacing w:before="100" w:after="100" w:line="240" w:lineRule="exact"/>
        <w:jc w:val="left"/>
        <w:rPr>
          <w:rFonts w:ascii="宋体" w:hAnsi="宋体" w:cs="宋体"/>
          <w:sz w:val="18"/>
          <w:szCs w:val="18"/>
        </w:rPr>
      </w:pPr>
      <w:r>
        <w:rPr>
          <w:rFonts w:ascii="宋体" w:hAnsi="宋体" w:cs="宋体"/>
          <w:sz w:val="18"/>
          <w:szCs w:val="18"/>
        </w:rPr>
        <w:t>其他说明：</w:t>
      </w: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398" w:name="_Toc989390"/>
      <w:r>
        <w:rPr>
          <w:rFonts w:ascii="宋体" w:hAnsi="宋体" w:cs="宋体"/>
          <w:b/>
          <w:bCs/>
          <w:szCs w:val="21"/>
        </w:rPr>
        <w:t>5、投资收益</w:t>
      </w:r>
      <w:bookmarkEnd w:id="398"/>
    </w:p>
    <w:p w:rsidR="00C526AC" w:rsidRDefault="00E0175D">
      <w:pPr>
        <w:spacing w:before="40" w:after="4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上期发生额</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8,000,000.00</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8,000,000.00</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子公司分红取得的投资收益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307,295,981.12</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87,078,103.98</w:t>
            </w:r>
          </w:p>
        </w:tc>
      </w:tr>
      <w:tr w:rsidR="00C526AC" w:rsidTr="009541A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526AC" w:rsidRDefault="00E0175D">
            <w:pPr>
              <w:spacing w:line="240" w:lineRule="exact"/>
              <w:jc w:val="left"/>
              <w:rPr>
                <w:rFonts w:ascii="宋体" w:hAnsi="宋体" w:cs="宋体"/>
                <w:sz w:val="18"/>
                <w:szCs w:val="18"/>
              </w:rPr>
            </w:pPr>
            <w:r>
              <w:rPr>
                <w:rFonts w:ascii="宋体" w:hAnsi="宋体" w:cs="宋体"/>
                <w:sz w:val="18"/>
                <w:szCs w:val="18"/>
              </w:rPr>
              <w:t>理财产品收益</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359,379.85</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27,022.47</w:t>
            </w:r>
          </w:p>
        </w:tc>
      </w:tr>
      <w:tr w:rsidR="00C526A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315,655,360.97</w:t>
            </w:r>
          </w:p>
        </w:tc>
        <w:tc>
          <w:tcPr>
            <w:tcW w:w="3213"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95,105,126.45</w:t>
            </w:r>
          </w:p>
        </w:tc>
      </w:tr>
    </w:tbl>
    <w:p w:rsidR="00C526AC" w:rsidRDefault="00E0175D">
      <w:pPr>
        <w:keepNext/>
        <w:keepLines/>
        <w:spacing w:before="300" w:after="300" w:line="280" w:lineRule="exact"/>
        <w:jc w:val="left"/>
        <w:outlineLvl w:val="2"/>
        <w:rPr>
          <w:rFonts w:ascii="宋体" w:hAnsi="宋体" w:cs="宋体"/>
          <w:b/>
          <w:bCs/>
          <w:szCs w:val="21"/>
        </w:rPr>
      </w:pPr>
      <w:bookmarkStart w:id="399" w:name="_Toc989391"/>
      <w:r>
        <w:rPr>
          <w:rFonts w:ascii="宋体" w:hAnsi="宋体" w:cs="宋体"/>
          <w:b/>
          <w:bCs/>
          <w:szCs w:val="21"/>
        </w:rPr>
        <w:t>6、其他</w:t>
      </w:r>
      <w:bookmarkEnd w:id="399"/>
    </w:p>
    <w:p w:rsidR="00C526AC" w:rsidRDefault="00E0175D">
      <w:pPr>
        <w:keepNext/>
        <w:keepLines/>
        <w:spacing w:before="300" w:after="300" w:line="320" w:lineRule="exact"/>
        <w:jc w:val="left"/>
        <w:outlineLvl w:val="1"/>
        <w:rPr>
          <w:rFonts w:ascii="宋体" w:hAnsi="宋体" w:cs="宋体"/>
          <w:b/>
          <w:bCs/>
          <w:sz w:val="24"/>
          <w:szCs w:val="24"/>
        </w:rPr>
      </w:pPr>
      <w:bookmarkStart w:id="400" w:name="_Toc989392"/>
      <w:r>
        <w:rPr>
          <w:rFonts w:ascii="宋体" w:hAnsi="宋体" w:cs="宋体"/>
          <w:b/>
          <w:bCs/>
          <w:sz w:val="24"/>
          <w:szCs w:val="24"/>
        </w:rPr>
        <w:t>十八、补充资料</w:t>
      </w:r>
      <w:bookmarkEnd w:id="400"/>
    </w:p>
    <w:p w:rsidR="00C526AC" w:rsidRDefault="00E0175D">
      <w:pPr>
        <w:keepNext/>
        <w:keepLines/>
        <w:spacing w:before="300" w:after="300" w:line="280" w:lineRule="exact"/>
        <w:jc w:val="left"/>
        <w:outlineLvl w:val="2"/>
        <w:rPr>
          <w:rFonts w:ascii="宋体" w:hAnsi="宋体" w:cs="宋体"/>
          <w:b/>
          <w:bCs/>
          <w:szCs w:val="21"/>
        </w:rPr>
      </w:pPr>
      <w:bookmarkStart w:id="401" w:name="_Toc989393"/>
      <w:r>
        <w:rPr>
          <w:rFonts w:ascii="宋体" w:hAnsi="宋体" w:cs="宋体"/>
          <w:b/>
          <w:bCs/>
          <w:szCs w:val="21"/>
        </w:rPr>
        <w:t>1、当期非经常性损益明细表</w:t>
      </w:r>
      <w:bookmarkEnd w:id="401"/>
    </w:p>
    <w:p w:rsidR="00C526AC" w:rsidRDefault="00E0175D">
      <w:pPr>
        <w:spacing w:line="240" w:lineRule="exact"/>
        <w:jc w:val="left"/>
        <w:rPr>
          <w:rFonts w:ascii="宋体" w:hAnsi="宋体" w:cs="宋体"/>
          <w:sz w:val="18"/>
          <w:szCs w:val="18"/>
        </w:rPr>
      </w:pPr>
      <w:r>
        <w:rPr>
          <w:rFonts w:ascii="宋体" w:hAnsi="宋体" w:cs="宋体"/>
          <w:sz w:val="18"/>
          <w:szCs w:val="18"/>
        </w:rPr>
        <w:sym w:font="Wingdings 2" w:char="F052"/>
      </w:r>
      <w:r>
        <w:rPr>
          <w:rFonts w:ascii="宋体" w:hAnsi="宋体" w:cs="宋体"/>
          <w:sz w:val="18"/>
          <w:szCs w:val="18"/>
        </w:rPr>
        <w:t>适用 □不适用</w:t>
      </w:r>
    </w:p>
    <w:p w:rsidR="00C526AC" w:rsidRDefault="00E0175D">
      <w:pPr>
        <w:spacing w:before="120" w:after="120" w:line="240" w:lineRule="exact"/>
        <w:jc w:val="right"/>
        <w:rPr>
          <w:rFonts w:ascii="宋体" w:hAnsi="宋体" w:cs="宋体"/>
          <w:sz w:val="18"/>
          <w:szCs w:val="18"/>
        </w:rPr>
      </w:pP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29"/>
        <w:gridCol w:w="1576"/>
        <w:gridCol w:w="1434"/>
      </w:tblGrid>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项目</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金额</w:t>
            </w:r>
          </w:p>
        </w:tc>
        <w:tc>
          <w:tcPr>
            <w:tcW w:w="143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说明</w:t>
            </w: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非流动资产处置损益</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6,491,085.07</w:t>
            </w:r>
          </w:p>
        </w:tc>
        <w:tc>
          <w:tcPr>
            <w:tcW w:w="14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计入当期损益的政府补助（与公司正常经营业务密切相关，符合国家政策规定、按照一定标准定额或定量持续享受的政府补助除外）</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16,181,112.24</w:t>
            </w:r>
          </w:p>
        </w:tc>
        <w:tc>
          <w:tcPr>
            <w:tcW w:w="14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委托他人投资或管理资产的损益</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8,386,086.71</w:t>
            </w:r>
          </w:p>
        </w:tc>
        <w:tc>
          <w:tcPr>
            <w:tcW w:w="14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-34,810,541.55</w:t>
            </w:r>
          </w:p>
        </w:tc>
        <w:tc>
          <w:tcPr>
            <w:tcW w:w="14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除上述各项之外的其他营业外收入和支出</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16,685,819.20</w:t>
            </w:r>
          </w:p>
        </w:tc>
        <w:tc>
          <w:tcPr>
            <w:tcW w:w="14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减：所得税影响额</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-6,298,183.35</w:t>
            </w:r>
          </w:p>
        </w:tc>
        <w:tc>
          <w:tcPr>
            <w:tcW w:w="14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ind w:firstLineChars="200" w:firstLine="360"/>
              <w:jc w:val="left"/>
              <w:rPr>
                <w:rFonts w:ascii="宋体" w:hAnsi="宋体" w:cs="宋体"/>
                <w:sz w:val="18"/>
                <w:szCs w:val="18"/>
              </w:rPr>
            </w:pPr>
            <w:r>
              <w:rPr>
                <w:rFonts w:ascii="宋体" w:hAnsi="宋体" w:cs="宋体"/>
                <w:sz w:val="18"/>
                <w:szCs w:val="18"/>
              </w:rPr>
              <w:t>少数股东权益影响额</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3,435,823.27</w:t>
            </w:r>
          </w:p>
        </w:tc>
        <w:tc>
          <w:tcPr>
            <w:tcW w:w="1434" w:type="dxa"/>
            <w:tcBorders>
              <w:top w:val="single" w:sz="2" w:space="0" w:color="auto"/>
              <w:left w:val="single" w:sz="2" w:space="0" w:color="auto"/>
              <w:bottom w:val="single" w:sz="2" w:space="0" w:color="auto"/>
              <w:right w:val="single" w:sz="2" w:space="0" w:color="auto"/>
            </w:tcBorders>
            <w:vAlign w:val="center"/>
          </w:tcPr>
          <w:p w:rsidR="00C526AC" w:rsidRDefault="00C526AC">
            <w:pPr>
              <w:spacing w:line="240" w:lineRule="exact"/>
              <w:jc w:val="left"/>
              <w:rPr>
                <w:rFonts w:ascii="宋体" w:hAnsi="宋体" w:cs="宋体"/>
                <w:sz w:val="18"/>
                <w:szCs w:val="18"/>
              </w:rPr>
            </w:pPr>
          </w:p>
        </w:tc>
      </w:tr>
      <w:tr w:rsidR="00C526AC" w:rsidTr="004D4867">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合计</w:t>
            </w:r>
          </w:p>
        </w:tc>
        <w:tc>
          <w:tcPr>
            <w:tcW w:w="1576"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15,795,921.75</w:t>
            </w:r>
          </w:p>
        </w:tc>
        <w:tc>
          <w:tcPr>
            <w:tcW w:w="1434"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w:t>
            </w:r>
          </w:p>
        </w:tc>
      </w:tr>
    </w:tbl>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其他符合非经常性损益定义的损益项目的具体情况：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spacing w:before="100" w:after="100" w:line="240" w:lineRule="exact"/>
        <w:jc w:val="left"/>
        <w:rPr>
          <w:rFonts w:ascii="宋体" w:hAnsi="宋体" w:cs="宋体"/>
          <w:sz w:val="18"/>
          <w:szCs w:val="18"/>
        </w:rPr>
      </w:pPr>
      <w:r>
        <w:rPr>
          <w:rFonts w:ascii="宋体" w:hAnsi="宋体" w:cs="宋体"/>
          <w:sz w:val="18"/>
          <w:szCs w:val="18"/>
        </w:rPr>
        <w:t>公司不存在其他符合非经常性损益定义的损益项目的具体情况。</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将《公开发行证券的公司信息披露解释性公告第1号——非经常性损益》中列举的非经常性损益项目界定为经常性损益项目的情况说明</w:t>
      </w:r>
    </w:p>
    <w:p w:rsidR="00C526AC" w:rsidRDefault="00E0175D">
      <w:pPr>
        <w:spacing w:before="40" w:after="40"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2"/>
        <w:rPr>
          <w:rFonts w:ascii="宋体" w:hAnsi="宋体" w:cs="宋体"/>
          <w:b/>
          <w:bCs/>
          <w:szCs w:val="21"/>
        </w:rPr>
      </w:pPr>
      <w:bookmarkStart w:id="402" w:name="_Toc989394"/>
      <w:r>
        <w:rPr>
          <w:rFonts w:ascii="宋体" w:hAnsi="宋体" w:cs="宋体"/>
          <w:b/>
          <w:bCs/>
          <w:szCs w:val="21"/>
        </w:rPr>
        <w:t>2、净资产收益率及每股收益</w:t>
      </w:r>
      <w:bookmarkEnd w:id="40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C526AC">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每股收益</w:t>
            </w:r>
          </w:p>
        </w:tc>
      </w:tr>
      <w:tr w:rsidR="00C526AC">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C526AC"/>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center"/>
              <w:rPr>
                <w:rFonts w:ascii="宋体" w:hAnsi="宋体" w:cs="宋体"/>
                <w:sz w:val="18"/>
                <w:szCs w:val="18"/>
              </w:rPr>
            </w:pPr>
            <w:r>
              <w:rPr>
                <w:rFonts w:ascii="宋体" w:hAnsi="宋体" w:cs="宋体"/>
                <w:sz w:val="18"/>
                <w:szCs w:val="18"/>
              </w:rPr>
              <w:t>稀释每股收益（元/股）</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4.09%</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0.17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0.17</w:t>
            </w:r>
          </w:p>
        </w:tc>
      </w:tr>
      <w:tr w:rsidR="00C526AC">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526AC" w:rsidRDefault="00E0175D">
            <w:pPr>
              <w:spacing w:before="40" w:after="40" w:line="240" w:lineRule="exact"/>
              <w:jc w:val="left"/>
              <w:rPr>
                <w:rFonts w:ascii="宋体" w:hAnsi="宋体" w:cs="宋体"/>
                <w:sz w:val="18"/>
                <w:szCs w:val="18"/>
              </w:rPr>
            </w:pPr>
            <w:r>
              <w:rPr>
                <w:rFonts w:ascii="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3.87%</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0.16</w:t>
            </w:r>
          </w:p>
        </w:tc>
        <w:tc>
          <w:tcPr>
            <w:tcW w:w="2410" w:type="dxa"/>
            <w:tcBorders>
              <w:top w:val="single" w:sz="2" w:space="0" w:color="auto"/>
              <w:left w:val="single" w:sz="2" w:space="0" w:color="auto"/>
              <w:bottom w:val="single" w:sz="2" w:space="0" w:color="auto"/>
              <w:right w:val="single" w:sz="2" w:space="0" w:color="auto"/>
            </w:tcBorders>
            <w:vAlign w:val="center"/>
          </w:tcPr>
          <w:p w:rsidR="00C526AC" w:rsidRDefault="00E0175D">
            <w:pPr>
              <w:spacing w:line="240" w:lineRule="exact"/>
              <w:jc w:val="right"/>
              <w:rPr>
                <w:rFonts w:ascii="宋体" w:hAnsi="宋体" w:cs="宋体"/>
                <w:sz w:val="18"/>
                <w:szCs w:val="18"/>
              </w:rPr>
            </w:pPr>
            <w:r>
              <w:rPr>
                <w:rFonts w:ascii="宋体" w:hAnsi="宋体" w:cs="宋体"/>
                <w:sz w:val="18"/>
                <w:szCs w:val="18"/>
              </w:rPr>
              <w:t>0.16</w:t>
            </w:r>
          </w:p>
        </w:tc>
      </w:tr>
    </w:tbl>
    <w:p w:rsidR="00C526AC" w:rsidRDefault="00E0175D">
      <w:pPr>
        <w:keepNext/>
        <w:keepLines/>
        <w:spacing w:before="300" w:after="300" w:line="280" w:lineRule="exact"/>
        <w:jc w:val="left"/>
        <w:outlineLvl w:val="2"/>
        <w:rPr>
          <w:rFonts w:ascii="宋体" w:hAnsi="宋体" w:cs="宋体"/>
          <w:b/>
          <w:bCs/>
          <w:szCs w:val="21"/>
        </w:rPr>
      </w:pPr>
      <w:bookmarkStart w:id="403" w:name="_Toc989395"/>
      <w:r>
        <w:rPr>
          <w:rFonts w:ascii="宋体" w:hAnsi="宋体" w:cs="宋体"/>
          <w:b/>
          <w:bCs/>
          <w:szCs w:val="21"/>
        </w:rPr>
        <w:t>3、境内外会计准则下会计数据差异</w:t>
      </w:r>
      <w:bookmarkEnd w:id="403"/>
    </w:p>
    <w:p w:rsidR="00C526AC" w:rsidRDefault="00E0175D">
      <w:pPr>
        <w:keepNext/>
        <w:keepLines/>
        <w:spacing w:before="300" w:after="300" w:line="280" w:lineRule="exact"/>
        <w:jc w:val="left"/>
        <w:outlineLvl w:val="3"/>
        <w:rPr>
          <w:rFonts w:ascii="宋体" w:hAnsi="宋体" w:cs="宋体"/>
          <w:b/>
          <w:bCs/>
          <w:szCs w:val="21"/>
        </w:rPr>
      </w:pPr>
      <w:bookmarkStart w:id="404" w:name="_Toc989396"/>
      <w:r>
        <w:rPr>
          <w:rFonts w:ascii="宋体" w:hAnsi="宋体" w:cs="宋体"/>
          <w:b/>
          <w:bCs/>
          <w:szCs w:val="21"/>
        </w:rPr>
        <w:t>（1） 同时按照国际会计准则与按中国会计准则披露的财务报告中净利润和净资产差异情况</w:t>
      </w:r>
      <w:bookmarkEnd w:id="404"/>
    </w:p>
    <w:p w:rsidR="00C526AC" w:rsidRDefault="00E0175D">
      <w:pPr>
        <w:spacing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Cs w:val="21"/>
        </w:rPr>
      </w:pPr>
      <w:bookmarkStart w:id="405" w:name="_Toc989397"/>
      <w:r>
        <w:rPr>
          <w:rFonts w:ascii="宋体" w:hAnsi="宋体" w:cs="宋体"/>
          <w:b/>
          <w:bCs/>
          <w:szCs w:val="21"/>
        </w:rPr>
        <w:t>（2） 同时按照境外会计准则与按中国会计准则披露的财务报告中净利润和净资产差异情况</w:t>
      </w:r>
      <w:bookmarkEnd w:id="405"/>
    </w:p>
    <w:p w:rsidR="00C526AC" w:rsidRDefault="00E0175D">
      <w:pPr>
        <w:spacing w:line="240" w:lineRule="exact"/>
        <w:jc w:val="left"/>
        <w:rPr>
          <w:rFonts w:ascii="宋体" w:hAnsi="宋体" w:cs="宋体"/>
          <w:sz w:val="18"/>
          <w:szCs w:val="18"/>
        </w:rPr>
      </w:pPr>
      <w:r>
        <w:rPr>
          <w:rFonts w:ascii="宋体" w:hAnsi="宋体" w:cs="宋体"/>
          <w:sz w:val="18"/>
          <w:szCs w:val="18"/>
        </w:rPr>
        <w:t xml:space="preserve">□适用 </w:t>
      </w:r>
      <w:r>
        <w:rPr>
          <w:rFonts w:ascii="宋体" w:hAnsi="宋体" w:cs="宋体"/>
          <w:sz w:val="18"/>
          <w:szCs w:val="18"/>
        </w:rPr>
        <w:sym w:font="Wingdings 2" w:char="F052"/>
      </w:r>
      <w:r>
        <w:rPr>
          <w:rFonts w:ascii="宋体" w:hAnsi="宋体" w:cs="宋体"/>
          <w:sz w:val="18"/>
          <w:szCs w:val="18"/>
        </w:rPr>
        <w:t>不适用</w:t>
      </w:r>
    </w:p>
    <w:p w:rsidR="00C526AC" w:rsidRDefault="00E0175D">
      <w:pPr>
        <w:keepNext/>
        <w:keepLines/>
        <w:spacing w:before="300" w:after="300" w:line="280" w:lineRule="exact"/>
        <w:jc w:val="left"/>
        <w:outlineLvl w:val="3"/>
        <w:rPr>
          <w:rFonts w:ascii="宋体" w:hAnsi="宋体" w:cs="宋体"/>
          <w:b/>
          <w:bCs/>
          <w:szCs w:val="21"/>
        </w:rPr>
      </w:pPr>
      <w:bookmarkStart w:id="406" w:name="_Toc989398"/>
      <w:r>
        <w:rPr>
          <w:rFonts w:ascii="宋体" w:hAnsi="宋体" w:cs="宋体"/>
          <w:b/>
          <w:bCs/>
          <w:szCs w:val="21"/>
        </w:rPr>
        <w:t>（3） 境内外会计准则下会计数据差异原因说明，对已经境外审计机构审计的数据进行差异调节的，应注明该境外机构的名称</w:t>
      </w:r>
      <w:bookmarkEnd w:id="406"/>
    </w:p>
    <w:p w:rsidR="00C526AC" w:rsidRDefault="00E0175D">
      <w:pPr>
        <w:pStyle w:val="a3"/>
        <w:widowControl/>
      </w:pPr>
      <w:r>
        <w:rPr>
          <w:rFonts w:ascii="宋体" w:hAnsi="宋体" w:cs="宋体" w:hint="eastAsia"/>
          <w:sz w:val="18"/>
          <w:szCs w:val="18"/>
        </w:rPr>
        <w:t>无。</w:t>
      </w:r>
    </w:p>
    <w:p w:rsidR="00C526AC" w:rsidRDefault="00E0175D">
      <w:pPr>
        <w:keepNext/>
        <w:keepLines/>
        <w:spacing w:before="300" w:after="300" w:line="280" w:lineRule="exact"/>
        <w:jc w:val="left"/>
        <w:outlineLvl w:val="2"/>
        <w:rPr>
          <w:rFonts w:ascii="宋体" w:hAnsi="宋体" w:cs="宋体"/>
          <w:b/>
          <w:bCs/>
          <w:szCs w:val="21"/>
        </w:rPr>
      </w:pPr>
      <w:bookmarkStart w:id="407" w:name="_Toc989399"/>
      <w:r>
        <w:rPr>
          <w:rFonts w:ascii="宋体" w:hAnsi="宋体" w:cs="宋体"/>
          <w:b/>
          <w:bCs/>
          <w:szCs w:val="21"/>
        </w:rPr>
        <w:t>4、其他</w:t>
      </w:r>
      <w:bookmarkEnd w:id="407"/>
    </w:p>
    <w:p w:rsidR="00C526AC" w:rsidRDefault="00E0175D">
      <w:pPr>
        <w:pStyle w:val="a3"/>
        <w:widowControl/>
        <w:rPr>
          <w:rFonts w:ascii="宋体" w:hAnsi="宋体" w:cs="宋体"/>
          <w:sz w:val="18"/>
          <w:szCs w:val="18"/>
        </w:rPr>
      </w:pPr>
      <w:r>
        <w:rPr>
          <w:rFonts w:ascii="宋体" w:hAnsi="宋体" w:cs="宋体" w:hint="eastAsia"/>
          <w:sz w:val="18"/>
          <w:szCs w:val="18"/>
        </w:rPr>
        <w:t>无。</w:t>
      </w:r>
    </w:p>
    <w:p w:rsidR="009541AB" w:rsidRDefault="009541AB" w:rsidP="009541AB">
      <w:pPr>
        <w:pStyle w:val="a3"/>
        <w:widowControl/>
        <w:jc w:val="right"/>
        <w:rPr>
          <w:rFonts w:ascii="宋体" w:hAnsi="宋体" w:cs="宋体"/>
          <w:sz w:val="18"/>
          <w:szCs w:val="18"/>
        </w:rPr>
      </w:pPr>
      <w:r>
        <w:rPr>
          <w:rFonts w:ascii="宋体" w:hAnsi="宋体" w:cs="宋体" w:hint="eastAsia"/>
          <w:sz w:val="18"/>
          <w:szCs w:val="18"/>
        </w:rPr>
        <w:t>华孚时尚股份有限公司</w:t>
      </w:r>
    </w:p>
    <w:p w:rsidR="009541AB" w:rsidRDefault="009541AB" w:rsidP="009541AB">
      <w:pPr>
        <w:pStyle w:val="a3"/>
        <w:widowControl/>
        <w:jc w:val="right"/>
      </w:pPr>
      <w:r>
        <w:rPr>
          <w:rFonts w:ascii="宋体" w:hAnsi="宋体" w:cs="宋体" w:hint="eastAsia"/>
          <w:sz w:val="18"/>
          <w:szCs w:val="18"/>
        </w:rPr>
        <w:t>2022年8月</w:t>
      </w:r>
      <w:r w:rsidR="004D4867">
        <w:rPr>
          <w:rFonts w:ascii="宋体" w:hAnsi="宋体" w:cs="宋体" w:hint="eastAsia"/>
          <w:sz w:val="18"/>
          <w:szCs w:val="18"/>
        </w:rPr>
        <w:t>25日</w:t>
      </w:r>
    </w:p>
    <w:sectPr w:rsidR="009541AB">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7C" w:rsidRDefault="00C21F7C">
      <w:r>
        <w:separator/>
      </w:r>
    </w:p>
  </w:endnote>
  <w:endnote w:type="continuationSeparator" w:id="0">
    <w:p w:rsidR="00C21F7C" w:rsidRDefault="00C2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7C" w:rsidRDefault="00C21F7C">
    <w:pPr>
      <w:jc w:val="right"/>
    </w:pPr>
    <w:r>
      <w:rPr>
        <w:rFonts w:ascii="宋体"/>
        <w:sz w:val="18"/>
        <w:szCs w:val="18"/>
      </w:rPr>
      <w:fldChar w:fldCharType="begin"/>
    </w:r>
    <w:r>
      <w:rPr>
        <w:rFonts w:ascii="宋体"/>
        <w:sz w:val="18"/>
        <w:szCs w:val="18"/>
      </w:rPr>
      <w:instrText>PAGE   \* MERGEFORMAT</w:instrText>
    </w:r>
    <w:r>
      <w:rPr>
        <w:rFonts w:ascii="宋体"/>
        <w:sz w:val="18"/>
        <w:szCs w:val="18"/>
      </w:rPr>
      <w:fldChar w:fldCharType="separate"/>
    </w:r>
    <w:r w:rsidR="001C5D95">
      <w:rPr>
        <w:rFonts w:ascii="宋体"/>
        <w:noProof/>
        <w:sz w:val="18"/>
        <w:szCs w:val="18"/>
      </w:rPr>
      <w:t>1</w:t>
    </w:r>
    <w:r>
      <w:rPr>
        <w:rFonts w:ascii="宋体"/>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7C" w:rsidRDefault="00C21F7C">
      <w:r>
        <w:separator/>
      </w:r>
    </w:p>
  </w:footnote>
  <w:footnote w:type="continuationSeparator" w:id="0">
    <w:p w:rsidR="00C21F7C" w:rsidRDefault="00C21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7C" w:rsidRDefault="00C21F7C">
    <w:pPr>
      <w:pBdr>
        <w:bottom w:val="single" w:sz="6" w:space="1" w:color="auto"/>
      </w:pBdr>
      <w:jc w:val="right"/>
    </w:pPr>
    <w:r>
      <w:rPr>
        <w:rFonts w:ascii="宋体"/>
        <w:sz w:val="18"/>
        <w:szCs w:val="18"/>
      </w:rPr>
      <w:t>华孚时尚股份有限公司2022年半年度报告全文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AB995"/>
    <w:multiLevelType w:val="singleLevel"/>
    <w:tmpl w:val="B6AAB995"/>
    <w:lvl w:ilvl="0">
      <w:start w:val="3"/>
      <w:numFmt w:val="decimal"/>
      <w:suff w:val="nothing"/>
      <w:lvlText w:val="%1、"/>
      <w:lvlJc w:val="left"/>
    </w:lvl>
  </w:abstractNum>
  <w:abstractNum w:abstractNumId="1">
    <w:nsid w:val="BF205925"/>
    <w:multiLevelType w:val="multilevel"/>
    <w:tmpl w:val="BF20592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nsid w:val="CF092B84"/>
    <w:multiLevelType w:val="multilevel"/>
    <w:tmpl w:val="CF092B8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
    <w:nsid w:val="0053208E"/>
    <w:multiLevelType w:val="multilevel"/>
    <w:tmpl w:val="0053208E"/>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4">
    <w:nsid w:val="59ADCABA"/>
    <w:multiLevelType w:val="multilevel"/>
    <w:tmpl w:val="59ADCABA"/>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2"/>
  <w:displayVerticalDrawingGridEvery w:val="2"/>
  <w:characterSpacingControl w:val="doNotCompress"/>
  <w:savePreviewPicture/>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
  <w:docVars>
    <w:docVar w:name="commondata" w:val="eyJoZGlkIjoiNzVlODY1MzA0YjNiZDMyMmRlYTlhMDJhYzZhZDQ5ODgifQ=="/>
  </w:docVars>
  <w:rsids>
    <w:rsidRoot w:val="00C526AC"/>
    <w:rsid w:val="00076076"/>
    <w:rsid w:val="00095494"/>
    <w:rsid w:val="000D0D7E"/>
    <w:rsid w:val="000F2B85"/>
    <w:rsid w:val="00144F32"/>
    <w:rsid w:val="00164D18"/>
    <w:rsid w:val="001B7AB1"/>
    <w:rsid w:val="001C5D95"/>
    <w:rsid w:val="001E1CCD"/>
    <w:rsid w:val="00212414"/>
    <w:rsid w:val="00272A85"/>
    <w:rsid w:val="002E192D"/>
    <w:rsid w:val="003E48F1"/>
    <w:rsid w:val="003E5396"/>
    <w:rsid w:val="0046404A"/>
    <w:rsid w:val="004A5A58"/>
    <w:rsid w:val="004D4867"/>
    <w:rsid w:val="004E1ADD"/>
    <w:rsid w:val="00550D6C"/>
    <w:rsid w:val="005541C9"/>
    <w:rsid w:val="00564F21"/>
    <w:rsid w:val="005777BA"/>
    <w:rsid w:val="00643E44"/>
    <w:rsid w:val="00657BE4"/>
    <w:rsid w:val="006C1176"/>
    <w:rsid w:val="00741DA5"/>
    <w:rsid w:val="007775F3"/>
    <w:rsid w:val="007B6DF4"/>
    <w:rsid w:val="008B5627"/>
    <w:rsid w:val="008B6DB4"/>
    <w:rsid w:val="008C2905"/>
    <w:rsid w:val="008E5B2A"/>
    <w:rsid w:val="00902996"/>
    <w:rsid w:val="009541AB"/>
    <w:rsid w:val="00991072"/>
    <w:rsid w:val="00AC6922"/>
    <w:rsid w:val="00B53463"/>
    <w:rsid w:val="00BB1882"/>
    <w:rsid w:val="00BD7AF4"/>
    <w:rsid w:val="00C21F7C"/>
    <w:rsid w:val="00C41BCA"/>
    <w:rsid w:val="00C47E0A"/>
    <w:rsid w:val="00C526AC"/>
    <w:rsid w:val="00C94857"/>
    <w:rsid w:val="00CD6F67"/>
    <w:rsid w:val="00D74A1D"/>
    <w:rsid w:val="00E0175D"/>
    <w:rsid w:val="00E0390B"/>
    <w:rsid w:val="00E71D18"/>
    <w:rsid w:val="00E74516"/>
    <w:rsid w:val="00ED4EB7"/>
    <w:rsid w:val="33E53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E01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0175D"/>
    <w:rPr>
      <w:sz w:val="18"/>
      <w:szCs w:val="18"/>
    </w:rPr>
  </w:style>
  <w:style w:type="paragraph" w:styleId="a7">
    <w:name w:val="footer"/>
    <w:basedOn w:val="a"/>
    <w:link w:val="Char0"/>
    <w:rsid w:val="00E0175D"/>
    <w:pPr>
      <w:tabs>
        <w:tab w:val="center" w:pos="4153"/>
        <w:tab w:val="right" w:pos="8306"/>
      </w:tabs>
      <w:snapToGrid w:val="0"/>
      <w:jc w:val="left"/>
    </w:pPr>
    <w:rPr>
      <w:sz w:val="18"/>
      <w:szCs w:val="18"/>
    </w:rPr>
  </w:style>
  <w:style w:type="character" w:customStyle="1" w:styleId="Char0">
    <w:name w:val="页脚 Char"/>
    <w:basedOn w:val="a0"/>
    <w:link w:val="a7"/>
    <w:rsid w:val="00E0175D"/>
    <w:rPr>
      <w:sz w:val="18"/>
      <w:szCs w:val="18"/>
    </w:rPr>
  </w:style>
  <w:style w:type="paragraph" w:styleId="a8">
    <w:name w:val="Balloon Text"/>
    <w:basedOn w:val="a"/>
    <w:link w:val="Char1"/>
    <w:rsid w:val="00E0175D"/>
    <w:rPr>
      <w:sz w:val="18"/>
      <w:szCs w:val="18"/>
    </w:rPr>
  </w:style>
  <w:style w:type="character" w:customStyle="1" w:styleId="Char1">
    <w:name w:val="批注框文本 Char"/>
    <w:basedOn w:val="a0"/>
    <w:link w:val="a8"/>
    <w:rsid w:val="00E017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E01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0175D"/>
    <w:rPr>
      <w:sz w:val="18"/>
      <w:szCs w:val="18"/>
    </w:rPr>
  </w:style>
  <w:style w:type="paragraph" w:styleId="a7">
    <w:name w:val="footer"/>
    <w:basedOn w:val="a"/>
    <w:link w:val="Char0"/>
    <w:rsid w:val="00E0175D"/>
    <w:pPr>
      <w:tabs>
        <w:tab w:val="center" w:pos="4153"/>
        <w:tab w:val="right" w:pos="8306"/>
      </w:tabs>
      <w:snapToGrid w:val="0"/>
      <w:jc w:val="left"/>
    </w:pPr>
    <w:rPr>
      <w:sz w:val="18"/>
      <w:szCs w:val="18"/>
    </w:rPr>
  </w:style>
  <w:style w:type="character" w:customStyle="1" w:styleId="Char0">
    <w:name w:val="页脚 Char"/>
    <w:basedOn w:val="a0"/>
    <w:link w:val="a7"/>
    <w:rsid w:val="00E0175D"/>
    <w:rPr>
      <w:sz w:val="18"/>
      <w:szCs w:val="18"/>
    </w:rPr>
  </w:style>
  <w:style w:type="paragraph" w:styleId="a8">
    <w:name w:val="Balloon Text"/>
    <w:basedOn w:val="a"/>
    <w:link w:val="Char1"/>
    <w:rsid w:val="00E0175D"/>
    <w:rPr>
      <w:sz w:val="18"/>
      <w:szCs w:val="18"/>
    </w:rPr>
  </w:style>
  <w:style w:type="character" w:customStyle="1" w:styleId="Char1">
    <w:name w:val="批注框文本 Char"/>
    <w:basedOn w:val="a0"/>
    <w:link w:val="a8"/>
    <w:rsid w:val="00E017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18387</Words>
  <Characters>104810</Characters>
  <Application>Microsoft Office Word</Application>
  <DocSecurity>0</DocSecurity>
  <Lines>873</Lines>
  <Paragraphs>245</Paragraphs>
  <ScaleCrop>false</ScaleCrop>
  <Company/>
  <LinksUpToDate>false</LinksUpToDate>
  <CharactersWithSpaces>122952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wangshuying</dc:creator>
  <cp:lastModifiedBy>孙献</cp:lastModifiedBy>
  <cp:revision>2</cp:revision>
  <dcterms:created xsi:type="dcterms:W3CDTF">2022-08-24T10:05:00Z</dcterms:created>
  <dcterms:modified xsi:type="dcterms:W3CDTF">2022-08-24T10:05:00Z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BDA62F2434C84B58A60DF1B7E051B503</vt:lpwstr>
  </property>
</Properties>
</file>