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9" w:rsidRPr="002A52D1" w:rsidRDefault="00774E29" w:rsidP="00774E29">
      <w:pPr>
        <w:pStyle w:val="Default"/>
        <w:spacing w:line="600" w:lineRule="exact"/>
        <w:jc w:val="center"/>
        <w:rPr>
          <w:rFonts w:asciiTheme="minorEastAsia" w:eastAsiaTheme="minorEastAsia" w:hAnsiTheme="minorEastAsia"/>
          <w:b/>
          <w:sz w:val="36"/>
          <w:szCs w:val="36"/>
        </w:rPr>
      </w:pPr>
      <w:r w:rsidRPr="002A52D1">
        <w:rPr>
          <w:rFonts w:asciiTheme="minorEastAsia" w:eastAsiaTheme="minorEastAsia" w:hAnsiTheme="minorEastAsia" w:hint="eastAsia"/>
          <w:b/>
          <w:sz w:val="36"/>
          <w:szCs w:val="36"/>
        </w:rPr>
        <w:t>华孚时尚股份有限公司</w:t>
      </w:r>
    </w:p>
    <w:p w:rsidR="00774E29" w:rsidRPr="002A52D1" w:rsidRDefault="00774E29" w:rsidP="00774E29">
      <w:pPr>
        <w:pStyle w:val="Default"/>
        <w:spacing w:afterLines="100" w:after="240" w:line="600" w:lineRule="exact"/>
        <w:jc w:val="center"/>
        <w:rPr>
          <w:rFonts w:asciiTheme="minorEastAsia" w:eastAsiaTheme="minorEastAsia" w:hAnsiTheme="minorEastAsia"/>
          <w:b/>
          <w:sz w:val="36"/>
          <w:szCs w:val="36"/>
        </w:rPr>
      </w:pPr>
      <w:r w:rsidRPr="002A52D1">
        <w:rPr>
          <w:rFonts w:asciiTheme="minorEastAsia" w:eastAsiaTheme="minorEastAsia" w:hAnsiTheme="minorEastAsia" w:cs="Times New Roman"/>
          <w:b/>
          <w:bCs/>
          <w:sz w:val="36"/>
          <w:szCs w:val="36"/>
        </w:rPr>
        <w:t>202</w:t>
      </w:r>
      <w:r w:rsidRPr="002A52D1">
        <w:rPr>
          <w:rFonts w:asciiTheme="minorEastAsia" w:eastAsiaTheme="minorEastAsia" w:hAnsiTheme="minorEastAsia" w:cs="Times New Roman" w:hint="eastAsia"/>
          <w:b/>
          <w:bCs/>
          <w:sz w:val="36"/>
          <w:szCs w:val="36"/>
        </w:rPr>
        <w:t>1</w:t>
      </w:r>
      <w:r w:rsidRPr="002A52D1">
        <w:rPr>
          <w:rFonts w:asciiTheme="minorEastAsia" w:eastAsiaTheme="minorEastAsia" w:hAnsiTheme="minorEastAsia" w:hint="eastAsia"/>
          <w:b/>
          <w:sz w:val="36"/>
          <w:szCs w:val="36"/>
        </w:rPr>
        <w:t>年</w:t>
      </w:r>
      <w:r w:rsidR="002E4D2D" w:rsidRPr="002A52D1">
        <w:rPr>
          <w:rFonts w:asciiTheme="minorEastAsia" w:eastAsiaTheme="minorEastAsia" w:hAnsiTheme="minorEastAsia" w:hint="eastAsia"/>
          <w:b/>
          <w:sz w:val="36"/>
          <w:szCs w:val="36"/>
        </w:rPr>
        <w:t>股权</w:t>
      </w:r>
      <w:r w:rsidRPr="002A52D1">
        <w:rPr>
          <w:rFonts w:asciiTheme="minorEastAsia" w:eastAsiaTheme="minorEastAsia" w:hAnsiTheme="minorEastAsia" w:hint="eastAsia"/>
          <w:b/>
          <w:sz w:val="36"/>
          <w:szCs w:val="36"/>
        </w:rPr>
        <w:t>激励计划实施考核管理办法</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华孚时尚股份有限公司（以下简称“公司”）为保证公司股权激励计划的顺利进行，进一步完善公司法人治理结构，形成良好均衡的价值分配体系，充分调动公司核心骨干人员的工作积极性，保证公司业绩稳步提升，确保公司发展战略和经营目标的实现，根据《中华人民共和国公司法》、《中华人民共和国证券法》、《上市公司股权激励管理办法》等有关法律、法规和规范性文件以及《公司章程》的规定，特制定本办法。</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一、考核目的</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进一步完善公司法人治理结构，建立和完善公司激励约束机制，保证股权激励计划的顺利实施，并在最大程度上发挥股权激励的作用，进而确保公司发展战略和经营目标的实现。</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二、考核原则</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考核评价必须坚持公平、公正、公开，严格按照本办法和考核对象的业绩绩效进行评价，以实现股权激励计划与激励对象工作业绩、贡献紧密结合，从而提高管理绩效，实现公司与全体股东利益最大化。</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三、考核范围</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cs="Times New Roman"/>
        </w:rPr>
        <w:t>1</w:t>
      </w:r>
      <w:r w:rsidR="00200814" w:rsidRPr="002A52D1">
        <w:rPr>
          <w:rFonts w:asciiTheme="minorEastAsia" w:eastAsiaTheme="minorEastAsia" w:hAnsiTheme="minorEastAsia" w:hint="eastAsia"/>
        </w:rPr>
        <w:t>、</w:t>
      </w:r>
      <w:r w:rsidR="0058708E" w:rsidRPr="002A52D1">
        <w:rPr>
          <w:rFonts w:asciiTheme="minorEastAsia" w:eastAsiaTheme="minorEastAsia" w:hAnsiTheme="minorEastAsia" w:hint="eastAsia"/>
        </w:rPr>
        <w:t>本次股权激励计划的全体激励对象：公司董事、高级管理人员及核心骨干（技术）</w:t>
      </w:r>
      <w:r w:rsidRPr="002A52D1">
        <w:rPr>
          <w:rFonts w:asciiTheme="minorEastAsia" w:eastAsiaTheme="minorEastAsia" w:hAnsiTheme="minorEastAsia" w:hint="eastAsia"/>
        </w:rPr>
        <w:t>人员。</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cs="Times New Roman"/>
        </w:rPr>
        <w:t>2</w:t>
      </w:r>
      <w:r w:rsidR="00200814" w:rsidRPr="002A52D1">
        <w:rPr>
          <w:rFonts w:asciiTheme="minorEastAsia" w:eastAsiaTheme="minorEastAsia" w:hAnsiTheme="minorEastAsia" w:hint="eastAsia"/>
        </w:rPr>
        <w:t>、</w:t>
      </w:r>
      <w:r w:rsidRPr="002A52D1">
        <w:rPr>
          <w:rFonts w:asciiTheme="minorEastAsia" w:eastAsiaTheme="minorEastAsia" w:hAnsiTheme="minorEastAsia" w:hint="eastAsia"/>
        </w:rPr>
        <w:t>预留激励对象，即激励计划获得股东大会批准时尚未确定，在本次激励计划存续期间经董事会批准后纳入激励计划的激励对象。</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四、考核机构</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cs="Times New Roman"/>
        </w:rPr>
        <w:t>1</w:t>
      </w:r>
      <w:r w:rsidR="00200814" w:rsidRPr="002A52D1">
        <w:rPr>
          <w:rFonts w:asciiTheme="minorEastAsia" w:eastAsiaTheme="minorEastAsia" w:hAnsiTheme="minorEastAsia" w:hint="eastAsia"/>
        </w:rPr>
        <w:t>、</w:t>
      </w:r>
      <w:r w:rsidRPr="002A52D1">
        <w:rPr>
          <w:rFonts w:asciiTheme="minorEastAsia" w:eastAsiaTheme="minorEastAsia" w:hAnsiTheme="minorEastAsia" w:hint="eastAsia"/>
        </w:rPr>
        <w:t>公司董事会薪酬与考核委员会负责领导和组织对激励对象的考核工作。</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cs="Times New Roman"/>
        </w:rPr>
        <w:t>2</w:t>
      </w:r>
      <w:r w:rsidR="00200814" w:rsidRPr="002A52D1">
        <w:rPr>
          <w:rFonts w:asciiTheme="minorEastAsia" w:eastAsiaTheme="minorEastAsia" w:hAnsiTheme="minorEastAsia" w:hint="eastAsia"/>
        </w:rPr>
        <w:t>、</w:t>
      </w:r>
      <w:r w:rsidRPr="002A52D1">
        <w:rPr>
          <w:rFonts w:asciiTheme="minorEastAsia" w:eastAsiaTheme="minorEastAsia" w:hAnsiTheme="minorEastAsia" w:hint="eastAsia"/>
        </w:rPr>
        <w:t>公司董事会负责考核结果的审核。</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五、股权激励绩效考评评价指标及标准</w:t>
      </w:r>
    </w:p>
    <w:p w:rsidR="00200814" w:rsidRPr="002A52D1" w:rsidRDefault="00200814"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（一）公司层面业绩考核要求</w:t>
      </w:r>
    </w:p>
    <w:p w:rsidR="00774E29" w:rsidRPr="002A52D1" w:rsidRDefault="00774E29" w:rsidP="00774E29">
      <w:pPr>
        <w:pStyle w:val="Default"/>
        <w:spacing w:line="500" w:lineRule="exact"/>
        <w:ind w:firstLineChars="200" w:firstLine="480"/>
        <w:rPr>
          <w:rFonts w:asciiTheme="minorEastAsia" w:eastAsiaTheme="minorEastAsia" w:hAnsiTheme="minorEastAsia"/>
        </w:rPr>
      </w:pPr>
      <w:r w:rsidRPr="002A52D1">
        <w:rPr>
          <w:rFonts w:asciiTheme="minorEastAsia" w:eastAsiaTheme="minorEastAsia" w:hAnsiTheme="minorEastAsia" w:hint="eastAsia"/>
        </w:rPr>
        <w:t>本激励计划考核期限为</w:t>
      </w:r>
      <w:r w:rsidRPr="002A52D1">
        <w:rPr>
          <w:rFonts w:asciiTheme="minorEastAsia" w:eastAsiaTheme="minorEastAsia" w:hAnsiTheme="minorEastAsia"/>
        </w:rPr>
        <w:t>2021</w:t>
      </w:r>
      <w:r w:rsidRPr="002A52D1">
        <w:rPr>
          <w:rFonts w:asciiTheme="minorEastAsia" w:eastAsiaTheme="minorEastAsia" w:hAnsiTheme="minorEastAsia" w:hint="eastAsia"/>
        </w:rPr>
        <w:t>年至</w:t>
      </w:r>
      <w:r w:rsidRPr="002A52D1">
        <w:rPr>
          <w:rFonts w:asciiTheme="minorEastAsia" w:eastAsiaTheme="minorEastAsia" w:hAnsiTheme="minorEastAsia"/>
        </w:rPr>
        <w:t>2023</w:t>
      </w:r>
      <w:r w:rsidRPr="002A52D1">
        <w:rPr>
          <w:rFonts w:asciiTheme="minorEastAsia" w:eastAsiaTheme="minorEastAsia" w:hAnsiTheme="minorEastAsia" w:hint="eastAsia"/>
        </w:rPr>
        <w:t>年，时间跨度为三个会计年度，每个会计年度考核一次，第一个考核期为</w:t>
      </w:r>
      <w:r w:rsidRPr="002A52D1">
        <w:rPr>
          <w:rFonts w:asciiTheme="minorEastAsia" w:eastAsiaTheme="minorEastAsia" w:hAnsiTheme="minorEastAsia"/>
        </w:rPr>
        <w:t>2021</w:t>
      </w:r>
      <w:r w:rsidRPr="002A52D1">
        <w:rPr>
          <w:rFonts w:asciiTheme="minorEastAsia" w:eastAsiaTheme="minorEastAsia" w:hAnsiTheme="minorEastAsia" w:hint="eastAsia"/>
        </w:rPr>
        <w:t>年、第二个考核期为</w:t>
      </w:r>
      <w:r w:rsidRPr="002A52D1">
        <w:rPr>
          <w:rFonts w:asciiTheme="minorEastAsia" w:eastAsiaTheme="minorEastAsia" w:hAnsiTheme="minorEastAsia"/>
        </w:rPr>
        <w:t>2022</w:t>
      </w:r>
      <w:r w:rsidRPr="002A52D1">
        <w:rPr>
          <w:rFonts w:asciiTheme="minorEastAsia" w:eastAsiaTheme="minorEastAsia" w:hAnsiTheme="minorEastAsia" w:hint="eastAsia"/>
        </w:rPr>
        <w:t>年、第三个考核期为</w:t>
      </w:r>
      <w:r w:rsidRPr="002A52D1">
        <w:rPr>
          <w:rFonts w:asciiTheme="minorEastAsia" w:eastAsiaTheme="minorEastAsia" w:hAnsiTheme="minorEastAsia"/>
        </w:rPr>
        <w:t>2023</w:t>
      </w:r>
      <w:r w:rsidRPr="002A52D1">
        <w:rPr>
          <w:rFonts w:asciiTheme="minorEastAsia" w:eastAsiaTheme="minorEastAsia" w:hAnsiTheme="minorEastAsia" w:hint="eastAsia"/>
        </w:rPr>
        <w:lastRenderedPageBreak/>
        <w:t>年，以达到绩效考核目标作为激励对象当期的行权条件。</w:t>
      </w:r>
    </w:p>
    <w:p w:rsidR="0058708E" w:rsidRPr="002A52D1" w:rsidRDefault="0058708E" w:rsidP="0058708E">
      <w:pPr>
        <w:pStyle w:val="a4"/>
        <w:spacing w:line="500" w:lineRule="exact"/>
        <w:ind w:firstLine="480"/>
        <w:rPr>
          <w:rFonts w:ascii="宋体" w:hAnsi="宋体"/>
          <w:color w:val="000000"/>
          <w:sz w:val="24"/>
          <w:szCs w:val="24"/>
        </w:rPr>
      </w:pPr>
      <w:r w:rsidRPr="002A52D1">
        <w:rPr>
          <w:rFonts w:ascii="宋体" w:hAnsi="宋体" w:hint="eastAsia"/>
          <w:color w:val="000000"/>
          <w:sz w:val="24"/>
          <w:szCs w:val="24"/>
        </w:rPr>
        <w:t>本激励计划首次授予的股票期权分三期行权，行权考核年度为2021年，2022年，2023年；预留的股票期权分两期行权，行权考核年度为2022年、2023年。公司将对激励对象分年度进行绩效考核，每个会计年度考核一次，以达到业绩考核目标作为激励对象的行权条件之一。具体如下：</w:t>
      </w:r>
    </w:p>
    <w:tbl>
      <w:tblPr>
        <w:tblStyle w:val="a3"/>
        <w:tblW w:w="0" w:type="auto"/>
        <w:tblLook w:val="04A0" w:firstRow="1" w:lastRow="0" w:firstColumn="1" w:lastColumn="0" w:noHBand="0" w:noVBand="1"/>
      </w:tblPr>
      <w:tblGrid>
        <w:gridCol w:w="3794"/>
        <w:gridCol w:w="5245"/>
      </w:tblGrid>
      <w:tr w:rsidR="00200814" w:rsidRPr="002A52D1" w:rsidTr="002E4D2D">
        <w:tc>
          <w:tcPr>
            <w:tcW w:w="3794" w:type="dxa"/>
          </w:tcPr>
          <w:p w:rsidR="00200814" w:rsidRPr="002A52D1" w:rsidRDefault="00200814" w:rsidP="001D560E">
            <w:pPr>
              <w:pStyle w:val="Default"/>
              <w:spacing w:line="500" w:lineRule="exact"/>
              <w:jc w:val="center"/>
              <w:rPr>
                <w:rFonts w:asciiTheme="minorEastAsia" w:eastAsiaTheme="minorEastAsia" w:hAnsiTheme="minorEastAsia"/>
              </w:rPr>
            </w:pPr>
            <w:r w:rsidRPr="002A52D1">
              <w:rPr>
                <w:rFonts w:asciiTheme="minorEastAsia" w:eastAsiaTheme="minorEastAsia" w:hAnsiTheme="minorEastAsia" w:hint="eastAsia"/>
              </w:rPr>
              <w:t>行权期</w:t>
            </w:r>
          </w:p>
        </w:tc>
        <w:tc>
          <w:tcPr>
            <w:tcW w:w="5245" w:type="dxa"/>
          </w:tcPr>
          <w:p w:rsidR="00200814" w:rsidRPr="002A52D1" w:rsidRDefault="00200814" w:rsidP="001D560E">
            <w:pPr>
              <w:pStyle w:val="Default"/>
              <w:spacing w:line="500" w:lineRule="exact"/>
              <w:jc w:val="center"/>
              <w:rPr>
                <w:rFonts w:asciiTheme="minorEastAsia" w:eastAsiaTheme="minorEastAsia" w:hAnsiTheme="minorEastAsia"/>
              </w:rPr>
            </w:pPr>
            <w:r w:rsidRPr="002A52D1">
              <w:rPr>
                <w:rFonts w:asciiTheme="minorEastAsia" w:eastAsiaTheme="minorEastAsia" w:hAnsiTheme="minorEastAsia" w:hint="eastAsia"/>
              </w:rPr>
              <w:t>业绩考核指标</w:t>
            </w:r>
          </w:p>
        </w:tc>
      </w:tr>
      <w:tr w:rsidR="002E4D2D" w:rsidRPr="002A52D1" w:rsidTr="00E027B6">
        <w:tc>
          <w:tcPr>
            <w:tcW w:w="3794" w:type="dxa"/>
            <w:vAlign w:val="center"/>
          </w:tcPr>
          <w:p w:rsidR="002E4D2D" w:rsidRPr="002A52D1" w:rsidRDefault="002E4D2D" w:rsidP="00E027B6">
            <w:pPr>
              <w:pStyle w:val="Default"/>
              <w:spacing w:line="360" w:lineRule="auto"/>
              <w:jc w:val="center"/>
              <w:rPr>
                <w:rFonts w:asciiTheme="minorEastAsia" w:eastAsiaTheme="minorEastAsia" w:hAnsiTheme="minorEastAsia"/>
              </w:rPr>
            </w:pPr>
            <w:r w:rsidRPr="002A52D1">
              <w:rPr>
                <w:rFonts w:asciiTheme="minorEastAsia" w:eastAsiaTheme="minorEastAsia" w:hAnsiTheme="minorEastAsia" w:hint="eastAsia"/>
              </w:rPr>
              <w:t>首次授予股票期权第一个行权期</w:t>
            </w:r>
          </w:p>
        </w:tc>
        <w:tc>
          <w:tcPr>
            <w:tcW w:w="5245" w:type="dxa"/>
            <w:vAlign w:val="center"/>
          </w:tcPr>
          <w:p w:rsidR="002E4D2D" w:rsidRPr="002A52D1" w:rsidRDefault="002E4D2D" w:rsidP="00E027B6">
            <w:pPr>
              <w:rPr>
                <w:rFonts w:ascii="宋体" w:hAnsi="宋体"/>
                <w:sz w:val="24"/>
                <w:szCs w:val="24"/>
              </w:rPr>
            </w:pPr>
            <w:r w:rsidRPr="002A52D1">
              <w:rPr>
                <w:rFonts w:ascii="宋体" w:hAnsi="宋体" w:hint="eastAsia"/>
                <w:sz w:val="24"/>
                <w:szCs w:val="24"/>
              </w:rPr>
              <w:t>2021年归属于上市公司股东的净利润不低于20,000万元</w:t>
            </w:r>
          </w:p>
        </w:tc>
      </w:tr>
      <w:tr w:rsidR="0058708E" w:rsidRPr="002A52D1" w:rsidTr="00E027B6">
        <w:tc>
          <w:tcPr>
            <w:tcW w:w="3794" w:type="dxa"/>
            <w:vAlign w:val="center"/>
          </w:tcPr>
          <w:p w:rsidR="0058708E" w:rsidRPr="002A52D1" w:rsidRDefault="0058708E" w:rsidP="00E027B6">
            <w:pPr>
              <w:pStyle w:val="Default"/>
              <w:spacing w:line="360" w:lineRule="auto"/>
              <w:jc w:val="center"/>
              <w:rPr>
                <w:rFonts w:asciiTheme="minorEastAsia" w:eastAsiaTheme="minorEastAsia" w:hAnsiTheme="minorEastAsia"/>
              </w:rPr>
            </w:pPr>
            <w:r w:rsidRPr="002A52D1">
              <w:rPr>
                <w:rFonts w:asciiTheme="minorEastAsia" w:eastAsiaTheme="minorEastAsia" w:hAnsiTheme="minorEastAsia" w:hint="eastAsia"/>
              </w:rPr>
              <w:t>首次授予股票期权第二个行权期</w:t>
            </w:r>
          </w:p>
        </w:tc>
        <w:tc>
          <w:tcPr>
            <w:tcW w:w="5245" w:type="dxa"/>
            <w:vAlign w:val="center"/>
          </w:tcPr>
          <w:p w:rsidR="0058708E" w:rsidRPr="002A52D1" w:rsidRDefault="0058708E" w:rsidP="00E027B6">
            <w:pPr>
              <w:rPr>
                <w:rFonts w:ascii="宋体" w:hAnsi="宋体"/>
                <w:sz w:val="24"/>
                <w:szCs w:val="24"/>
              </w:rPr>
            </w:pPr>
            <w:r w:rsidRPr="002A52D1">
              <w:rPr>
                <w:rFonts w:ascii="宋体" w:hAnsi="宋体" w:hint="eastAsia"/>
                <w:sz w:val="24"/>
                <w:szCs w:val="24"/>
              </w:rPr>
              <w:t>2022年归属于上市公司股东的净利润不低于</w:t>
            </w:r>
            <w:r w:rsidR="00E027B6" w:rsidRPr="002A52D1">
              <w:rPr>
                <w:rFonts w:ascii="宋体" w:hAnsi="宋体" w:hint="eastAsia"/>
                <w:sz w:val="24"/>
                <w:szCs w:val="24"/>
              </w:rPr>
              <w:t>3</w:t>
            </w:r>
            <w:r w:rsidRPr="002A52D1">
              <w:rPr>
                <w:rFonts w:ascii="宋体" w:hAnsi="宋体" w:hint="eastAsia"/>
                <w:sz w:val="24"/>
                <w:szCs w:val="24"/>
              </w:rPr>
              <w:t>0,000万元</w:t>
            </w:r>
          </w:p>
        </w:tc>
      </w:tr>
      <w:tr w:rsidR="0058708E" w:rsidRPr="002A52D1" w:rsidTr="00E027B6">
        <w:tc>
          <w:tcPr>
            <w:tcW w:w="3794" w:type="dxa"/>
            <w:vAlign w:val="center"/>
          </w:tcPr>
          <w:p w:rsidR="0058708E" w:rsidRPr="002A52D1" w:rsidRDefault="0058708E" w:rsidP="00E027B6">
            <w:pPr>
              <w:pStyle w:val="Default"/>
              <w:spacing w:line="360" w:lineRule="auto"/>
              <w:jc w:val="center"/>
              <w:rPr>
                <w:rFonts w:asciiTheme="minorEastAsia" w:eastAsiaTheme="minorEastAsia" w:hAnsiTheme="minorEastAsia"/>
              </w:rPr>
            </w:pPr>
            <w:r w:rsidRPr="002A52D1">
              <w:rPr>
                <w:rFonts w:asciiTheme="minorEastAsia" w:eastAsiaTheme="minorEastAsia" w:hAnsiTheme="minorEastAsia" w:hint="eastAsia"/>
              </w:rPr>
              <w:t>首次授予股票期权第三个行权期</w:t>
            </w:r>
          </w:p>
        </w:tc>
        <w:tc>
          <w:tcPr>
            <w:tcW w:w="5245" w:type="dxa"/>
            <w:vAlign w:val="center"/>
          </w:tcPr>
          <w:p w:rsidR="0058708E" w:rsidRPr="002A52D1" w:rsidRDefault="0058708E" w:rsidP="00E027B6">
            <w:pPr>
              <w:rPr>
                <w:rFonts w:ascii="宋体" w:hAnsi="宋体"/>
                <w:sz w:val="24"/>
                <w:szCs w:val="24"/>
              </w:rPr>
            </w:pPr>
            <w:r w:rsidRPr="002A52D1">
              <w:rPr>
                <w:rFonts w:ascii="宋体" w:hAnsi="宋体" w:hint="eastAsia"/>
                <w:sz w:val="24"/>
                <w:szCs w:val="24"/>
              </w:rPr>
              <w:t>2023年归属于上市公司股东的净利润不低于</w:t>
            </w:r>
            <w:r w:rsidR="00E027B6" w:rsidRPr="002A52D1">
              <w:rPr>
                <w:rFonts w:ascii="宋体" w:hAnsi="宋体" w:hint="eastAsia"/>
                <w:sz w:val="24"/>
                <w:szCs w:val="24"/>
              </w:rPr>
              <w:t>4</w:t>
            </w:r>
            <w:r w:rsidRPr="002A52D1">
              <w:rPr>
                <w:rFonts w:ascii="宋体" w:hAnsi="宋体" w:hint="eastAsia"/>
                <w:sz w:val="24"/>
                <w:szCs w:val="24"/>
              </w:rPr>
              <w:t>0,000万元</w:t>
            </w:r>
          </w:p>
        </w:tc>
      </w:tr>
    </w:tbl>
    <w:p w:rsidR="00200814" w:rsidRPr="002A52D1" w:rsidRDefault="00200814" w:rsidP="0010536E">
      <w:pPr>
        <w:pStyle w:val="Default"/>
        <w:spacing w:line="500" w:lineRule="exact"/>
        <w:ind w:firstLineChars="200" w:firstLine="480"/>
        <w:rPr>
          <w:rFonts w:asciiTheme="minorEastAsia" w:eastAsiaTheme="minorEastAsia" w:hAnsiTheme="minorEastAsia" w:cs="Times New Roman"/>
        </w:rPr>
      </w:pPr>
      <w:r w:rsidRPr="002A52D1">
        <w:rPr>
          <w:rFonts w:asciiTheme="minorEastAsia" w:eastAsiaTheme="minorEastAsia" w:hAnsiTheme="minorEastAsia" w:cs="Times New Roman" w:hint="eastAsia"/>
        </w:rPr>
        <w:t>（二）个人层面绩效考核要求</w:t>
      </w:r>
    </w:p>
    <w:p w:rsidR="00200814" w:rsidRPr="002A52D1" w:rsidRDefault="00200814" w:rsidP="0010536E">
      <w:pPr>
        <w:pStyle w:val="Default"/>
        <w:spacing w:line="500" w:lineRule="exact"/>
        <w:ind w:firstLineChars="200" w:firstLine="480"/>
        <w:rPr>
          <w:rFonts w:asciiTheme="minorEastAsia" w:eastAsiaTheme="minorEastAsia" w:hAnsiTheme="minorEastAsia" w:cs="Times New Roman"/>
        </w:rPr>
      </w:pPr>
      <w:r w:rsidRPr="002A52D1">
        <w:rPr>
          <w:rFonts w:asciiTheme="minorEastAsia" w:eastAsiaTheme="minorEastAsia" w:hAnsiTheme="minorEastAsia" w:cs="Times New Roman" w:hint="eastAsia"/>
        </w:rPr>
        <w:t>激励对象的个人层面考核按照公司相关规定组织实施。在公司层面业绩考核达标的情况下，激励对象当年实际可</w:t>
      </w:r>
      <w:r w:rsidR="0058708E" w:rsidRPr="002A52D1">
        <w:rPr>
          <w:rFonts w:asciiTheme="minorEastAsia" w:eastAsiaTheme="minorEastAsia" w:hAnsiTheme="minorEastAsia" w:cs="Times New Roman" w:hint="eastAsia"/>
        </w:rPr>
        <w:t>行权的股票期权</w:t>
      </w:r>
      <w:r w:rsidRPr="002A52D1">
        <w:rPr>
          <w:rFonts w:asciiTheme="minorEastAsia" w:eastAsiaTheme="minorEastAsia" w:hAnsiTheme="minorEastAsia" w:cs="Times New Roman" w:hint="eastAsia"/>
        </w:rPr>
        <w:t>额度与其上年度绩效考核结果相关，激励对象只有在上一年度绩效考核满足条件，才能根据考核评分结果全额或部分</w:t>
      </w:r>
      <w:r w:rsidR="0058708E" w:rsidRPr="002A52D1">
        <w:rPr>
          <w:rFonts w:asciiTheme="minorEastAsia" w:eastAsiaTheme="minorEastAsia" w:hAnsiTheme="minorEastAsia" w:cs="Times New Roman" w:hint="eastAsia"/>
        </w:rPr>
        <w:t>行权</w:t>
      </w:r>
      <w:r w:rsidRPr="002A52D1">
        <w:rPr>
          <w:rFonts w:asciiTheme="minorEastAsia" w:eastAsiaTheme="minorEastAsia" w:hAnsiTheme="minorEastAsia" w:cs="Times New Roman" w:hint="eastAsia"/>
        </w:rPr>
        <w:t>。</w:t>
      </w:r>
    </w:p>
    <w:tbl>
      <w:tblPr>
        <w:tblStyle w:val="a3"/>
        <w:tblW w:w="0" w:type="auto"/>
        <w:tblLook w:val="04A0" w:firstRow="1" w:lastRow="0" w:firstColumn="1" w:lastColumn="0" w:noHBand="0" w:noVBand="1"/>
      </w:tblPr>
      <w:tblGrid>
        <w:gridCol w:w="4521"/>
        <w:gridCol w:w="4521"/>
      </w:tblGrid>
      <w:tr w:rsidR="00200814" w:rsidRPr="002A52D1" w:rsidTr="00200814">
        <w:tc>
          <w:tcPr>
            <w:tcW w:w="4521" w:type="dxa"/>
          </w:tcPr>
          <w:p w:rsidR="00200814" w:rsidRPr="002A52D1" w:rsidRDefault="00F72194" w:rsidP="0058708E">
            <w:pPr>
              <w:spacing w:line="500" w:lineRule="exact"/>
              <w:jc w:val="center"/>
              <w:rPr>
                <w:rFonts w:asciiTheme="minorEastAsia" w:hAnsiTheme="minorEastAsia"/>
                <w:sz w:val="24"/>
                <w:szCs w:val="24"/>
              </w:rPr>
            </w:pPr>
            <w:r w:rsidRPr="002A52D1">
              <w:rPr>
                <w:rFonts w:asciiTheme="minorEastAsia" w:hAnsiTheme="minorEastAsia" w:hint="eastAsia"/>
                <w:sz w:val="24"/>
                <w:szCs w:val="24"/>
              </w:rPr>
              <w:t>绩效考核等级</w:t>
            </w:r>
          </w:p>
        </w:tc>
        <w:tc>
          <w:tcPr>
            <w:tcW w:w="4521" w:type="dxa"/>
          </w:tcPr>
          <w:p w:rsidR="00200814" w:rsidRPr="002A52D1" w:rsidRDefault="0058708E" w:rsidP="0058708E">
            <w:pPr>
              <w:spacing w:line="500" w:lineRule="exact"/>
              <w:jc w:val="center"/>
              <w:rPr>
                <w:rFonts w:asciiTheme="minorEastAsia" w:hAnsiTheme="minorEastAsia"/>
                <w:sz w:val="24"/>
                <w:szCs w:val="24"/>
              </w:rPr>
            </w:pPr>
            <w:r w:rsidRPr="002A52D1">
              <w:rPr>
                <w:rFonts w:asciiTheme="minorEastAsia" w:hAnsiTheme="minorEastAsia" w:hint="eastAsia"/>
                <w:sz w:val="24"/>
                <w:szCs w:val="24"/>
              </w:rPr>
              <w:t>可行权</w:t>
            </w:r>
            <w:r w:rsidR="00200814" w:rsidRPr="002A52D1">
              <w:rPr>
                <w:rFonts w:asciiTheme="minorEastAsia" w:hAnsiTheme="minorEastAsia" w:hint="eastAsia"/>
                <w:sz w:val="24"/>
                <w:szCs w:val="24"/>
              </w:rPr>
              <w:t>系数</w:t>
            </w:r>
          </w:p>
        </w:tc>
      </w:tr>
      <w:tr w:rsidR="00F72194" w:rsidRPr="002A52D1" w:rsidTr="00200814">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A</w:t>
            </w:r>
          </w:p>
        </w:tc>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1.00</w:t>
            </w:r>
          </w:p>
        </w:tc>
      </w:tr>
      <w:tr w:rsidR="00F72194" w:rsidRPr="002A52D1" w:rsidTr="00200814">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B</w:t>
            </w:r>
          </w:p>
        </w:tc>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0.80</w:t>
            </w:r>
          </w:p>
        </w:tc>
      </w:tr>
      <w:tr w:rsidR="00F72194" w:rsidRPr="002A52D1" w:rsidTr="00200814">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C</w:t>
            </w:r>
          </w:p>
        </w:tc>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0.50</w:t>
            </w:r>
          </w:p>
        </w:tc>
      </w:tr>
      <w:tr w:rsidR="00F72194" w:rsidRPr="002A52D1" w:rsidTr="00200814">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D(否决项)</w:t>
            </w:r>
          </w:p>
        </w:tc>
        <w:tc>
          <w:tcPr>
            <w:tcW w:w="4521" w:type="dxa"/>
          </w:tcPr>
          <w:p w:rsidR="00F72194" w:rsidRPr="002A52D1" w:rsidRDefault="00F72194" w:rsidP="00873B3B">
            <w:pPr>
              <w:spacing w:line="500" w:lineRule="exact"/>
              <w:jc w:val="center"/>
              <w:rPr>
                <w:rFonts w:ascii="宋体" w:hAnsi="宋体"/>
                <w:sz w:val="24"/>
                <w:szCs w:val="24"/>
              </w:rPr>
            </w:pPr>
            <w:r w:rsidRPr="002A52D1">
              <w:rPr>
                <w:rFonts w:ascii="宋体" w:hAnsi="宋体" w:hint="eastAsia"/>
                <w:sz w:val="24"/>
                <w:szCs w:val="24"/>
              </w:rPr>
              <w:t>0.00</w:t>
            </w:r>
          </w:p>
        </w:tc>
      </w:tr>
    </w:tbl>
    <w:p w:rsidR="00200814" w:rsidRPr="002A52D1" w:rsidRDefault="00200814" w:rsidP="00F72194">
      <w:pPr>
        <w:spacing w:line="500" w:lineRule="exact"/>
        <w:ind w:firstLineChars="200" w:firstLine="480"/>
        <w:rPr>
          <w:rFonts w:asciiTheme="minorEastAsia" w:hAnsiTheme="minorEastAsia" w:cs="Times New Roman"/>
          <w:color w:val="000000"/>
          <w:kern w:val="0"/>
          <w:sz w:val="24"/>
          <w:szCs w:val="24"/>
        </w:rPr>
      </w:pPr>
      <w:r w:rsidRPr="002A52D1">
        <w:rPr>
          <w:rFonts w:asciiTheme="minorEastAsia" w:hAnsiTheme="minorEastAsia" w:cs="Times New Roman" w:hint="eastAsia"/>
          <w:color w:val="000000"/>
          <w:kern w:val="0"/>
          <w:sz w:val="24"/>
          <w:szCs w:val="24"/>
        </w:rPr>
        <w:t>注：</w:t>
      </w:r>
      <w:r w:rsidR="00F72194" w:rsidRPr="002A52D1">
        <w:rPr>
          <w:rFonts w:asciiTheme="minorEastAsia" w:hAnsiTheme="minorEastAsia" w:cs="Times New Roman" w:hint="eastAsia"/>
          <w:color w:val="000000"/>
          <w:kern w:val="0"/>
          <w:sz w:val="24"/>
          <w:szCs w:val="24"/>
        </w:rPr>
        <w:t>1、</w:t>
      </w:r>
      <w:r w:rsidRPr="002A52D1">
        <w:rPr>
          <w:rFonts w:asciiTheme="minorEastAsia" w:hAnsiTheme="minorEastAsia" w:cs="Times New Roman" w:hint="eastAsia"/>
          <w:color w:val="000000"/>
          <w:kern w:val="0"/>
          <w:sz w:val="24"/>
          <w:szCs w:val="24"/>
        </w:rPr>
        <w:t>考核结果应用：个人当年实际</w:t>
      </w:r>
      <w:r w:rsidR="0058708E" w:rsidRPr="002A52D1">
        <w:rPr>
          <w:rFonts w:asciiTheme="minorEastAsia" w:hAnsiTheme="minorEastAsia" w:cs="Times New Roman" w:hint="eastAsia"/>
          <w:color w:val="000000"/>
          <w:kern w:val="0"/>
          <w:sz w:val="24"/>
          <w:szCs w:val="24"/>
        </w:rPr>
        <w:t>可行权</w:t>
      </w:r>
      <w:r w:rsidRPr="002A52D1">
        <w:rPr>
          <w:rFonts w:asciiTheme="minorEastAsia" w:hAnsiTheme="minorEastAsia" w:cs="Times New Roman" w:hint="eastAsia"/>
          <w:color w:val="000000"/>
          <w:kern w:val="0"/>
          <w:sz w:val="24"/>
          <w:szCs w:val="24"/>
        </w:rPr>
        <w:t>额度＝</w:t>
      </w:r>
      <w:r w:rsidR="0058708E" w:rsidRPr="002A52D1">
        <w:rPr>
          <w:rFonts w:asciiTheme="minorEastAsia" w:hAnsiTheme="minorEastAsia" w:cs="Times New Roman" w:hint="eastAsia"/>
          <w:color w:val="000000"/>
          <w:kern w:val="0"/>
          <w:sz w:val="24"/>
          <w:szCs w:val="24"/>
        </w:rPr>
        <w:t>可行权</w:t>
      </w:r>
      <w:r w:rsidRPr="002A52D1">
        <w:rPr>
          <w:rFonts w:asciiTheme="minorEastAsia" w:hAnsiTheme="minorEastAsia" w:cs="Times New Roman" w:hint="eastAsia"/>
          <w:color w:val="000000"/>
          <w:kern w:val="0"/>
          <w:sz w:val="24"/>
          <w:szCs w:val="24"/>
        </w:rPr>
        <w:t>系数</w:t>
      </w:r>
      <w:r w:rsidRPr="002A52D1">
        <w:rPr>
          <w:rFonts w:asciiTheme="minorEastAsia" w:hAnsiTheme="minorEastAsia" w:cs="Times New Roman"/>
          <w:color w:val="000000"/>
          <w:kern w:val="0"/>
          <w:sz w:val="24"/>
          <w:szCs w:val="24"/>
        </w:rPr>
        <w:t>×</w:t>
      </w:r>
      <w:r w:rsidRPr="002A52D1">
        <w:rPr>
          <w:rFonts w:asciiTheme="minorEastAsia" w:hAnsiTheme="minorEastAsia" w:cs="Times New Roman" w:hint="eastAsia"/>
          <w:color w:val="000000"/>
          <w:kern w:val="0"/>
          <w:sz w:val="24"/>
          <w:szCs w:val="24"/>
        </w:rPr>
        <w:t>个人当年计划</w:t>
      </w:r>
      <w:r w:rsidR="0058708E" w:rsidRPr="002A52D1">
        <w:rPr>
          <w:rFonts w:asciiTheme="minorEastAsia" w:hAnsiTheme="minorEastAsia" w:cs="Times New Roman" w:hint="eastAsia"/>
          <w:color w:val="000000"/>
          <w:kern w:val="0"/>
          <w:sz w:val="24"/>
          <w:szCs w:val="24"/>
        </w:rPr>
        <w:t>可行权</w:t>
      </w:r>
      <w:r w:rsidRPr="002A52D1">
        <w:rPr>
          <w:rFonts w:asciiTheme="minorEastAsia" w:hAnsiTheme="minorEastAsia" w:cs="Times New Roman" w:hint="eastAsia"/>
          <w:color w:val="000000"/>
          <w:kern w:val="0"/>
          <w:sz w:val="24"/>
          <w:szCs w:val="24"/>
        </w:rPr>
        <w:t>额度。</w:t>
      </w:r>
    </w:p>
    <w:p w:rsidR="00F72194" w:rsidRPr="002A52D1" w:rsidRDefault="00F72194" w:rsidP="00F72194">
      <w:pPr>
        <w:pStyle w:val="a4"/>
        <w:spacing w:line="500" w:lineRule="exact"/>
        <w:ind w:firstLine="480"/>
        <w:rPr>
          <w:rFonts w:asciiTheme="minorEastAsia" w:eastAsiaTheme="minorEastAsia" w:hAnsiTheme="minorEastAsia"/>
          <w:color w:val="000000"/>
          <w:kern w:val="0"/>
          <w:sz w:val="24"/>
          <w:szCs w:val="24"/>
        </w:rPr>
      </w:pPr>
      <w:r w:rsidRPr="002A52D1">
        <w:rPr>
          <w:rFonts w:asciiTheme="minorEastAsia" w:eastAsiaTheme="minorEastAsia" w:hAnsiTheme="minorEastAsia" w:hint="eastAsia"/>
          <w:color w:val="000000"/>
          <w:kern w:val="0"/>
          <w:sz w:val="24"/>
          <w:szCs w:val="24"/>
        </w:rPr>
        <w:t>2、</w:t>
      </w:r>
      <w:r w:rsidRPr="002A52D1">
        <w:rPr>
          <w:rFonts w:asciiTheme="minorEastAsia" w:eastAsiaTheme="minorEastAsia" w:hAnsiTheme="minorEastAsia"/>
          <w:color w:val="000000"/>
          <w:kern w:val="0"/>
          <w:sz w:val="24"/>
          <w:szCs w:val="24"/>
        </w:rPr>
        <w:t>否决项：如果在考核期间出现违法违纪、重大安全事故、环保事故以及其 它严重损害公司声誉、市场形象的事项，主要责任人当年的考核结果等级为 不合格。</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六、考核期间与次数</w:t>
      </w:r>
      <w:r w:rsidRPr="002A52D1">
        <w:rPr>
          <w:rFonts w:asciiTheme="minorEastAsia" w:eastAsiaTheme="minorEastAsia" w:hAnsiTheme="minorEastAsia" w:cstheme="minorBidi"/>
          <w:color w:val="auto"/>
          <w:kern w:val="2"/>
        </w:rPr>
        <w:t xml:space="preserve"> </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1</w:t>
      </w:r>
      <w:r w:rsidR="0010536E" w:rsidRPr="002A52D1">
        <w:rPr>
          <w:rFonts w:asciiTheme="minorEastAsia" w:eastAsiaTheme="minorEastAsia" w:hAnsiTheme="minorEastAsia" w:cstheme="minorBidi" w:hint="eastAsia"/>
          <w:color w:val="auto"/>
          <w:kern w:val="2"/>
        </w:rPr>
        <w:t>、</w:t>
      </w:r>
      <w:r w:rsidRPr="002A52D1">
        <w:rPr>
          <w:rFonts w:asciiTheme="minorEastAsia" w:eastAsiaTheme="minorEastAsia" w:hAnsiTheme="minorEastAsia" w:cstheme="minorBidi" w:hint="eastAsia"/>
          <w:color w:val="auto"/>
          <w:kern w:val="2"/>
        </w:rPr>
        <w:t>考核期间：激励</w:t>
      </w:r>
      <w:proofErr w:type="gramStart"/>
      <w:r w:rsidRPr="002A52D1">
        <w:rPr>
          <w:rFonts w:asciiTheme="minorEastAsia" w:eastAsiaTheme="minorEastAsia" w:hAnsiTheme="minorEastAsia" w:cstheme="minorBidi" w:hint="eastAsia"/>
          <w:color w:val="auto"/>
          <w:kern w:val="2"/>
        </w:rPr>
        <w:t>对象获授</w:t>
      </w:r>
      <w:r w:rsidR="0058708E" w:rsidRPr="002A52D1">
        <w:rPr>
          <w:rFonts w:asciiTheme="minorEastAsia" w:eastAsiaTheme="minorEastAsia" w:hAnsiTheme="minorEastAsia" w:cstheme="minorBidi" w:hint="eastAsia"/>
          <w:color w:val="auto"/>
          <w:kern w:val="2"/>
        </w:rPr>
        <w:t>股票</w:t>
      </w:r>
      <w:proofErr w:type="gramEnd"/>
      <w:r w:rsidR="0058708E" w:rsidRPr="002A52D1">
        <w:rPr>
          <w:rFonts w:asciiTheme="minorEastAsia" w:eastAsiaTheme="minorEastAsia" w:hAnsiTheme="minorEastAsia" w:cstheme="minorBidi" w:hint="eastAsia"/>
          <w:color w:val="auto"/>
          <w:kern w:val="2"/>
        </w:rPr>
        <w:t>期权行权</w:t>
      </w:r>
      <w:r w:rsidRPr="002A52D1">
        <w:rPr>
          <w:rFonts w:asciiTheme="minorEastAsia" w:eastAsiaTheme="minorEastAsia" w:hAnsiTheme="minorEastAsia" w:cstheme="minorBidi" w:hint="eastAsia"/>
          <w:color w:val="auto"/>
          <w:kern w:val="2"/>
        </w:rPr>
        <w:t>期间的前一会计年度。</w:t>
      </w:r>
      <w:r w:rsidRPr="002A52D1">
        <w:rPr>
          <w:rFonts w:asciiTheme="minorEastAsia" w:eastAsiaTheme="minorEastAsia" w:hAnsiTheme="minorEastAsia" w:cstheme="minorBidi"/>
          <w:color w:val="auto"/>
          <w:kern w:val="2"/>
        </w:rPr>
        <w:t xml:space="preserve"> </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2</w:t>
      </w:r>
      <w:r w:rsidR="0010536E" w:rsidRPr="002A52D1">
        <w:rPr>
          <w:rFonts w:asciiTheme="minorEastAsia" w:eastAsiaTheme="minorEastAsia" w:hAnsiTheme="minorEastAsia" w:cstheme="minorBidi" w:hint="eastAsia"/>
          <w:color w:val="auto"/>
          <w:kern w:val="2"/>
        </w:rPr>
        <w:t>、</w:t>
      </w:r>
      <w:r w:rsidRPr="002A52D1">
        <w:rPr>
          <w:rFonts w:asciiTheme="minorEastAsia" w:eastAsiaTheme="minorEastAsia" w:hAnsiTheme="minorEastAsia" w:cstheme="minorBidi" w:hint="eastAsia"/>
          <w:color w:val="auto"/>
          <w:kern w:val="2"/>
        </w:rPr>
        <w:t>考核次数：</w:t>
      </w:r>
      <w:r w:rsidR="0058708E" w:rsidRPr="002A52D1">
        <w:rPr>
          <w:rFonts w:asciiTheme="minorEastAsia" w:eastAsiaTheme="minorEastAsia" w:hAnsiTheme="minorEastAsia" w:cstheme="minorBidi" w:hint="eastAsia"/>
          <w:color w:val="auto"/>
          <w:kern w:val="2"/>
        </w:rPr>
        <w:t>股票期权</w:t>
      </w:r>
      <w:r w:rsidRPr="002A52D1">
        <w:rPr>
          <w:rFonts w:asciiTheme="minorEastAsia" w:eastAsiaTheme="minorEastAsia" w:hAnsiTheme="minorEastAsia" w:cstheme="minorBidi" w:hint="eastAsia"/>
          <w:color w:val="auto"/>
          <w:kern w:val="2"/>
        </w:rPr>
        <w:t>激励期间计划年度每年度一次。</w:t>
      </w:r>
      <w:r w:rsidRPr="002A52D1">
        <w:rPr>
          <w:rFonts w:asciiTheme="minorEastAsia" w:eastAsiaTheme="minorEastAsia" w:hAnsiTheme="minorEastAsia" w:cstheme="minorBidi"/>
          <w:color w:val="auto"/>
          <w:kern w:val="2"/>
        </w:rPr>
        <w:t xml:space="preserve"> </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七、考核程序</w:t>
      </w:r>
      <w:r w:rsidRPr="002A52D1">
        <w:rPr>
          <w:rFonts w:asciiTheme="minorEastAsia" w:eastAsiaTheme="minorEastAsia" w:hAnsiTheme="minorEastAsia" w:cstheme="minorBidi"/>
          <w:color w:val="auto"/>
          <w:kern w:val="2"/>
        </w:rPr>
        <w:t xml:space="preserve"> </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1</w:t>
      </w:r>
      <w:r w:rsidR="0010536E" w:rsidRPr="002A52D1">
        <w:rPr>
          <w:rFonts w:asciiTheme="minorEastAsia" w:eastAsiaTheme="minorEastAsia" w:hAnsiTheme="minorEastAsia" w:cstheme="minorBidi" w:hint="eastAsia"/>
          <w:color w:val="auto"/>
          <w:kern w:val="2"/>
        </w:rPr>
        <w:t>、</w:t>
      </w:r>
      <w:r w:rsidRPr="002A52D1">
        <w:rPr>
          <w:rFonts w:asciiTheme="minorEastAsia" w:eastAsiaTheme="minorEastAsia" w:hAnsiTheme="minorEastAsia" w:cstheme="minorBidi" w:hint="eastAsia"/>
          <w:color w:val="auto"/>
          <w:kern w:val="2"/>
        </w:rPr>
        <w:t>公司人力资源部门根据本激励计划及相关考核办法的规定，形成绩效考核报告，董事会薪酬与考核委员会根据绩效考核报告，确定被激励对象的</w:t>
      </w:r>
      <w:r w:rsidR="0058708E" w:rsidRPr="002A52D1">
        <w:rPr>
          <w:rFonts w:asciiTheme="minorEastAsia" w:eastAsiaTheme="minorEastAsia" w:hAnsiTheme="minorEastAsia" w:cstheme="minorBidi" w:hint="eastAsia"/>
          <w:color w:val="auto"/>
          <w:kern w:val="2"/>
        </w:rPr>
        <w:t>行权资格及可行</w:t>
      </w:r>
      <w:r w:rsidR="0058708E" w:rsidRPr="002A52D1">
        <w:rPr>
          <w:rFonts w:asciiTheme="minorEastAsia" w:eastAsiaTheme="minorEastAsia" w:hAnsiTheme="minorEastAsia" w:cstheme="minorBidi" w:hint="eastAsia"/>
          <w:color w:val="auto"/>
          <w:kern w:val="2"/>
        </w:rPr>
        <w:lastRenderedPageBreak/>
        <w:t>权</w:t>
      </w:r>
      <w:r w:rsidRPr="002A52D1">
        <w:rPr>
          <w:rFonts w:asciiTheme="minorEastAsia" w:eastAsiaTheme="minorEastAsia" w:hAnsiTheme="minorEastAsia" w:cstheme="minorBidi" w:hint="eastAsia"/>
          <w:color w:val="auto"/>
          <w:kern w:val="2"/>
        </w:rPr>
        <w:t>数量。</w:t>
      </w:r>
      <w:r w:rsidRPr="002A52D1">
        <w:rPr>
          <w:rFonts w:asciiTheme="minorEastAsia" w:eastAsiaTheme="minorEastAsia" w:hAnsiTheme="minorEastAsia" w:cstheme="minorBidi"/>
          <w:color w:val="auto"/>
          <w:kern w:val="2"/>
        </w:rPr>
        <w:t xml:space="preserve"> </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2</w:t>
      </w:r>
      <w:r w:rsidR="0010536E" w:rsidRPr="002A52D1">
        <w:rPr>
          <w:rFonts w:asciiTheme="minorEastAsia" w:eastAsiaTheme="minorEastAsia" w:hAnsiTheme="minorEastAsia" w:cstheme="minorBidi" w:hint="eastAsia"/>
          <w:color w:val="auto"/>
          <w:kern w:val="2"/>
        </w:rPr>
        <w:t>、</w:t>
      </w:r>
      <w:r w:rsidRPr="002A52D1">
        <w:rPr>
          <w:rFonts w:asciiTheme="minorEastAsia" w:eastAsiaTheme="minorEastAsia" w:hAnsiTheme="minorEastAsia" w:cstheme="minorBidi" w:hint="eastAsia"/>
          <w:color w:val="auto"/>
          <w:kern w:val="2"/>
        </w:rPr>
        <w:t>绩效考核结果作为</w:t>
      </w:r>
      <w:r w:rsidR="0058708E" w:rsidRPr="002A52D1">
        <w:rPr>
          <w:rFonts w:asciiTheme="minorEastAsia" w:eastAsiaTheme="minorEastAsia" w:hAnsiTheme="minorEastAsia" w:cstheme="minorBidi" w:hint="eastAsia"/>
          <w:color w:val="auto"/>
          <w:kern w:val="2"/>
        </w:rPr>
        <w:t>股票期权的行权</w:t>
      </w:r>
      <w:r w:rsidRPr="002A52D1">
        <w:rPr>
          <w:rFonts w:asciiTheme="minorEastAsia" w:eastAsiaTheme="minorEastAsia" w:hAnsiTheme="minorEastAsia" w:cstheme="minorBidi" w:hint="eastAsia"/>
          <w:color w:val="auto"/>
          <w:kern w:val="2"/>
        </w:rPr>
        <w:t>依据。</w:t>
      </w:r>
      <w:r w:rsidRPr="002A52D1">
        <w:rPr>
          <w:rFonts w:asciiTheme="minorEastAsia" w:eastAsiaTheme="minorEastAsia" w:hAnsiTheme="minorEastAsia" w:cstheme="minorBidi"/>
          <w:color w:val="auto"/>
          <w:kern w:val="2"/>
        </w:rPr>
        <w:t xml:space="preserve"> </w:t>
      </w:r>
    </w:p>
    <w:p w:rsidR="00200814" w:rsidRPr="002A52D1" w:rsidRDefault="00200814"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八、考核结果的反馈和申诉</w:t>
      </w:r>
    </w:p>
    <w:p w:rsidR="00200814"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1、</w:t>
      </w:r>
      <w:r w:rsidR="00200814" w:rsidRPr="002A52D1">
        <w:rPr>
          <w:rFonts w:asciiTheme="minorEastAsia" w:eastAsiaTheme="minorEastAsia" w:hAnsiTheme="minorEastAsia" w:cstheme="minorBidi" w:hint="eastAsia"/>
          <w:color w:val="auto"/>
          <w:kern w:val="2"/>
        </w:rPr>
        <w:t>被考核者有权了解自己的考核结果，薪酬与考核委员会应当在考核结束10个工作日内向被考核者通知考核结果；</w:t>
      </w:r>
      <w:r w:rsidR="00200814" w:rsidRPr="002A52D1">
        <w:rPr>
          <w:rFonts w:asciiTheme="minorEastAsia" w:eastAsiaTheme="minorEastAsia" w:hAnsiTheme="minorEastAsia" w:cstheme="minorBidi"/>
          <w:color w:val="auto"/>
          <w:kern w:val="2"/>
        </w:rPr>
        <w:t xml:space="preserve"> </w:t>
      </w:r>
    </w:p>
    <w:p w:rsidR="00200814"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2、</w:t>
      </w:r>
      <w:r w:rsidR="00200814" w:rsidRPr="002A52D1">
        <w:rPr>
          <w:rFonts w:asciiTheme="minorEastAsia" w:eastAsiaTheme="minorEastAsia" w:hAnsiTheme="minorEastAsia" w:cstheme="minorBidi" w:hint="eastAsia"/>
          <w:color w:val="auto"/>
          <w:kern w:val="2"/>
        </w:rPr>
        <w:t>如被考核者对考核结果有异议，应在事先充分沟通的基础上协商解决。如不能妥善解决，激励对象可在接到考核通知的10个工作日内向薪酬与考核委员会提出申诉，薪酬与考核委员会在接到申诉之日起10个工作日内，应对申诉者的申诉请求予以答复，并根据实际情况对其考核结果进行复核，并告之相应的处理结果。</w:t>
      </w:r>
      <w:r w:rsidR="00200814" w:rsidRPr="002A52D1">
        <w:rPr>
          <w:rFonts w:asciiTheme="minorEastAsia" w:eastAsiaTheme="minorEastAsia" w:hAnsiTheme="minorEastAsia" w:cstheme="minorBidi"/>
          <w:color w:val="auto"/>
          <w:kern w:val="2"/>
        </w:rPr>
        <w:t xml:space="preserve"> </w:t>
      </w:r>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九、考核结果归档</w:t>
      </w:r>
      <w:r w:rsidRPr="002A52D1">
        <w:rPr>
          <w:rFonts w:asciiTheme="minorEastAsia" w:eastAsiaTheme="minorEastAsia" w:hAnsiTheme="minorEastAsia" w:cstheme="minorBidi"/>
          <w:color w:val="auto"/>
          <w:kern w:val="2"/>
        </w:rPr>
        <w:t xml:space="preserve"> </w:t>
      </w:r>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1</w:t>
      </w:r>
      <w:r w:rsidRPr="002A52D1">
        <w:rPr>
          <w:rFonts w:asciiTheme="minorEastAsia" w:eastAsiaTheme="minorEastAsia" w:hAnsiTheme="minorEastAsia" w:cstheme="minorBidi" w:hint="eastAsia"/>
          <w:color w:val="auto"/>
          <w:kern w:val="2"/>
        </w:rPr>
        <w:t>、考核结束后，</w:t>
      </w:r>
      <w:r w:rsidR="002A52D1" w:rsidRPr="002A52D1">
        <w:rPr>
          <w:rFonts w:asciiTheme="minorEastAsia" w:eastAsiaTheme="minorEastAsia" w:hAnsiTheme="minorEastAsia" w:cstheme="minorBidi" w:hint="eastAsia"/>
          <w:color w:val="auto"/>
          <w:kern w:val="2"/>
        </w:rPr>
        <w:t>人力资源部门</w:t>
      </w:r>
      <w:r w:rsidRPr="002A52D1">
        <w:rPr>
          <w:rFonts w:asciiTheme="minorEastAsia" w:eastAsiaTheme="minorEastAsia" w:hAnsiTheme="minorEastAsia" w:cstheme="minorBidi" w:hint="eastAsia"/>
          <w:color w:val="auto"/>
          <w:kern w:val="2"/>
        </w:rPr>
        <w:t>须保留绩效考核所有考核记录。</w:t>
      </w:r>
      <w:r w:rsidRPr="002A52D1">
        <w:rPr>
          <w:rFonts w:asciiTheme="minorEastAsia" w:eastAsiaTheme="minorEastAsia" w:hAnsiTheme="minorEastAsia" w:cstheme="minorBidi"/>
          <w:color w:val="auto"/>
          <w:kern w:val="2"/>
        </w:rPr>
        <w:t xml:space="preserve"> </w:t>
      </w:r>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2</w:t>
      </w:r>
      <w:r w:rsidRPr="002A52D1">
        <w:rPr>
          <w:rFonts w:asciiTheme="minorEastAsia" w:eastAsiaTheme="minorEastAsia" w:hAnsiTheme="minorEastAsia" w:cstheme="minorBidi" w:hint="eastAsia"/>
          <w:color w:val="auto"/>
          <w:kern w:val="2"/>
        </w:rPr>
        <w:t>、为保证绩效激励的有效性，绩效考核记录不允许涂改，若需重新修改或重新记录，须当事人签字。</w:t>
      </w:r>
      <w:r w:rsidRPr="002A52D1">
        <w:rPr>
          <w:rFonts w:asciiTheme="minorEastAsia" w:eastAsiaTheme="minorEastAsia" w:hAnsiTheme="minorEastAsia" w:cstheme="minorBidi"/>
          <w:color w:val="auto"/>
          <w:kern w:val="2"/>
        </w:rPr>
        <w:t xml:space="preserve"> </w:t>
      </w:r>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3</w:t>
      </w:r>
      <w:r w:rsidRPr="002A52D1">
        <w:rPr>
          <w:rFonts w:asciiTheme="minorEastAsia" w:eastAsiaTheme="minorEastAsia" w:hAnsiTheme="minorEastAsia" w:cstheme="minorBidi" w:hint="eastAsia"/>
          <w:color w:val="auto"/>
          <w:kern w:val="2"/>
        </w:rPr>
        <w:t>、绩效考核结果作为保密资料归档保存，保存期为该股权激励计划结束后三年。</w:t>
      </w:r>
      <w:r w:rsidRPr="002A52D1">
        <w:rPr>
          <w:rFonts w:asciiTheme="minorEastAsia" w:eastAsiaTheme="minorEastAsia" w:hAnsiTheme="minorEastAsia" w:cstheme="minorBidi"/>
          <w:color w:val="auto"/>
          <w:kern w:val="2"/>
        </w:rPr>
        <w:t xml:space="preserve"> </w:t>
      </w:r>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十、附则</w:t>
      </w:r>
      <w:r w:rsidRPr="002A52D1">
        <w:rPr>
          <w:rFonts w:asciiTheme="minorEastAsia" w:eastAsiaTheme="minorEastAsia" w:hAnsiTheme="minorEastAsia" w:cstheme="minorBidi"/>
          <w:color w:val="auto"/>
          <w:kern w:val="2"/>
        </w:rPr>
        <w:t xml:space="preserve"> </w:t>
      </w:r>
      <w:bookmarkStart w:id="0" w:name="_GoBack"/>
      <w:bookmarkEnd w:id="0"/>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1</w:t>
      </w:r>
      <w:r w:rsidRPr="002A52D1">
        <w:rPr>
          <w:rFonts w:asciiTheme="minorEastAsia" w:eastAsiaTheme="minorEastAsia" w:hAnsiTheme="minorEastAsia" w:cstheme="minorBidi" w:hint="eastAsia"/>
          <w:color w:val="auto"/>
          <w:kern w:val="2"/>
        </w:rPr>
        <w:t>、本办法由公司董事会负责制订、解释及修订。</w:t>
      </w:r>
      <w:r w:rsidRPr="002A52D1">
        <w:rPr>
          <w:rFonts w:asciiTheme="minorEastAsia" w:eastAsiaTheme="minorEastAsia" w:hAnsiTheme="minorEastAsia" w:cstheme="minorBidi"/>
          <w:color w:val="auto"/>
          <w:kern w:val="2"/>
        </w:rPr>
        <w:t xml:space="preserve"> </w:t>
      </w:r>
    </w:p>
    <w:p w:rsidR="0010536E" w:rsidRPr="002A52D1" w:rsidRDefault="0010536E" w:rsidP="0010536E">
      <w:pPr>
        <w:pStyle w:val="Default"/>
        <w:spacing w:line="500" w:lineRule="exact"/>
        <w:ind w:firstLineChars="200" w:firstLine="480"/>
        <w:rPr>
          <w:rFonts w:asciiTheme="minorEastAsia" w:eastAsiaTheme="minorEastAsia" w:hAnsiTheme="minorEastAsia" w:cstheme="minorBidi"/>
          <w:color w:val="auto"/>
          <w:kern w:val="2"/>
        </w:rPr>
      </w:pPr>
      <w:r w:rsidRPr="002A52D1">
        <w:rPr>
          <w:rFonts w:asciiTheme="minorEastAsia" w:eastAsiaTheme="minorEastAsia" w:hAnsiTheme="minorEastAsia" w:cstheme="minorBidi"/>
          <w:color w:val="auto"/>
          <w:kern w:val="2"/>
        </w:rPr>
        <w:t>2</w:t>
      </w:r>
      <w:r w:rsidRPr="002A52D1">
        <w:rPr>
          <w:rFonts w:asciiTheme="minorEastAsia" w:eastAsiaTheme="minorEastAsia" w:hAnsiTheme="minorEastAsia" w:cstheme="minorBidi" w:hint="eastAsia"/>
          <w:color w:val="auto"/>
          <w:kern w:val="2"/>
        </w:rPr>
        <w:t>、本办法自公司股东大会审议通过之日起开始实施。</w:t>
      </w:r>
    </w:p>
    <w:p w:rsidR="0010536E" w:rsidRPr="002A52D1" w:rsidRDefault="0010536E" w:rsidP="0010536E">
      <w:pPr>
        <w:pStyle w:val="Default"/>
        <w:spacing w:line="500" w:lineRule="exact"/>
        <w:jc w:val="right"/>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华孚时尚股份有限公司</w:t>
      </w:r>
    </w:p>
    <w:p w:rsidR="0010536E" w:rsidRPr="0010536E" w:rsidRDefault="00E027B6" w:rsidP="0010536E">
      <w:pPr>
        <w:pStyle w:val="Default"/>
        <w:spacing w:line="500" w:lineRule="exact"/>
        <w:jc w:val="right"/>
        <w:rPr>
          <w:rFonts w:asciiTheme="minorEastAsia" w:eastAsiaTheme="minorEastAsia" w:hAnsiTheme="minorEastAsia" w:cstheme="minorBidi"/>
          <w:color w:val="auto"/>
          <w:kern w:val="2"/>
        </w:rPr>
      </w:pPr>
      <w:r w:rsidRPr="002A52D1">
        <w:rPr>
          <w:rFonts w:asciiTheme="minorEastAsia" w:eastAsiaTheme="minorEastAsia" w:hAnsiTheme="minorEastAsia" w:cstheme="minorBidi" w:hint="eastAsia"/>
          <w:color w:val="auto"/>
          <w:kern w:val="2"/>
        </w:rPr>
        <w:t>二〇二一</w:t>
      </w:r>
      <w:r w:rsidR="0010536E" w:rsidRPr="002A52D1">
        <w:rPr>
          <w:rFonts w:asciiTheme="minorEastAsia" w:eastAsiaTheme="minorEastAsia" w:hAnsiTheme="minorEastAsia" w:cstheme="minorBidi" w:hint="eastAsia"/>
          <w:color w:val="auto"/>
          <w:kern w:val="2"/>
        </w:rPr>
        <w:t>年</w:t>
      </w:r>
      <w:r w:rsidRPr="002A52D1">
        <w:rPr>
          <w:rFonts w:asciiTheme="minorEastAsia" w:eastAsiaTheme="minorEastAsia" w:hAnsiTheme="minorEastAsia" w:cstheme="minorBidi" w:hint="eastAsia"/>
          <w:color w:val="auto"/>
          <w:kern w:val="2"/>
        </w:rPr>
        <w:t>一</w:t>
      </w:r>
      <w:r w:rsidR="0010536E" w:rsidRPr="002A52D1">
        <w:rPr>
          <w:rFonts w:asciiTheme="minorEastAsia" w:eastAsiaTheme="minorEastAsia" w:hAnsiTheme="minorEastAsia" w:cstheme="minorBidi" w:hint="eastAsia"/>
          <w:color w:val="auto"/>
          <w:kern w:val="2"/>
        </w:rPr>
        <w:t>月</w:t>
      </w:r>
      <w:r w:rsidR="00F061CE" w:rsidRPr="002A52D1">
        <w:rPr>
          <w:rFonts w:asciiTheme="minorEastAsia" w:eastAsiaTheme="minorEastAsia" w:hAnsiTheme="minorEastAsia" w:cstheme="minorBidi" w:hint="eastAsia"/>
          <w:color w:val="auto"/>
          <w:kern w:val="2"/>
        </w:rPr>
        <w:t>十二</w:t>
      </w:r>
      <w:r w:rsidR="0010536E" w:rsidRPr="002A52D1">
        <w:rPr>
          <w:rFonts w:asciiTheme="minorEastAsia" w:eastAsiaTheme="minorEastAsia" w:hAnsiTheme="minorEastAsia" w:cstheme="minorBidi" w:hint="eastAsia"/>
          <w:color w:val="auto"/>
          <w:kern w:val="2"/>
        </w:rPr>
        <w:t>日</w:t>
      </w:r>
    </w:p>
    <w:p w:rsidR="00200814" w:rsidRPr="00200814" w:rsidRDefault="00200814" w:rsidP="00774E29">
      <w:pPr>
        <w:spacing w:line="500" w:lineRule="exact"/>
        <w:rPr>
          <w:rFonts w:asciiTheme="minorEastAsia" w:hAnsiTheme="minorEastAsia"/>
          <w:sz w:val="24"/>
          <w:szCs w:val="24"/>
        </w:rPr>
      </w:pPr>
    </w:p>
    <w:sectPr w:rsidR="00200814" w:rsidRPr="00200814" w:rsidSect="00774E29">
      <w:pgSz w:w="11904" w:h="17335"/>
      <w:pgMar w:top="1312" w:right="1414" w:bottom="1134" w:left="16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29"/>
    <w:rsid w:val="0010536E"/>
    <w:rsid w:val="001D560E"/>
    <w:rsid w:val="00200814"/>
    <w:rsid w:val="002A52D1"/>
    <w:rsid w:val="002E4D2D"/>
    <w:rsid w:val="0058708E"/>
    <w:rsid w:val="00774E29"/>
    <w:rsid w:val="00C2710C"/>
    <w:rsid w:val="00E027B6"/>
    <w:rsid w:val="00F061CE"/>
    <w:rsid w:val="00F7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E2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7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708E"/>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E2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7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708E"/>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dcterms:created xsi:type="dcterms:W3CDTF">2020-12-30T09:31:00Z</dcterms:created>
  <dcterms:modified xsi:type="dcterms:W3CDTF">2021-01-12T04:03:00Z</dcterms:modified>
</cp:coreProperties>
</file>